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961" w:rsidRPr="00582135" w:rsidRDefault="003663D3">
      <w:pPr>
        <w:rPr>
          <w:color w:val="8DB3E2" w:themeColor="text2" w:themeTint="66"/>
        </w:rPr>
      </w:pPr>
      <w:r>
        <w:rPr>
          <w:noProof/>
          <w:lang w:eastAsia="es-SV"/>
        </w:rPr>
        <w:drawing>
          <wp:anchor distT="0" distB="0" distL="114300" distR="114300" simplePos="0" relativeHeight="251658240" behindDoc="0" locked="0" layoutInCell="1" allowOverlap="1" wp14:anchorId="08E0F4FF" wp14:editId="39239229">
            <wp:simplePos x="0" y="0"/>
            <wp:positionH relativeFrom="column">
              <wp:posOffset>-1080135</wp:posOffset>
            </wp:positionH>
            <wp:positionV relativeFrom="paragraph">
              <wp:posOffset>-880745</wp:posOffset>
            </wp:positionV>
            <wp:extent cx="7747635" cy="10039350"/>
            <wp:effectExtent l="0" t="0" r="571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635" cy="10039350"/>
                    </a:xfrm>
                    <a:prstGeom prst="rect">
                      <a:avLst/>
                    </a:prstGeom>
                    <a:noFill/>
                  </pic:spPr>
                </pic:pic>
              </a:graphicData>
            </a:graphic>
            <wp14:sizeRelH relativeFrom="page">
              <wp14:pctWidth>0</wp14:pctWidth>
            </wp14:sizeRelH>
            <wp14:sizeRelV relativeFrom="page">
              <wp14:pctHeight>0</wp14:pctHeight>
            </wp14:sizeRelV>
          </wp:anchor>
        </w:drawing>
      </w:r>
      <w:r w:rsidR="00582135">
        <w:rPr>
          <w:noProof/>
          <w:lang w:eastAsia="es-SV"/>
        </w:rPr>
        <mc:AlternateContent>
          <mc:Choice Requires="wps">
            <w:drawing>
              <wp:inline distT="0" distB="0" distL="0" distR="0" wp14:anchorId="46C7CE3F" wp14:editId="7A401E8D">
                <wp:extent cx="308610" cy="308610"/>
                <wp:effectExtent l="0" t="0" r="0" b="0"/>
                <wp:docPr id="2" name="AutoShape 2" descr="https://ipsfa.com/ipsfa/wp-content/uploads/2021/11/FUDEFA-instalaciones-23NOV-2-791x102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ipsfa.com/ipsfa/wp-content/uploads/2021/11/FUDEFA-instalaciones-23NOV-2-791x1024.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ig9AIAABwGAAAOAAAAZHJzL2Uyb0RvYy54bWysVE1v2zAMvQ/YfxB0d/xR58NGnSKN42FA&#10;1xbourtiy7E2W9IkJU437L+PkpM0bS/DNh8EiZQf+cgnXl7tuxbtqNJM8AyHowAjyktRMb7J8OPn&#10;wpthpA3hFWkFpxl+ohpfzd+/u+xlSiPRiLaiCgEI12kvM9wYI1Pf12VDO6JHQlIOzlqojhg4qo1f&#10;KdIDetf6URBM/F6oSipRUq3Bmg9OPHf4dU1Lc1fXmhrUZhhyM25Vbl3b1Z9fknSjiGxYeUiD/EUW&#10;HWEcgp6gcmII2ir2BqpjpRJa1GZUis4Xdc1K6jgAmzB4xeahIZI6LlAcLU9l0v8Ptrzd3SvEqgxH&#10;GHHSQYsWWyNcZASmiuoSymXboqEvTOqauNTdzu+lVwpuKDf+VraCVBp4RKEfhn7xmK+Khcc4tL8l&#10;JeiDai+6uL374kXeNAn3YRDFo69yY3vQAzqk8iDvla2iljei/KYRF8uG8A1daAmdBH1BjkeTUqJv&#10;KES0ZoCAXM4w7EEDGlr3n0QFrAiwch3a16qzMaD2aO+E8HQSAt0bVILxIphNQpBLCa7D3kYg6fFn&#10;qbT5QEWH7CbDCrJz4GR3o81w9XjFxuKiYG0LdpK2/IUBMAcLhIZfrc8m4aTzMwmS1Ww1i704mqy8&#10;OMhzb1EsY29ShNNxfpEvl3n4y8YN47RhVUW5DXOUcRj/mUwOD2oQ4EnIWrSssnA2Ja0262Wr0I7A&#10;Myrc50oOnudr/ss0XL2AyytKYRQH11HiFZPZ1IuLeOwl02DmBWFynUyCOInz4iWlG8bpv1NCfYaT&#10;cTR2XTpL+hW3wH1vuZG0YwYGVcu6DM9Ol0hqFbjilWutIawd9melsOk/lwLafWy006uV6KD+taie&#10;QK5KgJxAeTBSYdMI9QOjHsZThvX3LVEUo/YjB8knYRzbeeYO8XgawUGde9bnHsJLgMqwwWjYLs0w&#10;A7dSsU0DkUJXGC7s46+Zk7B9QkNWh8cFI8gxOYxLO+POz+7W81Cf/wYAAP//AwBQSwMEFAAGAAgA&#10;AAAhAJj2bA3ZAAAAAwEAAA8AAABkcnMvZG93bnJldi54bWxMj0FLw0AQhe+C/2EZwYvYjSKlxGyK&#10;FMQiQjHVnqfZMQlmZ9PsNon/3tEe9DKP4Q3vfZMtJ9eqgfrQeDZwM0tAEZfeNlwZeNs+Xi9AhYhs&#10;sfVMBr4owDI/P8swtX7kVxqKWCkJ4ZCigTrGLtU6lDU5DDPfEYv34XuHUda+0rbHUcJdq2+TZK4d&#10;NiwNNXa0qqn8LI7OwFhuht325UlvrnZrz4f1YVW8PxtzeTE93IOKNMW/Y/jBF3TIhWnvj2yDag3I&#10;I/F3ine3mIPan1Tnmf7Pnn8DAAD//wMAUEsBAi0AFAAGAAgAAAAhALaDOJL+AAAA4QEAABMAAAAA&#10;AAAAAAAAAAAAAAAAAFtDb250ZW50X1R5cGVzXS54bWxQSwECLQAUAAYACAAAACEAOP0h/9YAAACU&#10;AQAACwAAAAAAAAAAAAAAAAAvAQAAX3JlbHMvLnJlbHNQSwECLQAUAAYACAAAACEAR97IoPQCAAAc&#10;BgAADgAAAAAAAAAAAAAAAAAuAgAAZHJzL2Uyb0RvYy54bWxQSwECLQAUAAYACAAAACEAmPZsDdkA&#10;AAADAQAADwAAAAAAAAAAAAAAAABOBQAAZHJzL2Rvd25yZXYueG1sUEsFBgAAAAAEAAQA8wAAAFQG&#10;AAAAAA==&#10;" filled="f" stroked="f">
                <o:lock v:ext="edit" aspectratio="t"/>
                <w10:anchorlock/>
              </v:rect>
            </w:pict>
          </mc:Fallback>
        </mc:AlternateContent>
      </w:r>
    </w:p>
    <w:p w:rsidR="003663D3" w:rsidRPr="003663D3" w:rsidRDefault="003663D3" w:rsidP="003663D3">
      <w:pPr>
        <w:spacing w:after="0" w:line="240" w:lineRule="auto"/>
        <w:rPr>
          <w:rFonts w:ascii="Tw Cen MT" w:hAnsi="Tw Cen MT"/>
          <w:b/>
          <w:sz w:val="24"/>
          <w:szCs w:val="24"/>
          <w:u w:val="single"/>
        </w:rPr>
      </w:pPr>
      <w:bookmarkStart w:id="0" w:name="_GoBack"/>
      <w:r w:rsidRPr="003663D3">
        <w:rPr>
          <w:rFonts w:ascii="Tw Cen MT" w:hAnsi="Tw Cen MT"/>
          <w:b/>
          <w:sz w:val="24"/>
          <w:szCs w:val="24"/>
          <w:u w:val="single"/>
        </w:rPr>
        <w:lastRenderedPageBreak/>
        <w:t>1- Tramite Servicios funerarios de Emergencia para todo público.</w:t>
      </w:r>
    </w:p>
    <w:bookmarkEnd w:id="0"/>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Nombre: Servicio Funerario de Emergencia</w:t>
      </w: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 xml:space="preserve">Dirección: FUDEFA: Col. Ávila Calle El Progreso No 3143, San Salvador. </w:t>
      </w: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 xml:space="preserve">Teléfono de contacto es 2298-2999, 2528-0910 y 2528-0920, abierto las 24 horas. </w:t>
      </w: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Oficinas Centrales del IPSFA: ubicadas en Alameda Roosevelt y 55 avenida Norte Torre El Salvador, San Salvador.</w:t>
      </w: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 xml:space="preserve">Horario: </w:t>
      </w: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Abierto las 24 horas, los 365 días del año</w:t>
      </w: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Tiempo de respuesta:</w:t>
      </w: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 xml:space="preserve"> Inmediato</w:t>
      </w: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Área responsable:</w:t>
      </w: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Unidad de Negocio  Funeraria de la Fuerza Armada.</w:t>
      </w: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Encargado del servicio:</w:t>
      </w: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Gestor de Ventas.</w:t>
      </w: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Descripción: Se otorga mediante la solicitud de la familia doliente, donde  se presentan  los diferentes servicios a los cuales pueden  optar, se cuentan con  4 tipos de servicios funerarios: Bronce, Plata, Oro, Platino.</w:t>
      </w: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Todos los servicios cuentan con:</w:t>
      </w: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numPr>
          <w:ilvl w:val="0"/>
          <w:numId w:val="1"/>
        </w:numPr>
        <w:tabs>
          <w:tab w:val="left" w:pos="426"/>
        </w:tabs>
        <w:spacing w:after="0" w:line="264" w:lineRule="auto"/>
        <w:contextualSpacing/>
        <w:jc w:val="both"/>
        <w:rPr>
          <w:rFonts w:ascii="Tw Cen MT" w:eastAsia="Calibri" w:hAnsi="Tw Cen MT" w:cs="Times New Roman"/>
          <w:sz w:val="24"/>
          <w:szCs w:val="24"/>
          <w:lang w:val="es-ES" w:eastAsia="es-ES"/>
        </w:rPr>
      </w:pPr>
      <w:r w:rsidRPr="003663D3">
        <w:rPr>
          <w:rFonts w:ascii="Tw Cen MT" w:eastAsia="Calibri" w:hAnsi="Tw Cen MT" w:cs="Times New Roman"/>
          <w:sz w:val="24"/>
          <w:szCs w:val="24"/>
          <w:lang w:val="es-ES" w:eastAsia="es-ES"/>
        </w:rPr>
        <w:t>Retiro de la persona fallecida.</w:t>
      </w:r>
    </w:p>
    <w:p w:rsidR="003663D3" w:rsidRPr="003663D3" w:rsidRDefault="003663D3" w:rsidP="003663D3">
      <w:pPr>
        <w:numPr>
          <w:ilvl w:val="0"/>
          <w:numId w:val="1"/>
        </w:numPr>
        <w:spacing w:after="0" w:line="264" w:lineRule="auto"/>
        <w:contextualSpacing/>
        <w:jc w:val="both"/>
        <w:rPr>
          <w:rFonts w:ascii="Tw Cen MT" w:eastAsia="Calibri" w:hAnsi="Tw Cen MT" w:cs="Times New Roman"/>
          <w:sz w:val="24"/>
          <w:szCs w:val="24"/>
          <w:lang w:val="es-ES" w:eastAsia="es-ES"/>
        </w:rPr>
      </w:pPr>
      <w:r w:rsidRPr="003663D3">
        <w:rPr>
          <w:rFonts w:ascii="Tw Cen MT" w:eastAsia="Calibri" w:hAnsi="Tw Cen MT" w:cs="Times New Roman"/>
          <w:sz w:val="24"/>
          <w:szCs w:val="24"/>
          <w:lang w:val="es-ES" w:eastAsia="es-ES"/>
        </w:rPr>
        <w:t>Preparación del cuerpo para 24 horas.</w:t>
      </w:r>
    </w:p>
    <w:p w:rsidR="003663D3" w:rsidRPr="003663D3" w:rsidRDefault="003663D3" w:rsidP="003663D3">
      <w:pPr>
        <w:numPr>
          <w:ilvl w:val="0"/>
          <w:numId w:val="1"/>
        </w:numPr>
        <w:spacing w:after="0" w:line="264" w:lineRule="auto"/>
        <w:contextualSpacing/>
        <w:jc w:val="both"/>
        <w:rPr>
          <w:rFonts w:ascii="Tw Cen MT" w:eastAsia="Calibri" w:hAnsi="Tw Cen MT" w:cs="Times New Roman"/>
          <w:sz w:val="24"/>
          <w:szCs w:val="24"/>
          <w:lang w:val="es-ES" w:eastAsia="es-ES"/>
        </w:rPr>
      </w:pPr>
      <w:r w:rsidRPr="003663D3">
        <w:rPr>
          <w:rFonts w:ascii="Tw Cen MT" w:eastAsia="Calibri" w:hAnsi="Tw Cen MT" w:cs="Times New Roman"/>
          <w:sz w:val="24"/>
          <w:szCs w:val="24"/>
          <w:lang w:val="es-ES" w:eastAsia="es-ES"/>
        </w:rPr>
        <w:t>Ataúd según plan seleccionado.</w:t>
      </w:r>
    </w:p>
    <w:p w:rsidR="003663D3" w:rsidRPr="003663D3" w:rsidRDefault="003663D3" w:rsidP="003663D3">
      <w:pPr>
        <w:numPr>
          <w:ilvl w:val="0"/>
          <w:numId w:val="1"/>
        </w:numPr>
        <w:spacing w:after="0" w:line="264" w:lineRule="auto"/>
        <w:contextualSpacing/>
        <w:jc w:val="both"/>
        <w:rPr>
          <w:rFonts w:ascii="Tw Cen MT" w:eastAsia="Calibri" w:hAnsi="Tw Cen MT" w:cs="Times New Roman"/>
          <w:sz w:val="24"/>
          <w:szCs w:val="24"/>
          <w:lang w:val="es-ES" w:eastAsia="es-ES"/>
        </w:rPr>
      </w:pPr>
      <w:r w:rsidRPr="003663D3">
        <w:rPr>
          <w:rFonts w:ascii="Tw Cen MT" w:eastAsia="Calibri" w:hAnsi="Tw Cen MT" w:cs="Times New Roman"/>
          <w:sz w:val="24"/>
          <w:szCs w:val="24"/>
          <w:lang w:val="es-ES" w:eastAsia="es-ES"/>
        </w:rPr>
        <w:t>Capilla según plan seleccionado.</w:t>
      </w:r>
    </w:p>
    <w:p w:rsidR="003663D3" w:rsidRPr="003663D3" w:rsidRDefault="003663D3" w:rsidP="003663D3">
      <w:pPr>
        <w:numPr>
          <w:ilvl w:val="0"/>
          <w:numId w:val="1"/>
        </w:numPr>
        <w:spacing w:after="0" w:line="264" w:lineRule="auto"/>
        <w:contextualSpacing/>
        <w:jc w:val="both"/>
        <w:rPr>
          <w:rFonts w:ascii="Tw Cen MT" w:eastAsia="Calibri" w:hAnsi="Tw Cen MT" w:cs="Times New Roman"/>
          <w:sz w:val="24"/>
          <w:szCs w:val="24"/>
          <w:lang w:val="es-ES" w:eastAsia="es-ES"/>
        </w:rPr>
      </w:pPr>
      <w:r w:rsidRPr="003663D3">
        <w:rPr>
          <w:rFonts w:ascii="Tw Cen MT" w:eastAsia="Calibri" w:hAnsi="Tw Cen MT" w:cs="Times New Roman"/>
          <w:sz w:val="24"/>
          <w:szCs w:val="24"/>
          <w:lang w:val="es-ES" w:eastAsia="es-ES"/>
        </w:rPr>
        <w:t>Café, agua ilimitada.</w:t>
      </w:r>
    </w:p>
    <w:p w:rsidR="003663D3" w:rsidRPr="003663D3" w:rsidRDefault="003663D3" w:rsidP="003663D3">
      <w:pPr>
        <w:numPr>
          <w:ilvl w:val="0"/>
          <w:numId w:val="1"/>
        </w:numPr>
        <w:spacing w:after="0" w:line="264" w:lineRule="auto"/>
        <w:contextualSpacing/>
        <w:jc w:val="both"/>
        <w:rPr>
          <w:rFonts w:ascii="Tw Cen MT" w:eastAsia="Calibri" w:hAnsi="Tw Cen MT" w:cs="Times New Roman"/>
          <w:sz w:val="24"/>
          <w:szCs w:val="24"/>
          <w:lang w:val="es-ES" w:eastAsia="es-ES"/>
        </w:rPr>
      </w:pPr>
      <w:r w:rsidRPr="003663D3">
        <w:rPr>
          <w:rFonts w:ascii="Tw Cen MT" w:eastAsia="Calibri" w:hAnsi="Tw Cen MT" w:cs="Times New Roman"/>
          <w:sz w:val="24"/>
          <w:szCs w:val="24"/>
          <w:lang w:val="es-ES" w:eastAsia="es-ES"/>
        </w:rPr>
        <w:t>Velación 24 horas.</w:t>
      </w:r>
    </w:p>
    <w:p w:rsidR="003663D3" w:rsidRPr="003663D3" w:rsidRDefault="003663D3" w:rsidP="003663D3">
      <w:pPr>
        <w:numPr>
          <w:ilvl w:val="0"/>
          <w:numId w:val="1"/>
        </w:numPr>
        <w:spacing w:after="0" w:line="264" w:lineRule="auto"/>
        <w:contextualSpacing/>
        <w:jc w:val="both"/>
        <w:rPr>
          <w:rFonts w:ascii="Tw Cen MT" w:eastAsia="Calibri" w:hAnsi="Tw Cen MT" w:cs="Times New Roman"/>
          <w:sz w:val="24"/>
          <w:szCs w:val="24"/>
          <w:lang w:val="es-ES" w:eastAsia="es-ES"/>
        </w:rPr>
      </w:pPr>
      <w:r w:rsidRPr="003663D3">
        <w:rPr>
          <w:rFonts w:ascii="Tw Cen MT" w:eastAsia="Calibri" w:hAnsi="Tw Cen MT" w:cs="Times New Roman"/>
          <w:sz w:val="24"/>
          <w:szCs w:val="24"/>
          <w:lang w:val="es-ES" w:eastAsia="es-ES"/>
        </w:rPr>
        <w:t>Atención a los asistentes a la velación.</w:t>
      </w:r>
    </w:p>
    <w:p w:rsidR="003663D3" w:rsidRPr="003663D3" w:rsidRDefault="003663D3" w:rsidP="003663D3">
      <w:pPr>
        <w:numPr>
          <w:ilvl w:val="0"/>
          <w:numId w:val="1"/>
        </w:numPr>
        <w:spacing w:after="0" w:line="264" w:lineRule="auto"/>
        <w:contextualSpacing/>
        <w:jc w:val="both"/>
        <w:rPr>
          <w:rFonts w:ascii="Tw Cen MT" w:eastAsia="Calibri" w:hAnsi="Tw Cen MT" w:cs="Times New Roman"/>
          <w:sz w:val="24"/>
          <w:szCs w:val="24"/>
          <w:lang w:val="es-ES" w:eastAsia="es-ES"/>
        </w:rPr>
      </w:pPr>
      <w:r w:rsidRPr="003663D3">
        <w:rPr>
          <w:rFonts w:ascii="Tw Cen MT" w:eastAsia="Calibri" w:hAnsi="Tw Cen MT" w:cs="Times New Roman"/>
          <w:sz w:val="24"/>
          <w:szCs w:val="24"/>
          <w:lang w:val="es-ES" w:eastAsia="es-ES"/>
        </w:rPr>
        <w:t>Asesoría en trámites de alcaldía.</w:t>
      </w:r>
    </w:p>
    <w:p w:rsidR="003663D3" w:rsidRPr="003663D3" w:rsidRDefault="003663D3" w:rsidP="003663D3">
      <w:pPr>
        <w:numPr>
          <w:ilvl w:val="0"/>
          <w:numId w:val="1"/>
        </w:numPr>
        <w:spacing w:after="0" w:line="264" w:lineRule="auto"/>
        <w:contextualSpacing/>
        <w:jc w:val="both"/>
        <w:rPr>
          <w:rFonts w:ascii="Tw Cen MT" w:eastAsia="Calibri" w:hAnsi="Tw Cen MT" w:cs="Times New Roman"/>
          <w:sz w:val="24"/>
          <w:szCs w:val="24"/>
          <w:lang w:val="es-ES" w:eastAsia="es-ES"/>
        </w:rPr>
      </w:pPr>
      <w:r w:rsidRPr="003663D3">
        <w:rPr>
          <w:rFonts w:ascii="Tw Cen MT" w:eastAsia="Calibri" w:hAnsi="Tw Cen MT" w:cs="Times New Roman"/>
          <w:sz w:val="24"/>
          <w:szCs w:val="24"/>
          <w:lang w:val="es-ES" w:eastAsia="es-ES"/>
        </w:rPr>
        <w:t>Traslado a cementerio destino.</w:t>
      </w: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Requisitos generales:</w:t>
      </w: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numPr>
          <w:ilvl w:val="0"/>
          <w:numId w:val="2"/>
        </w:numPr>
        <w:spacing w:after="0" w:line="240" w:lineRule="auto"/>
        <w:rPr>
          <w:rFonts w:ascii="Tw Cen MT" w:hAnsi="Tw Cen MT"/>
          <w:sz w:val="24"/>
          <w:szCs w:val="24"/>
        </w:rPr>
      </w:pPr>
      <w:r w:rsidRPr="003663D3">
        <w:rPr>
          <w:rFonts w:ascii="Tw Cen MT" w:hAnsi="Tw Cen MT"/>
          <w:sz w:val="24"/>
          <w:szCs w:val="24"/>
        </w:rPr>
        <w:t>Dictamen médico firmado y sellado</w:t>
      </w:r>
    </w:p>
    <w:p w:rsidR="003663D3" w:rsidRPr="003663D3" w:rsidRDefault="003663D3" w:rsidP="003663D3">
      <w:pPr>
        <w:numPr>
          <w:ilvl w:val="0"/>
          <w:numId w:val="2"/>
        </w:numPr>
        <w:spacing w:after="0" w:line="240" w:lineRule="auto"/>
        <w:rPr>
          <w:rFonts w:ascii="Tw Cen MT" w:hAnsi="Tw Cen MT"/>
          <w:sz w:val="24"/>
          <w:szCs w:val="24"/>
        </w:rPr>
      </w:pPr>
      <w:r w:rsidRPr="003663D3">
        <w:rPr>
          <w:rFonts w:ascii="Tw Cen MT" w:hAnsi="Tw Cen MT"/>
          <w:sz w:val="24"/>
          <w:szCs w:val="24"/>
        </w:rPr>
        <w:t>DUI y NIT del fallecido</w:t>
      </w:r>
    </w:p>
    <w:p w:rsidR="003663D3" w:rsidRPr="003663D3" w:rsidRDefault="003663D3" w:rsidP="003663D3">
      <w:pPr>
        <w:numPr>
          <w:ilvl w:val="0"/>
          <w:numId w:val="2"/>
        </w:numPr>
        <w:spacing w:after="0" w:line="240" w:lineRule="auto"/>
        <w:rPr>
          <w:rFonts w:ascii="Tw Cen MT" w:hAnsi="Tw Cen MT"/>
          <w:sz w:val="24"/>
          <w:szCs w:val="24"/>
        </w:rPr>
      </w:pPr>
      <w:r w:rsidRPr="003663D3">
        <w:rPr>
          <w:rFonts w:ascii="Tw Cen MT" w:hAnsi="Tw Cen MT"/>
          <w:sz w:val="24"/>
          <w:szCs w:val="24"/>
        </w:rPr>
        <w:t>Fotocopias vigentes y legibles de DUI y NIT ampliadas al 150% de la persona que será la titular del servicio.</w:t>
      </w: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lastRenderedPageBreak/>
        <w:t xml:space="preserve">Costos: </w:t>
      </w:r>
    </w:p>
    <w:p w:rsidR="003663D3" w:rsidRPr="003663D3" w:rsidRDefault="003663D3" w:rsidP="003663D3">
      <w:pPr>
        <w:numPr>
          <w:ilvl w:val="0"/>
          <w:numId w:val="3"/>
        </w:numPr>
        <w:spacing w:after="0" w:line="240" w:lineRule="auto"/>
        <w:rPr>
          <w:rFonts w:ascii="Tw Cen MT" w:hAnsi="Tw Cen MT"/>
          <w:sz w:val="24"/>
          <w:szCs w:val="24"/>
        </w:rPr>
      </w:pPr>
      <w:r w:rsidRPr="003663D3">
        <w:rPr>
          <w:rFonts w:ascii="Tw Cen MT" w:hAnsi="Tw Cen MT"/>
          <w:sz w:val="24"/>
          <w:szCs w:val="24"/>
        </w:rPr>
        <w:t>Bronce:</w:t>
      </w:r>
      <w:r w:rsidRPr="003663D3">
        <w:rPr>
          <w:rFonts w:ascii="Tw Cen MT" w:hAnsi="Tw Cen MT"/>
          <w:sz w:val="24"/>
          <w:szCs w:val="24"/>
        </w:rPr>
        <w:tab/>
      </w:r>
      <w:r w:rsidRPr="003663D3">
        <w:rPr>
          <w:rFonts w:ascii="Tw Cen MT" w:hAnsi="Tw Cen MT"/>
          <w:sz w:val="24"/>
          <w:szCs w:val="24"/>
        </w:rPr>
        <w:tab/>
        <w:t>$1,190.00</w:t>
      </w:r>
    </w:p>
    <w:p w:rsidR="003663D3" w:rsidRPr="003663D3" w:rsidRDefault="003663D3" w:rsidP="003663D3">
      <w:pPr>
        <w:numPr>
          <w:ilvl w:val="0"/>
          <w:numId w:val="3"/>
        </w:numPr>
        <w:spacing w:after="0" w:line="240" w:lineRule="auto"/>
        <w:rPr>
          <w:rFonts w:ascii="Tw Cen MT" w:hAnsi="Tw Cen MT"/>
          <w:sz w:val="24"/>
          <w:szCs w:val="24"/>
        </w:rPr>
      </w:pPr>
      <w:r w:rsidRPr="003663D3">
        <w:rPr>
          <w:rFonts w:ascii="Tw Cen MT" w:hAnsi="Tw Cen MT"/>
          <w:sz w:val="24"/>
          <w:szCs w:val="24"/>
        </w:rPr>
        <w:t xml:space="preserve">Plata: </w:t>
      </w:r>
      <w:r w:rsidRPr="003663D3">
        <w:rPr>
          <w:rFonts w:ascii="Tw Cen MT" w:hAnsi="Tw Cen MT"/>
          <w:sz w:val="24"/>
          <w:szCs w:val="24"/>
        </w:rPr>
        <w:tab/>
      </w:r>
      <w:r w:rsidRPr="003663D3">
        <w:rPr>
          <w:rFonts w:ascii="Tw Cen MT" w:hAnsi="Tw Cen MT"/>
          <w:sz w:val="24"/>
          <w:szCs w:val="24"/>
        </w:rPr>
        <w:tab/>
        <w:t>$1,375.00</w:t>
      </w:r>
    </w:p>
    <w:p w:rsidR="003663D3" w:rsidRPr="003663D3" w:rsidRDefault="003663D3" w:rsidP="003663D3">
      <w:pPr>
        <w:numPr>
          <w:ilvl w:val="0"/>
          <w:numId w:val="3"/>
        </w:numPr>
        <w:spacing w:after="0" w:line="240" w:lineRule="auto"/>
        <w:rPr>
          <w:rFonts w:ascii="Tw Cen MT" w:hAnsi="Tw Cen MT"/>
          <w:sz w:val="24"/>
          <w:szCs w:val="24"/>
        </w:rPr>
      </w:pPr>
      <w:r w:rsidRPr="003663D3">
        <w:rPr>
          <w:rFonts w:ascii="Tw Cen MT" w:hAnsi="Tw Cen MT"/>
          <w:sz w:val="24"/>
          <w:szCs w:val="24"/>
        </w:rPr>
        <w:t xml:space="preserve">Oro: </w:t>
      </w:r>
      <w:r w:rsidRPr="003663D3">
        <w:rPr>
          <w:rFonts w:ascii="Tw Cen MT" w:hAnsi="Tw Cen MT"/>
          <w:sz w:val="24"/>
          <w:szCs w:val="24"/>
        </w:rPr>
        <w:tab/>
      </w:r>
      <w:r w:rsidRPr="003663D3">
        <w:rPr>
          <w:rFonts w:ascii="Tw Cen MT" w:hAnsi="Tw Cen MT"/>
          <w:sz w:val="24"/>
          <w:szCs w:val="24"/>
        </w:rPr>
        <w:tab/>
        <w:t>$1,725.00</w:t>
      </w:r>
    </w:p>
    <w:p w:rsidR="003663D3" w:rsidRPr="003663D3" w:rsidRDefault="003663D3" w:rsidP="003663D3">
      <w:pPr>
        <w:numPr>
          <w:ilvl w:val="0"/>
          <w:numId w:val="3"/>
        </w:numPr>
        <w:spacing w:after="0" w:line="240" w:lineRule="auto"/>
        <w:rPr>
          <w:rFonts w:ascii="Tw Cen MT" w:hAnsi="Tw Cen MT"/>
          <w:sz w:val="24"/>
          <w:szCs w:val="24"/>
        </w:rPr>
      </w:pPr>
      <w:r w:rsidRPr="003663D3">
        <w:rPr>
          <w:rFonts w:ascii="Tw Cen MT" w:hAnsi="Tw Cen MT"/>
          <w:sz w:val="24"/>
          <w:szCs w:val="24"/>
        </w:rPr>
        <w:t xml:space="preserve">Platino: </w:t>
      </w:r>
      <w:r w:rsidRPr="003663D3">
        <w:rPr>
          <w:rFonts w:ascii="Tw Cen MT" w:hAnsi="Tw Cen MT"/>
          <w:sz w:val="24"/>
          <w:szCs w:val="24"/>
        </w:rPr>
        <w:tab/>
        <w:t>$2,500.00</w:t>
      </w: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 xml:space="preserve">Observaciones: </w:t>
      </w: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numPr>
          <w:ilvl w:val="0"/>
          <w:numId w:val="4"/>
        </w:numPr>
        <w:spacing w:after="0" w:line="240" w:lineRule="auto"/>
        <w:rPr>
          <w:rFonts w:ascii="Tw Cen MT" w:hAnsi="Tw Cen MT"/>
          <w:sz w:val="24"/>
          <w:szCs w:val="24"/>
        </w:rPr>
      </w:pPr>
      <w:r w:rsidRPr="003663D3">
        <w:rPr>
          <w:rFonts w:ascii="Tw Cen MT" w:hAnsi="Tw Cen MT"/>
          <w:sz w:val="24"/>
          <w:szCs w:val="24"/>
        </w:rPr>
        <w:t>Se tienen 24 horas para realizar el pago total del servicio</w:t>
      </w:r>
    </w:p>
    <w:p w:rsidR="003663D3" w:rsidRPr="003663D3" w:rsidRDefault="003663D3" w:rsidP="003663D3">
      <w:pPr>
        <w:numPr>
          <w:ilvl w:val="0"/>
          <w:numId w:val="4"/>
        </w:numPr>
        <w:spacing w:after="0" w:line="240" w:lineRule="auto"/>
        <w:rPr>
          <w:rFonts w:ascii="Tw Cen MT" w:hAnsi="Tw Cen MT"/>
          <w:sz w:val="24"/>
          <w:szCs w:val="24"/>
        </w:rPr>
      </w:pPr>
      <w:r w:rsidRPr="003663D3">
        <w:rPr>
          <w:rFonts w:ascii="Tw Cen MT" w:hAnsi="Tw Cen MT"/>
          <w:sz w:val="24"/>
          <w:szCs w:val="24"/>
        </w:rPr>
        <w:t>Métodos de pago, efectivo, tarjeta, cheque o transferencia.</w:t>
      </w:r>
    </w:p>
    <w:p w:rsidR="003663D3" w:rsidRPr="003663D3" w:rsidRDefault="003663D3" w:rsidP="003663D3">
      <w:pPr>
        <w:spacing w:after="180" w:line="264" w:lineRule="auto"/>
        <w:rPr>
          <w:rFonts w:ascii="Tw Cen MT" w:hAnsi="Tw Cen MT" w:cs="Times New Roman"/>
          <w:kern w:val="24"/>
          <w:sz w:val="24"/>
          <w:szCs w:val="24"/>
          <w:lang w:eastAsia="es-SV"/>
        </w:rPr>
      </w:pPr>
    </w:p>
    <w:p w:rsidR="003663D3" w:rsidRPr="003663D3" w:rsidRDefault="003663D3" w:rsidP="003663D3">
      <w:pPr>
        <w:spacing w:after="180" w:line="264" w:lineRule="auto"/>
        <w:rPr>
          <w:rFonts w:ascii="Tw Cen MT" w:hAnsi="Tw Cen MT" w:cs="Times New Roman"/>
          <w:kern w:val="24"/>
          <w:sz w:val="24"/>
          <w:szCs w:val="24"/>
          <w:lang w:eastAsia="es-SV"/>
        </w:rPr>
      </w:pPr>
    </w:p>
    <w:p w:rsidR="003663D3" w:rsidRPr="003663D3" w:rsidRDefault="003663D3" w:rsidP="003663D3">
      <w:pPr>
        <w:spacing w:after="180" w:line="264" w:lineRule="auto"/>
        <w:rPr>
          <w:rFonts w:ascii="Tw Cen MT" w:hAnsi="Tw Cen MT" w:cs="Times New Roman"/>
          <w:b/>
          <w:kern w:val="24"/>
          <w:sz w:val="24"/>
          <w:szCs w:val="24"/>
          <w:lang w:eastAsia="es-SV"/>
        </w:rPr>
      </w:pPr>
      <w:r w:rsidRPr="003663D3">
        <w:rPr>
          <w:rFonts w:ascii="Tw Cen MT" w:hAnsi="Tw Cen MT" w:cs="Times New Roman"/>
          <w:kern w:val="24"/>
          <w:sz w:val="24"/>
          <w:szCs w:val="24"/>
          <w:lang w:eastAsia="es-SV"/>
        </w:rPr>
        <w:t>2-</w:t>
      </w:r>
      <w:r w:rsidRPr="003663D3">
        <w:rPr>
          <w:rFonts w:ascii="Tw Cen MT" w:hAnsi="Tw Cen MT" w:cs="Times New Roman"/>
          <w:b/>
          <w:kern w:val="24"/>
          <w:sz w:val="24"/>
          <w:szCs w:val="24"/>
          <w:lang w:eastAsia="es-SV"/>
        </w:rPr>
        <w:t>- Tramite Servicios funerarios Plan Prevenir para todo público.</w:t>
      </w: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Nombre: Servicios Plan Prevenir</w:t>
      </w: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 xml:space="preserve">Dirección: FUDEFA: Col. Ávila Calle El Progreso No 3143, San Salvador. </w:t>
      </w: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 xml:space="preserve">Teléfono de contacto es 2298-2999, 2528-0910 y 2528-0920, abierto las 24 horas. </w:t>
      </w: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Oficinas Centrales del IPSFA: ubicadas en Alameda Roosevelt y 55 avenida Norte Torre El Salvador, San Salvador.</w:t>
      </w: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Horario: Abierto las 24 horas, los 365 días del año.</w:t>
      </w: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Tiempo de respuesta: inmediato.</w:t>
      </w: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Área responsable:</w:t>
      </w: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Unidad de Negocio FUDEFA.</w:t>
      </w: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Encargado del servicio:</w:t>
      </w: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Gestor de Ventas.</w:t>
      </w: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 xml:space="preserve">Descripción: </w:t>
      </w: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Se ofrecen servicios Funerarios  pre necesidad para todo público, este servicio es una previsión a futuro, para que la familia estén cubierta con un servicio funerario a la hora que se presente una pérdida de un ser querido.</w:t>
      </w: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Los servicios a los cuales pueden  optar son cuatro:</w:t>
      </w: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Bronce, Plata, Oro, Platino. Son pagados mediante una prima inicial del 15% y pueden ser financiados desde 12 meses hasta 60 meses. Se cuenta con seguro de deuda el cual es opcional para el cliente.</w:t>
      </w: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Todos los servicios cuentan con:</w:t>
      </w: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ind w:left="426"/>
        <w:jc w:val="both"/>
        <w:rPr>
          <w:rFonts w:ascii="Tw Cen MT" w:eastAsia="Calibri" w:hAnsi="Tw Cen MT" w:cs="Times New Roman"/>
          <w:sz w:val="24"/>
          <w:szCs w:val="24"/>
          <w:lang w:val="es-ES" w:eastAsia="es-ES"/>
        </w:rPr>
      </w:pPr>
      <w:r w:rsidRPr="003663D3">
        <w:rPr>
          <w:rFonts w:ascii="Tw Cen MT" w:eastAsia="Calibri" w:hAnsi="Tw Cen MT" w:cs="Times New Roman"/>
          <w:sz w:val="24"/>
          <w:szCs w:val="24"/>
          <w:lang w:val="es-ES" w:eastAsia="es-ES"/>
        </w:rPr>
        <w:t>Actualmente todos los planes cuentan con los siguientes servicios:</w:t>
      </w:r>
    </w:p>
    <w:p w:rsidR="003663D3" w:rsidRPr="003663D3" w:rsidRDefault="003663D3" w:rsidP="003663D3">
      <w:pPr>
        <w:numPr>
          <w:ilvl w:val="0"/>
          <w:numId w:val="5"/>
        </w:numPr>
        <w:tabs>
          <w:tab w:val="left" w:pos="426"/>
        </w:tabs>
        <w:spacing w:after="0" w:line="264" w:lineRule="auto"/>
        <w:contextualSpacing/>
        <w:jc w:val="both"/>
        <w:rPr>
          <w:rFonts w:ascii="Tw Cen MT" w:eastAsia="Calibri" w:hAnsi="Tw Cen MT" w:cs="Times New Roman"/>
          <w:sz w:val="24"/>
          <w:szCs w:val="24"/>
          <w:lang w:val="es-ES" w:eastAsia="es-ES"/>
        </w:rPr>
      </w:pPr>
      <w:r w:rsidRPr="003663D3">
        <w:rPr>
          <w:rFonts w:ascii="Tw Cen MT" w:eastAsia="Calibri" w:hAnsi="Tw Cen MT" w:cs="Times New Roman"/>
          <w:sz w:val="24"/>
          <w:szCs w:val="24"/>
          <w:lang w:val="es-ES" w:eastAsia="es-ES"/>
        </w:rPr>
        <w:t>Retiro de la persona fallecida.</w:t>
      </w:r>
    </w:p>
    <w:p w:rsidR="003663D3" w:rsidRPr="003663D3" w:rsidRDefault="003663D3" w:rsidP="003663D3">
      <w:pPr>
        <w:numPr>
          <w:ilvl w:val="0"/>
          <w:numId w:val="5"/>
        </w:numPr>
        <w:spacing w:after="0" w:line="264" w:lineRule="auto"/>
        <w:contextualSpacing/>
        <w:jc w:val="both"/>
        <w:rPr>
          <w:rFonts w:ascii="Tw Cen MT" w:eastAsia="Calibri" w:hAnsi="Tw Cen MT" w:cs="Times New Roman"/>
          <w:sz w:val="24"/>
          <w:szCs w:val="24"/>
          <w:lang w:val="es-ES" w:eastAsia="es-ES"/>
        </w:rPr>
      </w:pPr>
      <w:r w:rsidRPr="003663D3">
        <w:rPr>
          <w:rFonts w:ascii="Tw Cen MT" w:eastAsia="Calibri" w:hAnsi="Tw Cen MT" w:cs="Times New Roman"/>
          <w:sz w:val="24"/>
          <w:szCs w:val="24"/>
          <w:lang w:val="es-ES" w:eastAsia="es-ES"/>
        </w:rPr>
        <w:t>Preparación del cuerpo para 24 horas.</w:t>
      </w:r>
    </w:p>
    <w:p w:rsidR="003663D3" w:rsidRPr="003663D3" w:rsidRDefault="003663D3" w:rsidP="003663D3">
      <w:pPr>
        <w:numPr>
          <w:ilvl w:val="0"/>
          <w:numId w:val="5"/>
        </w:numPr>
        <w:spacing w:after="0" w:line="264" w:lineRule="auto"/>
        <w:contextualSpacing/>
        <w:jc w:val="both"/>
        <w:rPr>
          <w:rFonts w:ascii="Tw Cen MT" w:eastAsia="Calibri" w:hAnsi="Tw Cen MT" w:cs="Times New Roman"/>
          <w:sz w:val="24"/>
          <w:szCs w:val="24"/>
          <w:lang w:val="es-ES" w:eastAsia="es-ES"/>
        </w:rPr>
      </w:pPr>
      <w:r w:rsidRPr="003663D3">
        <w:rPr>
          <w:rFonts w:ascii="Tw Cen MT" w:eastAsia="Calibri" w:hAnsi="Tw Cen MT" w:cs="Times New Roman"/>
          <w:sz w:val="24"/>
          <w:szCs w:val="24"/>
          <w:lang w:val="es-ES" w:eastAsia="es-ES"/>
        </w:rPr>
        <w:t>Ataúd según plan seleccionado.</w:t>
      </w:r>
    </w:p>
    <w:p w:rsidR="003663D3" w:rsidRPr="003663D3" w:rsidRDefault="003663D3" w:rsidP="003663D3">
      <w:pPr>
        <w:numPr>
          <w:ilvl w:val="0"/>
          <w:numId w:val="5"/>
        </w:numPr>
        <w:spacing w:after="0" w:line="264" w:lineRule="auto"/>
        <w:contextualSpacing/>
        <w:jc w:val="both"/>
        <w:rPr>
          <w:rFonts w:ascii="Tw Cen MT" w:eastAsia="Calibri" w:hAnsi="Tw Cen MT" w:cs="Times New Roman"/>
          <w:sz w:val="24"/>
          <w:szCs w:val="24"/>
          <w:lang w:val="es-ES" w:eastAsia="es-ES"/>
        </w:rPr>
      </w:pPr>
      <w:r w:rsidRPr="003663D3">
        <w:rPr>
          <w:rFonts w:ascii="Tw Cen MT" w:eastAsia="Calibri" w:hAnsi="Tw Cen MT" w:cs="Times New Roman"/>
          <w:sz w:val="24"/>
          <w:szCs w:val="24"/>
          <w:lang w:val="es-ES" w:eastAsia="es-ES"/>
        </w:rPr>
        <w:t>Capilla según plan seleccionado.</w:t>
      </w:r>
    </w:p>
    <w:p w:rsidR="003663D3" w:rsidRPr="003663D3" w:rsidRDefault="003663D3" w:rsidP="003663D3">
      <w:pPr>
        <w:numPr>
          <w:ilvl w:val="0"/>
          <w:numId w:val="5"/>
        </w:numPr>
        <w:spacing w:after="0" w:line="264" w:lineRule="auto"/>
        <w:contextualSpacing/>
        <w:jc w:val="both"/>
        <w:rPr>
          <w:rFonts w:ascii="Tw Cen MT" w:eastAsia="Calibri" w:hAnsi="Tw Cen MT" w:cs="Times New Roman"/>
          <w:sz w:val="24"/>
          <w:szCs w:val="24"/>
          <w:lang w:val="es-ES" w:eastAsia="es-ES"/>
        </w:rPr>
      </w:pPr>
      <w:r w:rsidRPr="003663D3">
        <w:rPr>
          <w:rFonts w:ascii="Tw Cen MT" w:eastAsia="Calibri" w:hAnsi="Tw Cen MT" w:cs="Times New Roman"/>
          <w:sz w:val="24"/>
          <w:szCs w:val="24"/>
          <w:lang w:val="es-ES" w:eastAsia="es-ES"/>
        </w:rPr>
        <w:t>Café, agua ilimitada y paquete de bocadillos según plan seleccionado</w:t>
      </w:r>
    </w:p>
    <w:p w:rsidR="003663D3" w:rsidRPr="003663D3" w:rsidRDefault="003663D3" w:rsidP="003663D3">
      <w:pPr>
        <w:numPr>
          <w:ilvl w:val="0"/>
          <w:numId w:val="5"/>
        </w:numPr>
        <w:spacing w:after="0" w:line="264" w:lineRule="auto"/>
        <w:contextualSpacing/>
        <w:jc w:val="both"/>
        <w:rPr>
          <w:rFonts w:ascii="Tw Cen MT" w:eastAsia="Calibri" w:hAnsi="Tw Cen MT" w:cs="Times New Roman"/>
          <w:sz w:val="24"/>
          <w:szCs w:val="24"/>
          <w:lang w:val="es-ES" w:eastAsia="es-ES"/>
        </w:rPr>
      </w:pPr>
      <w:r w:rsidRPr="003663D3">
        <w:rPr>
          <w:rFonts w:ascii="Tw Cen MT" w:eastAsia="Calibri" w:hAnsi="Tw Cen MT" w:cs="Times New Roman"/>
          <w:sz w:val="24"/>
          <w:szCs w:val="24"/>
          <w:lang w:val="es-ES" w:eastAsia="es-ES"/>
        </w:rPr>
        <w:t>Velación 24 horas.</w:t>
      </w:r>
    </w:p>
    <w:p w:rsidR="003663D3" w:rsidRPr="003663D3" w:rsidRDefault="003663D3" w:rsidP="003663D3">
      <w:pPr>
        <w:numPr>
          <w:ilvl w:val="0"/>
          <w:numId w:val="5"/>
        </w:numPr>
        <w:spacing w:after="0" w:line="264" w:lineRule="auto"/>
        <w:contextualSpacing/>
        <w:jc w:val="both"/>
        <w:rPr>
          <w:rFonts w:ascii="Tw Cen MT" w:eastAsia="Calibri" w:hAnsi="Tw Cen MT" w:cs="Times New Roman"/>
          <w:sz w:val="24"/>
          <w:szCs w:val="24"/>
          <w:lang w:val="es-ES" w:eastAsia="es-ES"/>
        </w:rPr>
      </w:pPr>
      <w:r w:rsidRPr="003663D3">
        <w:rPr>
          <w:rFonts w:ascii="Tw Cen MT" w:eastAsia="Calibri" w:hAnsi="Tw Cen MT" w:cs="Times New Roman"/>
          <w:sz w:val="24"/>
          <w:szCs w:val="24"/>
          <w:lang w:val="es-ES" w:eastAsia="es-ES"/>
        </w:rPr>
        <w:t>Atención a los asistentes a la velación.</w:t>
      </w:r>
    </w:p>
    <w:p w:rsidR="003663D3" w:rsidRPr="003663D3" w:rsidRDefault="003663D3" w:rsidP="003663D3">
      <w:pPr>
        <w:numPr>
          <w:ilvl w:val="0"/>
          <w:numId w:val="5"/>
        </w:numPr>
        <w:spacing w:after="0" w:line="264" w:lineRule="auto"/>
        <w:contextualSpacing/>
        <w:jc w:val="both"/>
        <w:rPr>
          <w:rFonts w:ascii="Tw Cen MT" w:eastAsia="Calibri" w:hAnsi="Tw Cen MT" w:cs="Times New Roman"/>
          <w:sz w:val="24"/>
          <w:szCs w:val="24"/>
          <w:lang w:val="es-ES" w:eastAsia="es-ES"/>
        </w:rPr>
      </w:pPr>
      <w:r w:rsidRPr="003663D3">
        <w:rPr>
          <w:rFonts w:ascii="Tw Cen MT" w:eastAsia="Calibri" w:hAnsi="Tw Cen MT" w:cs="Times New Roman"/>
          <w:sz w:val="24"/>
          <w:szCs w:val="24"/>
          <w:lang w:val="es-ES" w:eastAsia="es-ES"/>
        </w:rPr>
        <w:t>Asesoría en trámites de alcaldía.</w:t>
      </w:r>
    </w:p>
    <w:p w:rsidR="003663D3" w:rsidRPr="003663D3" w:rsidRDefault="003663D3" w:rsidP="003663D3">
      <w:pPr>
        <w:numPr>
          <w:ilvl w:val="0"/>
          <w:numId w:val="5"/>
        </w:numPr>
        <w:spacing w:after="0" w:line="264" w:lineRule="auto"/>
        <w:contextualSpacing/>
        <w:jc w:val="both"/>
        <w:rPr>
          <w:rFonts w:ascii="Tw Cen MT" w:eastAsia="Calibri" w:hAnsi="Tw Cen MT" w:cs="Times New Roman"/>
          <w:sz w:val="24"/>
          <w:szCs w:val="24"/>
          <w:lang w:val="es-ES" w:eastAsia="es-ES"/>
        </w:rPr>
      </w:pPr>
      <w:r w:rsidRPr="003663D3">
        <w:rPr>
          <w:rFonts w:ascii="Tw Cen MT" w:eastAsia="Calibri" w:hAnsi="Tw Cen MT" w:cs="Times New Roman"/>
          <w:sz w:val="24"/>
          <w:szCs w:val="24"/>
          <w:lang w:val="es-ES" w:eastAsia="es-ES"/>
        </w:rPr>
        <w:t>Traslado a cementerio destino.</w:t>
      </w:r>
    </w:p>
    <w:p w:rsidR="003663D3" w:rsidRPr="003663D3" w:rsidRDefault="003663D3" w:rsidP="003663D3">
      <w:pPr>
        <w:spacing w:after="0" w:line="240" w:lineRule="auto"/>
        <w:rPr>
          <w:rFonts w:ascii="Tw Cen MT" w:eastAsia="Calibri" w:hAnsi="Tw Cen MT"/>
          <w:sz w:val="24"/>
          <w:szCs w:val="24"/>
          <w:lang w:val="es-ES" w:eastAsia="es-ES"/>
        </w:rPr>
      </w:pP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jc w:val="both"/>
        <w:rPr>
          <w:rFonts w:ascii="Tw Cen MT" w:hAnsi="Tw Cen MT"/>
          <w:sz w:val="24"/>
          <w:szCs w:val="24"/>
        </w:rPr>
      </w:pPr>
      <w:r w:rsidRPr="003663D3">
        <w:rPr>
          <w:rFonts w:ascii="Tw Cen MT" w:hAnsi="Tw Cen MT"/>
          <w:sz w:val="24"/>
          <w:szCs w:val="24"/>
        </w:rPr>
        <w:t>El servicio puede ser solicitado directamente en la Funeraria de la Fuerza Armada FUDEFA, o llamar a nuestros teléfonos de contacto  para poder ser atendido por un Gestor de ventas para validar los datos del Plan Prevenir. Si el plan no se encuentra pagado en su totalidad el cliente debe pagar el complemento, para poder otorgar el servicio funerario.</w:t>
      </w:r>
    </w:p>
    <w:p w:rsidR="003663D3" w:rsidRPr="003663D3" w:rsidRDefault="003663D3" w:rsidP="003663D3">
      <w:pPr>
        <w:spacing w:after="0" w:line="240" w:lineRule="auto"/>
        <w:jc w:val="both"/>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Requisitos generales:</w:t>
      </w: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numPr>
          <w:ilvl w:val="1"/>
          <w:numId w:val="6"/>
        </w:numPr>
        <w:spacing w:after="0" w:line="240" w:lineRule="auto"/>
        <w:rPr>
          <w:rFonts w:ascii="Tw Cen MT" w:hAnsi="Tw Cen MT"/>
          <w:sz w:val="24"/>
          <w:szCs w:val="24"/>
        </w:rPr>
      </w:pPr>
      <w:r w:rsidRPr="003663D3">
        <w:rPr>
          <w:rFonts w:ascii="Tw Cen MT" w:hAnsi="Tw Cen MT"/>
          <w:sz w:val="24"/>
          <w:szCs w:val="24"/>
        </w:rPr>
        <w:t>Solicitar servicio y tener carta de cancelación o copia del contrato</w:t>
      </w:r>
    </w:p>
    <w:p w:rsidR="003663D3" w:rsidRPr="003663D3" w:rsidRDefault="003663D3" w:rsidP="003663D3">
      <w:pPr>
        <w:numPr>
          <w:ilvl w:val="1"/>
          <w:numId w:val="6"/>
        </w:numPr>
        <w:spacing w:after="0" w:line="240" w:lineRule="auto"/>
        <w:rPr>
          <w:rFonts w:ascii="Tw Cen MT" w:hAnsi="Tw Cen MT"/>
          <w:sz w:val="24"/>
          <w:szCs w:val="24"/>
        </w:rPr>
      </w:pPr>
      <w:r w:rsidRPr="003663D3">
        <w:rPr>
          <w:rFonts w:ascii="Tw Cen MT" w:hAnsi="Tw Cen MT"/>
          <w:sz w:val="24"/>
          <w:szCs w:val="24"/>
        </w:rPr>
        <w:t>Dictamen médico firmado y sellado</w:t>
      </w:r>
    </w:p>
    <w:p w:rsidR="003663D3" w:rsidRPr="003663D3" w:rsidRDefault="003663D3" w:rsidP="003663D3">
      <w:pPr>
        <w:numPr>
          <w:ilvl w:val="1"/>
          <w:numId w:val="6"/>
        </w:numPr>
        <w:spacing w:after="0" w:line="240" w:lineRule="auto"/>
        <w:rPr>
          <w:rFonts w:ascii="Tw Cen MT" w:hAnsi="Tw Cen MT"/>
          <w:sz w:val="24"/>
          <w:szCs w:val="24"/>
        </w:rPr>
      </w:pPr>
      <w:r w:rsidRPr="003663D3">
        <w:rPr>
          <w:rFonts w:ascii="Tw Cen MT" w:hAnsi="Tw Cen MT"/>
          <w:sz w:val="24"/>
          <w:szCs w:val="24"/>
        </w:rPr>
        <w:t>DUI y NIT del fallecido</w:t>
      </w:r>
    </w:p>
    <w:p w:rsidR="003663D3" w:rsidRPr="003663D3" w:rsidRDefault="003663D3" w:rsidP="003663D3">
      <w:pPr>
        <w:numPr>
          <w:ilvl w:val="1"/>
          <w:numId w:val="6"/>
        </w:numPr>
        <w:spacing w:after="0" w:line="240" w:lineRule="auto"/>
        <w:rPr>
          <w:rFonts w:ascii="Tw Cen MT" w:hAnsi="Tw Cen MT"/>
          <w:sz w:val="24"/>
          <w:szCs w:val="24"/>
        </w:rPr>
      </w:pPr>
      <w:r w:rsidRPr="003663D3">
        <w:rPr>
          <w:rFonts w:ascii="Tw Cen MT" w:hAnsi="Tw Cen MT"/>
          <w:sz w:val="24"/>
          <w:szCs w:val="24"/>
        </w:rPr>
        <w:t>Fotocopias vigentes y legibles de DUI y NIT ampliadas al 150% de la persona que será la titular del servicio.</w:t>
      </w: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 xml:space="preserve">Costos: </w:t>
      </w:r>
    </w:p>
    <w:p w:rsidR="003663D3" w:rsidRPr="003663D3" w:rsidRDefault="003663D3" w:rsidP="003663D3">
      <w:pPr>
        <w:numPr>
          <w:ilvl w:val="0"/>
          <w:numId w:val="7"/>
        </w:numPr>
        <w:spacing w:after="0" w:line="240" w:lineRule="auto"/>
        <w:rPr>
          <w:rFonts w:ascii="Tw Cen MT" w:hAnsi="Tw Cen MT"/>
          <w:sz w:val="24"/>
          <w:szCs w:val="24"/>
        </w:rPr>
      </w:pPr>
      <w:r w:rsidRPr="003663D3">
        <w:rPr>
          <w:rFonts w:ascii="Tw Cen MT" w:hAnsi="Tw Cen MT"/>
          <w:sz w:val="24"/>
          <w:szCs w:val="24"/>
        </w:rPr>
        <w:t>Bronce:</w:t>
      </w:r>
      <w:r w:rsidRPr="003663D3">
        <w:rPr>
          <w:rFonts w:ascii="Tw Cen MT" w:hAnsi="Tw Cen MT"/>
          <w:sz w:val="24"/>
          <w:szCs w:val="24"/>
        </w:rPr>
        <w:tab/>
      </w:r>
      <w:r w:rsidRPr="003663D3">
        <w:rPr>
          <w:rFonts w:ascii="Tw Cen MT" w:hAnsi="Tw Cen MT"/>
          <w:sz w:val="24"/>
          <w:szCs w:val="24"/>
        </w:rPr>
        <w:tab/>
        <w:t>$1,190.00</w:t>
      </w:r>
    </w:p>
    <w:p w:rsidR="003663D3" w:rsidRPr="003663D3" w:rsidRDefault="003663D3" w:rsidP="003663D3">
      <w:pPr>
        <w:numPr>
          <w:ilvl w:val="0"/>
          <w:numId w:val="7"/>
        </w:numPr>
        <w:spacing w:after="0" w:line="240" w:lineRule="auto"/>
        <w:rPr>
          <w:rFonts w:ascii="Tw Cen MT" w:hAnsi="Tw Cen MT"/>
          <w:sz w:val="24"/>
          <w:szCs w:val="24"/>
        </w:rPr>
      </w:pPr>
      <w:r w:rsidRPr="003663D3">
        <w:rPr>
          <w:rFonts w:ascii="Tw Cen MT" w:hAnsi="Tw Cen MT"/>
          <w:sz w:val="24"/>
          <w:szCs w:val="24"/>
        </w:rPr>
        <w:t xml:space="preserve">Plata: </w:t>
      </w:r>
      <w:r w:rsidRPr="003663D3">
        <w:rPr>
          <w:rFonts w:ascii="Tw Cen MT" w:hAnsi="Tw Cen MT"/>
          <w:sz w:val="24"/>
          <w:szCs w:val="24"/>
        </w:rPr>
        <w:tab/>
      </w:r>
      <w:r w:rsidRPr="003663D3">
        <w:rPr>
          <w:rFonts w:ascii="Tw Cen MT" w:hAnsi="Tw Cen MT"/>
          <w:sz w:val="24"/>
          <w:szCs w:val="24"/>
        </w:rPr>
        <w:tab/>
        <w:t>$1,375.00</w:t>
      </w:r>
    </w:p>
    <w:p w:rsidR="003663D3" w:rsidRPr="003663D3" w:rsidRDefault="003663D3" w:rsidP="003663D3">
      <w:pPr>
        <w:numPr>
          <w:ilvl w:val="0"/>
          <w:numId w:val="7"/>
        </w:numPr>
        <w:spacing w:after="0" w:line="240" w:lineRule="auto"/>
        <w:rPr>
          <w:rFonts w:ascii="Tw Cen MT" w:hAnsi="Tw Cen MT"/>
          <w:sz w:val="24"/>
          <w:szCs w:val="24"/>
        </w:rPr>
      </w:pPr>
      <w:r w:rsidRPr="003663D3">
        <w:rPr>
          <w:rFonts w:ascii="Tw Cen MT" w:hAnsi="Tw Cen MT"/>
          <w:sz w:val="24"/>
          <w:szCs w:val="24"/>
        </w:rPr>
        <w:t xml:space="preserve">Oro: </w:t>
      </w:r>
      <w:r w:rsidRPr="003663D3">
        <w:rPr>
          <w:rFonts w:ascii="Tw Cen MT" w:hAnsi="Tw Cen MT"/>
          <w:sz w:val="24"/>
          <w:szCs w:val="24"/>
        </w:rPr>
        <w:tab/>
      </w:r>
      <w:r w:rsidRPr="003663D3">
        <w:rPr>
          <w:rFonts w:ascii="Tw Cen MT" w:hAnsi="Tw Cen MT"/>
          <w:sz w:val="24"/>
          <w:szCs w:val="24"/>
        </w:rPr>
        <w:tab/>
        <w:t>$1,725.00</w:t>
      </w:r>
    </w:p>
    <w:p w:rsidR="003663D3" w:rsidRPr="003663D3" w:rsidRDefault="003663D3" w:rsidP="003663D3">
      <w:pPr>
        <w:numPr>
          <w:ilvl w:val="0"/>
          <w:numId w:val="7"/>
        </w:numPr>
        <w:spacing w:after="0" w:line="240" w:lineRule="auto"/>
        <w:rPr>
          <w:rFonts w:ascii="Tw Cen MT" w:hAnsi="Tw Cen MT"/>
          <w:sz w:val="24"/>
          <w:szCs w:val="24"/>
        </w:rPr>
      </w:pPr>
      <w:r w:rsidRPr="003663D3">
        <w:rPr>
          <w:rFonts w:ascii="Tw Cen MT" w:hAnsi="Tw Cen MT"/>
          <w:sz w:val="24"/>
          <w:szCs w:val="24"/>
        </w:rPr>
        <w:t xml:space="preserve">Platino: </w:t>
      </w:r>
      <w:r w:rsidRPr="003663D3">
        <w:rPr>
          <w:rFonts w:ascii="Tw Cen MT" w:hAnsi="Tw Cen MT"/>
          <w:sz w:val="24"/>
          <w:szCs w:val="24"/>
        </w:rPr>
        <w:tab/>
        <w:t>$2,500.00</w:t>
      </w:r>
    </w:p>
    <w:p w:rsidR="003663D3" w:rsidRPr="003663D3" w:rsidRDefault="003663D3" w:rsidP="003663D3">
      <w:pPr>
        <w:spacing w:after="0" w:line="240" w:lineRule="auto"/>
        <w:rPr>
          <w:rFonts w:ascii="Tw Cen MT" w:hAnsi="Tw Cen MT"/>
          <w:sz w:val="24"/>
          <w:szCs w:val="24"/>
        </w:rPr>
      </w:pPr>
    </w:p>
    <w:p w:rsidR="003663D3" w:rsidRPr="003663D3" w:rsidRDefault="003663D3" w:rsidP="003663D3">
      <w:pPr>
        <w:spacing w:after="0" w:line="240" w:lineRule="auto"/>
        <w:rPr>
          <w:rFonts w:ascii="Tw Cen MT" w:hAnsi="Tw Cen MT"/>
          <w:sz w:val="24"/>
          <w:szCs w:val="24"/>
        </w:rPr>
      </w:pPr>
      <w:r w:rsidRPr="003663D3">
        <w:rPr>
          <w:rFonts w:ascii="Tw Cen MT" w:hAnsi="Tw Cen MT"/>
          <w:sz w:val="24"/>
          <w:szCs w:val="24"/>
        </w:rPr>
        <w:t xml:space="preserve">Observaciones: </w:t>
      </w:r>
    </w:p>
    <w:p w:rsidR="003663D3" w:rsidRPr="003663D3" w:rsidRDefault="003663D3" w:rsidP="003663D3">
      <w:pPr>
        <w:numPr>
          <w:ilvl w:val="0"/>
          <w:numId w:val="8"/>
        </w:numPr>
        <w:spacing w:after="0" w:line="240" w:lineRule="auto"/>
        <w:rPr>
          <w:rFonts w:ascii="Tw Cen MT" w:hAnsi="Tw Cen MT"/>
          <w:sz w:val="24"/>
          <w:szCs w:val="24"/>
        </w:rPr>
      </w:pPr>
      <w:r w:rsidRPr="003663D3">
        <w:rPr>
          <w:rFonts w:ascii="Tw Cen MT" w:hAnsi="Tw Cen MT"/>
          <w:sz w:val="24"/>
          <w:szCs w:val="24"/>
        </w:rPr>
        <w:t>De tener cuotas pendientes de pagar, se deben de cancelar durante el servicio está siendo velado.</w:t>
      </w:r>
    </w:p>
    <w:p w:rsidR="003663D3" w:rsidRPr="003663D3" w:rsidRDefault="003663D3" w:rsidP="003663D3">
      <w:pPr>
        <w:numPr>
          <w:ilvl w:val="0"/>
          <w:numId w:val="8"/>
        </w:numPr>
        <w:spacing w:after="0" w:line="240" w:lineRule="auto"/>
        <w:rPr>
          <w:rFonts w:ascii="Tw Cen MT" w:hAnsi="Tw Cen MT"/>
          <w:sz w:val="24"/>
          <w:szCs w:val="24"/>
        </w:rPr>
      </w:pPr>
      <w:r w:rsidRPr="003663D3">
        <w:rPr>
          <w:rFonts w:ascii="Tw Cen MT" w:hAnsi="Tw Cen MT"/>
          <w:sz w:val="24"/>
          <w:szCs w:val="24"/>
        </w:rPr>
        <w:t>Métodos de pago, efectivo, tarjeta, cheque o transferencia.</w:t>
      </w:r>
    </w:p>
    <w:p w:rsidR="00582135" w:rsidRDefault="00582135"/>
    <w:p w:rsidR="00582135" w:rsidRDefault="00582135"/>
    <w:sectPr w:rsidR="00582135">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D91" w:rsidRDefault="00FD1D91" w:rsidP="00582135">
      <w:pPr>
        <w:spacing w:after="0" w:line="240" w:lineRule="auto"/>
      </w:pPr>
      <w:r>
        <w:separator/>
      </w:r>
    </w:p>
  </w:endnote>
  <w:endnote w:type="continuationSeparator" w:id="0">
    <w:p w:rsidR="00FD1D91" w:rsidRDefault="00FD1D91" w:rsidP="00582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altName w:val="Lucida Sans Unicode"/>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D91" w:rsidRDefault="00FD1D91" w:rsidP="00582135">
      <w:pPr>
        <w:spacing w:after="0" w:line="240" w:lineRule="auto"/>
      </w:pPr>
      <w:r>
        <w:separator/>
      </w:r>
    </w:p>
  </w:footnote>
  <w:footnote w:type="continuationSeparator" w:id="0">
    <w:p w:rsidR="00FD1D91" w:rsidRDefault="00FD1D91" w:rsidP="00582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135" w:rsidRDefault="00582135">
    <w:pPr>
      <w:pStyle w:val="Encabezado"/>
    </w:pPr>
  </w:p>
  <w:p w:rsidR="00582135" w:rsidRDefault="005821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7270"/>
    <w:multiLevelType w:val="hybridMultilevel"/>
    <w:tmpl w:val="11B83E2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10A401F"/>
    <w:multiLevelType w:val="hybridMultilevel"/>
    <w:tmpl w:val="6A7A4B7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9A265AB"/>
    <w:multiLevelType w:val="hybridMultilevel"/>
    <w:tmpl w:val="18D870D6"/>
    <w:lvl w:ilvl="0" w:tplc="440A0017">
      <w:start w:val="1"/>
      <w:numFmt w:val="lowerLetter"/>
      <w:lvlText w:val="%1)"/>
      <w:lvlJc w:val="left"/>
      <w:pPr>
        <w:ind w:left="720" w:hanging="360"/>
      </w:pPr>
    </w:lvl>
    <w:lvl w:ilvl="1" w:tplc="53206068">
      <w:numFmt w:val="bullet"/>
      <w:lvlText w:val="•"/>
      <w:lvlJc w:val="left"/>
      <w:pPr>
        <w:ind w:left="1440" w:hanging="360"/>
      </w:pPr>
      <w:rPr>
        <w:rFonts w:ascii="Tw Cen MT" w:eastAsiaTheme="minorHAnsi" w:hAnsi="Tw Cen MT" w:cstheme="minorBidi"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EF52283"/>
    <w:multiLevelType w:val="hybridMultilevel"/>
    <w:tmpl w:val="4DAC197C"/>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516838E2"/>
    <w:multiLevelType w:val="hybridMultilevel"/>
    <w:tmpl w:val="DF0C63BA"/>
    <w:lvl w:ilvl="0" w:tplc="440A0017">
      <w:start w:val="1"/>
      <w:numFmt w:val="lowerLetter"/>
      <w:lvlText w:val="%1)"/>
      <w:lvlJc w:val="left"/>
      <w:pPr>
        <w:ind w:left="786" w:hanging="360"/>
      </w:p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5">
    <w:nsid w:val="5F6D2839"/>
    <w:multiLevelType w:val="hybridMultilevel"/>
    <w:tmpl w:val="A7E699C0"/>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626925A8"/>
    <w:multiLevelType w:val="hybridMultilevel"/>
    <w:tmpl w:val="B72484F4"/>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6C7C20E2"/>
    <w:multiLevelType w:val="hybridMultilevel"/>
    <w:tmpl w:val="561A7AC6"/>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6"/>
  </w:num>
  <w:num w:numId="5">
    <w:abstractNumId w:val="4"/>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135"/>
    <w:rsid w:val="003663D3"/>
    <w:rsid w:val="00582135"/>
    <w:rsid w:val="00A33961"/>
    <w:rsid w:val="00FD1D9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21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2135"/>
  </w:style>
  <w:style w:type="paragraph" w:styleId="Piedepgina">
    <w:name w:val="footer"/>
    <w:basedOn w:val="Normal"/>
    <w:link w:val="PiedepginaCar"/>
    <w:uiPriority w:val="99"/>
    <w:unhideWhenUsed/>
    <w:rsid w:val="005821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2135"/>
  </w:style>
  <w:style w:type="paragraph" w:styleId="Textodeglobo">
    <w:name w:val="Balloon Text"/>
    <w:basedOn w:val="Normal"/>
    <w:link w:val="TextodegloboCar"/>
    <w:uiPriority w:val="99"/>
    <w:semiHidden/>
    <w:unhideWhenUsed/>
    <w:rsid w:val="005821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21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21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2135"/>
  </w:style>
  <w:style w:type="paragraph" w:styleId="Piedepgina">
    <w:name w:val="footer"/>
    <w:basedOn w:val="Normal"/>
    <w:link w:val="PiedepginaCar"/>
    <w:uiPriority w:val="99"/>
    <w:unhideWhenUsed/>
    <w:rsid w:val="005821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2135"/>
  </w:style>
  <w:style w:type="paragraph" w:styleId="Textodeglobo">
    <w:name w:val="Balloon Text"/>
    <w:basedOn w:val="Normal"/>
    <w:link w:val="TextodegloboCar"/>
    <w:uiPriority w:val="99"/>
    <w:semiHidden/>
    <w:unhideWhenUsed/>
    <w:rsid w:val="005821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21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597</Words>
  <Characters>3286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Ulises Armanado Mejia Días</dc:creator>
  <cp:lastModifiedBy>Ulises Armanado Mejia Días</cp:lastModifiedBy>
  <cp:revision>1</cp:revision>
  <dcterms:created xsi:type="dcterms:W3CDTF">2023-08-18T14:55:00Z</dcterms:created>
  <dcterms:modified xsi:type="dcterms:W3CDTF">2023-08-18T15:10:00Z</dcterms:modified>
</cp:coreProperties>
</file>