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3A0E" w14:textId="5665FD98" w:rsidR="007E2106" w:rsidRDefault="007E2106" w:rsidP="004D2D6B">
      <w:pPr>
        <w:rPr>
          <w:lang w:val="es-MX"/>
        </w:rPr>
      </w:pPr>
    </w:p>
    <w:p w14:paraId="21BE83C4" w14:textId="24D1BDFD" w:rsidR="007E2106" w:rsidRDefault="007E2106" w:rsidP="004D2D6B">
      <w:pPr>
        <w:rPr>
          <w:lang w:val="es-MX"/>
        </w:rPr>
      </w:pPr>
    </w:p>
    <w:p w14:paraId="1D7246D7" w14:textId="441454DC" w:rsidR="007E2106" w:rsidRDefault="007E2106" w:rsidP="004D2D6B">
      <w:pPr>
        <w:rPr>
          <w:lang w:val="es-MX"/>
        </w:rPr>
      </w:pPr>
    </w:p>
    <w:p w14:paraId="5B0862F2" w14:textId="6BC8D4BF" w:rsidR="007E2106" w:rsidRDefault="007E2106" w:rsidP="004D2D6B">
      <w:pPr>
        <w:rPr>
          <w:lang w:val="es-MX"/>
        </w:rPr>
      </w:pPr>
    </w:p>
    <w:p w14:paraId="06D2262C" w14:textId="1AC5FBC1" w:rsidR="00F30E6A" w:rsidRDefault="00F30E6A" w:rsidP="00F30E6A">
      <w:pPr>
        <w:jc w:val="center"/>
        <w:rPr>
          <w:rFonts w:cs="Arial"/>
          <w:b/>
          <w:bCs/>
          <w:sz w:val="24"/>
          <w:szCs w:val="24"/>
          <w:lang w:val="es-MX"/>
        </w:rPr>
      </w:pPr>
      <w:r>
        <w:rPr>
          <w:rFonts w:cs="Arial"/>
          <w:b/>
          <w:bCs/>
          <w:sz w:val="24"/>
          <w:szCs w:val="24"/>
          <w:lang w:val="es-MX"/>
        </w:rPr>
        <w:t>AUTORIDAD SALVADOREÑA DEL AGUA</w:t>
      </w:r>
    </w:p>
    <w:p w14:paraId="3857EC09" w14:textId="77777777" w:rsidR="006B3072" w:rsidRDefault="006B3072" w:rsidP="00F30E6A">
      <w:pPr>
        <w:jc w:val="center"/>
        <w:rPr>
          <w:rFonts w:cs="Arial"/>
          <w:b/>
          <w:bCs/>
          <w:sz w:val="24"/>
          <w:szCs w:val="24"/>
          <w:lang w:val="es-MX"/>
        </w:rPr>
      </w:pPr>
    </w:p>
    <w:p w14:paraId="5B7B0D9C" w14:textId="77777777" w:rsidR="006B3072" w:rsidRPr="006B3072" w:rsidRDefault="006B3072" w:rsidP="006B3072">
      <w:pPr>
        <w:jc w:val="center"/>
        <w:rPr>
          <w:rFonts w:ascii="Museo Sans 300" w:hAnsi="Museo Sans 300" w:cs="Arial"/>
          <w:b/>
          <w:bCs/>
          <w:sz w:val="24"/>
          <w:szCs w:val="24"/>
          <w:lang w:val="es-MX"/>
        </w:rPr>
      </w:pPr>
      <w:r w:rsidRPr="006B3072">
        <w:rPr>
          <w:rFonts w:ascii="Museo Sans 300" w:hAnsi="Museo Sans 300" w:cs="Arial"/>
          <w:b/>
          <w:bCs/>
          <w:sz w:val="24"/>
          <w:szCs w:val="24"/>
          <w:lang w:val="es-MX"/>
        </w:rPr>
        <w:t>ASESORIAS LEGALES</w:t>
      </w:r>
    </w:p>
    <w:p w14:paraId="2DC5CA20" w14:textId="77777777" w:rsidR="006B3072" w:rsidRDefault="006B3072" w:rsidP="00F30E6A">
      <w:pPr>
        <w:jc w:val="center"/>
        <w:rPr>
          <w:rFonts w:cs="Arial"/>
          <w:b/>
          <w:bCs/>
          <w:sz w:val="24"/>
          <w:szCs w:val="24"/>
          <w:lang w:val="es-MX"/>
        </w:rPr>
      </w:pPr>
    </w:p>
    <w:p w14:paraId="28E63A53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INSTITUCIÓN: </w:t>
      </w:r>
      <w:r>
        <w:rPr>
          <w:rFonts w:ascii="Museo Sans 300" w:hAnsi="Museo Sans 300" w:cs="Arial"/>
          <w:sz w:val="24"/>
          <w:szCs w:val="24"/>
          <w:lang w:val="es-MX"/>
        </w:rPr>
        <w:t>AUTORIDAD SALVADOREÑA DEL AGUA</w:t>
      </w:r>
    </w:p>
    <w:p w14:paraId="23585A92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CATEGORIA DEL SERVICIO: </w:t>
      </w:r>
      <w:r>
        <w:rPr>
          <w:rFonts w:ascii="Museo Sans 300" w:hAnsi="Museo Sans 300" w:cs="Arial"/>
          <w:sz w:val="24"/>
          <w:szCs w:val="24"/>
          <w:lang w:val="es-MX"/>
        </w:rPr>
        <w:t>SERVICIO AL PUBLICO ASA2023</w:t>
      </w:r>
    </w:p>
    <w:p w14:paraId="0F975368" w14:textId="77777777" w:rsidR="00F30E6A" w:rsidRDefault="00F30E6A" w:rsidP="00F30E6A">
      <w:pPr>
        <w:rPr>
          <w:rFonts w:ascii="Museo Sans 300" w:hAnsi="Museo Sans 300" w:cs="Arial"/>
          <w:b/>
          <w:bCs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NOMBRE DEL SERVICIO: </w:t>
      </w:r>
      <w:r>
        <w:rPr>
          <w:rFonts w:ascii="Museo Sans 300" w:hAnsi="Museo Sans 300" w:cs="Arial"/>
          <w:sz w:val="24"/>
          <w:szCs w:val="24"/>
          <w:lang w:val="es-MX"/>
        </w:rPr>
        <w:t>ASESORIAS LEGALES</w:t>
      </w:r>
    </w:p>
    <w:p w14:paraId="3B677162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DIRECCIÓN: </w:t>
      </w:r>
      <w:r>
        <w:rPr>
          <w:rFonts w:ascii="Museo Sans 300" w:hAnsi="Museo Sans 300" w:cs="Arial"/>
          <w:sz w:val="24"/>
          <w:szCs w:val="24"/>
          <w:lang w:val="es-MX"/>
        </w:rPr>
        <w:t>Calle La Reforma, número 219, Colonia San Benito, San Salvador.</w:t>
      </w:r>
    </w:p>
    <w:p w14:paraId="0A7583B6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HORARIO: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8:00am a 4:00pm; Con atención en días no hábiles previa solicitud con diez (10) días de anticipación, exceptuando asuetos y días feriados.</w:t>
      </w:r>
    </w:p>
    <w:p w14:paraId="594A9F0E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TIEMPO DE RESPUESTA: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Diez (10) días hábiles.</w:t>
      </w:r>
    </w:p>
    <w:p w14:paraId="1EC4AFEF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AREA RESPONSABLE: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Subdirección de Gestión Territorial.</w:t>
      </w:r>
    </w:p>
    <w:p w14:paraId="7A9E211D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 xml:space="preserve">ENCARGADO DEL SERVICIO: </w:t>
      </w:r>
      <w:r>
        <w:rPr>
          <w:rFonts w:ascii="Museo Sans 300" w:hAnsi="Museo Sans 300" w:cs="Arial"/>
          <w:sz w:val="24"/>
          <w:szCs w:val="24"/>
          <w:lang w:val="es-MX"/>
        </w:rPr>
        <w:t>Equipo Técnico en Gestión Territorial.</w:t>
      </w:r>
    </w:p>
    <w:p w14:paraId="1F6945B5" w14:textId="77777777" w:rsidR="00F30E6A" w:rsidRDefault="00F30E6A" w:rsidP="00F30E6A">
      <w:pPr>
        <w:spacing w:after="0"/>
        <w:jc w:val="both"/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DESCRIPCIÓN: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Las asesorías legales son un aporte que la Subdirección de Gestión Territorial brinda a las comunidades que tienen dificultades en cualquier proceso de índole legal, llegando hasta el lugar en donde se necesite; actuando como mediadores en conflictos de posesión de inmuebles que tienen la fuente de abastecimiento para juntas de agua, conflictos entre juntas, asesoramientos para legalización y obtención de personerías jurídicas a juntas que estén o no en inicio de los procesos para su legalización.</w:t>
      </w:r>
    </w:p>
    <w:p w14:paraId="24A3E116" w14:textId="77777777" w:rsidR="00F30E6A" w:rsidRDefault="00F30E6A" w:rsidP="00F30E6A">
      <w:pPr>
        <w:spacing w:after="0"/>
        <w:rPr>
          <w:rFonts w:ascii="Museo Sans 300" w:hAnsi="Museo Sans 300" w:cs="Arial"/>
          <w:sz w:val="24"/>
          <w:szCs w:val="24"/>
          <w:lang w:val="es-MX"/>
        </w:rPr>
      </w:pPr>
    </w:p>
    <w:p w14:paraId="3DFEC28A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REQUISITOS GENERALES: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Solicitud formal escrita de asesoría legal, dirigida a presidencia institucional con diez (10) días de anticipación, especialmente si son atendidas fines de semana.</w:t>
      </w:r>
    </w:p>
    <w:p w14:paraId="7179EECA" w14:textId="77777777" w:rsidR="00F30E6A" w:rsidRDefault="00F30E6A" w:rsidP="00F30E6A">
      <w:pPr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COSTO: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$0.00</w:t>
      </w:r>
    </w:p>
    <w:p w14:paraId="460CCB77" w14:textId="77777777" w:rsidR="006B3072" w:rsidRDefault="00F30E6A" w:rsidP="006B3072">
      <w:pPr>
        <w:jc w:val="both"/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b/>
          <w:bCs/>
          <w:sz w:val="24"/>
          <w:szCs w:val="24"/>
          <w:lang w:val="es-MX"/>
        </w:rPr>
        <w:t>OBSERVACIONES:</w:t>
      </w:r>
      <w:r>
        <w:rPr>
          <w:rFonts w:ascii="Museo Sans 300" w:hAnsi="Museo Sans 300" w:cs="Arial"/>
          <w:sz w:val="24"/>
          <w:szCs w:val="24"/>
          <w:lang w:val="es-MX"/>
        </w:rPr>
        <w:t xml:space="preserve"> Las asesorías legales realizadas por la Dirección de Gestión Territorial, a las diferentes juntas de agua de las comunidades que lo han solicitado en el segundo trimestre del año 2023 han sido de 17 a nivel nacional y son brindadas por un técnico </w:t>
      </w:r>
    </w:p>
    <w:p w14:paraId="676D58FD" w14:textId="77777777" w:rsidR="006B3072" w:rsidRDefault="006B3072" w:rsidP="006B3072">
      <w:pPr>
        <w:jc w:val="both"/>
        <w:rPr>
          <w:rFonts w:ascii="Museo Sans 300" w:hAnsi="Museo Sans 300" w:cs="Arial"/>
          <w:sz w:val="24"/>
          <w:szCs w:val="24"/>
          <w:lang w:val="es-MX"/>
        </w:rPr>
      </w:pPr>
    </w:p>
    <w:p w14:paraId="1F8EE1B2" w14:textId="77777777" w:rsidR="006B3072" w:rsidRDefault="006B3072" w:rsidP="006B3072">
      <w:pPr>
        <w:jc w:val="both"/>
        <w:rPr>
          <w:rFonts w:ascii="Museo Sans 300" w:hAnsi="Museo Sans 300" w:cs="Arial"/>
          <w:sz w:val="24"/>
          <w:szCs w:val="24"/>
          <w:lang w:val="es-MX"/>
        </w:rPr>
      </w:pPr>
    </w:p>
    <w:p w14:paraId="75AEDFEF" w14:textId="77777777" w:rsidR="006B3072" w:rsidRDefault="006B3072" w:rsidP="006B3072">
      <w:pPr>
        <w:jc w:val="both"/>
        <w:rPr>
          <w:rFonts w:ascii="Museo Sans 300" w:hAnsi="Museo Sans 300" w:cs="Arial"/>
          <w:sz w:val="24"/>
          <w:szCs w:val="24"/>
          <w:lang w:val="es-MX"/>
        </w:rPr>
      </w:pPr>
    </w:p>
    <w:p w14:paraId="11720A85" w14:textId="47752F92" w:rsidR="00F30E6A" w:rsidRPr="006B3072" w:rsidRDefault="00F30E6A" w:rsidP="006B3072">
      <w:pPr>
        <w:jc w:val="both"/>
        <w:rPr>
          <w:rFonts w:ascii="Museo Sans 300" w:hAnsi="Museo Sans 300" w:cs="Arial"/>
          <w:sz w:val="24"/>
          <w:szCs w:val="24"/>
          <w:lang w:val="es-MX"/>
        </w:rPr>
      </w:pPr>
      <w:r>
        <w:rPr>
          <w:rFonts w:ascii="Museo Sans 300" w:hAnsi="Museo Sans 300" w:cs="Arial"/>
          <w:sz w:val="24"/>
          <w:szCs w:val="24"/>
          <w:lang w:val="es-MX"/>
        </w:rPr>
        <w:t xml:space="preserve">asignado a la Subdirección de gestión territorial. Con este servicio se han beneficiado 163 personas segmentadas en 68 mujeres y 95 hombres. </w:t>
      </w:r>
    </w:p>
    <w:sectPr w:rsidR="00F30E6A" w:rsidRPr="006B30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A92C" w14:textId="77777777" w:rsidR="00E05839" w:rsidRDefault="00E05839" w:rsidP="0044785E">
      <w:pPr>
        <w:spacing w:after="0" w:line="240" w:lineRule="auto"/>
      </w:pPr>
      <w:r>
        <w:separator/>
      </w:r>
    </w:p>
  </w:endnote>
  <w:endnote w:type="continuationSeparator" w:id="0">
    <w:p w14:paraId="2AD88399" w14:textId="77777777" w:rsidR="00E05839" w:rsidRDefault="00E05839" w:rsidP="004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415C" w14:textId="40135441" w:rsidR="00467F2C" w:rsidRDefault="00467F2C" w:rsidP="00467F2C">
    <w:pPr>
      <w:pStyle w:val="Piedepgina"/>
      <w:jc w:val="center"/>
      <w:rPr>
        <w:lang w:val="es-MX"/>
      </w:rPr>
    </w:pPr>
    <w:r>
      <w:rPr>
        <w:lang w:val="es-MX"/>
      </w:rPr>
      <w:t>Calle La Reforma #219 Colonia San Benito, San Salvador, El Salvador, Centro América.</w:t>
    </w:r>
  </w:p>
  <w:p w14:paraId="40940ABE" w14:textId="28037399" w:rsidR="00467F2C" w:rsidRDefault="00467F2C" w:rsidP="00467F2C">
    <w:pPr>
      <w:pStyle w:val="Piedepgina"/>
      <w:jc w:val="center"/>
      <w:rPr>
        <w:lang w:val="es-MX"/>
      </w:rPr>
    </w:pPr>
    <w:r>
      <w:rPr>
        <w:lang w:val="es-MX"/>
      </w:rPr>
      <w:t>Teléfono: (503) 2521-9800, Fax (503) 2521-9827</w:t>
    </w:r>
  </w:p>
  <w:p w14:paraId="27767C24" w14:textId="394B2213" w:rsidR="00467F2C" w:rsidRPr="00467F2C" w:rsidRDefault="00467F2C" w:rsidP="00467F2C">
    <w:pPr>
      <w:pStyle w:val="Piedepgina"/>
      <w:jc w:val="center"/>
      <w:rPr>
        <w:lang w:val="es-MX"/>
      </w:rPr>
    </w:pPr>
    <w:r>
      <w:rPr>
        <w:lang w:val="es-MX"/>
      </w:rPr>
      <w:t>www.asa.gob.sv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8D50" w14:textId="77777777" w:rsidR="00E05839" w:rsidRDefault="00E05839" w:rsidP="0044785E">
      <w:pPr>
        <w:spacing w:after="0" w:line="240" w:lineRule="auto"/>
      </w:pPr>
      <w:r>
        <w:separator/>
      </w:r>
    </w:p>
  </w:footnote>
  <w:footnote w:type="continuationSeparator" w:id="0">
    <w:p w14:paraId="446308ED" w14:textId="77777777" w:rsidR="00E05839" w:rsidRDefault="00E05839" w:rsidP="004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177E" w14:textId="7ABEA488" w:rsidR="002677A0" w:rsidRDefault="002677A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EBAF8FA" wp14:editId="3CB12194">
          <wp:simplePos x="0" y="0"/>
          <wp:positionH relativeFrom="page">
            <wp:posOffset>0</wp:posOffset>
          </wp:positionH>
          <wp:positionV relativeFrom="paragraph">
            <wp:posOffset>-481965</wp:posOffset>
          </wp:positionV>
          <wp:extent cx="7749126" cy="1002792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126" cy="1002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4151"/>
    <w:multiLevelType w:val="hybridMultilevel"/>
    <w:tmpl w:val="2FBC9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5C36"/>
    <w:multiLevelType w:val="hybridMultilevel"/>
    <w:tmpl w:val="FF260A9A"/>
    <w:lvl w:ilvl="0" w:tplc="9702AD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C69DE"/>
    <w:multiLevelType w:val="hybridMultilevel"/>
    <w:tmpl w:val="26AAD12C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7C97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85E"/>
    <w:rsid w:val="00055900"/>
    <w:rsid w:val="000775DC"/>
    <w:rsid w:val="00096204"/>
    <w:rsid w:val="000B1953"/>
    <w:rsid w:val="000E2F4A"/>
    <w:rsid w:val="00136507"/>
    <w:rsid w:val="001D331F"/>
    <w:rsid w:val="00221789"/>
    <w:rsid w:val="002677A0"/>
    <w:rsid w:val="002C397D"/>
    <w:rsid w:val="0031291C"/>
    <w:rsid w:val="003477C7"/>
    <w:rsid w:val="0044785E"/>
    <w:rsid w:val="00467F2C"/>
    <w:rsid w:val="004A6CF8"/>
    <w:rsid w:val="004D2D6B"/>
    <w:rsid w:val="0050104A"/>
    <w:rsid w:val="0051044E"/>
    <w:rsid w:val="00513544"/>
    <w:rsid w:val="005165FB"/>
    <w:rsid w:val="00567FD2"/>
    <w:rsid w:val="00587D64"/>
    <w:rsid w:val="00603420"/>
    <w:rsid w:val="00624390"/>
    <w:rsid w:val="00667226"/>
    <w:rsid w:val="006B3072"/>
    <w:rsid w:val="006E6E4E"/>
    <w:rsid w:val="00700B69"/>
    <w:rsid w:val="00722388"/>
    <w:rsid w:val="00743698"/>
    <w:rsid w:val="00764D65"/>
    <w:rsid w:val="00775914"/>
    <w:rsid w:val="007B140A"/>
    <w:rsid w:val="007C4288"/>
    <w:rsid w:val="007E2106"/>
    <w:rsid w:val="007E7CD1"/>
    <w:rsid w:val="007F2A35"/>
    <w:rsid w:val="007F3CAD"/>
    <w:rsid w:val="0083160A"/>
    <w:rsid w:val="008605EB"/>
    <w:rsid w:val="008E2292"/>
    <w:rsid w:val="008F108A"/>
    <w:rsid w:val="009350E7"/>
    <w:rsid w:val="00970181"/>
    <w:rsid w:val="009A3B0A"/>
    <w:rsid w:val="009D01F7"/>
    <w:rsid w:val="009E6CD4"/>
    <w:rsid w:val="00A070E6"/>
    <w:rsid w:val="00A1355E"/>
    <w:rsid w:val="00A60ACF"/>
    <w:rsid w:val="00AF320B"/>
    <w:rsid w:val="00C60EC4"/>
    <w:rsid w:val="00C61148"/>
    <w:rsid w:val="00CD4615"/>
    <w:rsid w:val="00CE34E1"/>
    <w:rsid w:val="00D154EE"/>
    <w:rsid w:val="00D56BCA"/>
    <w:rsid w:val="00D56DC6"/>
    <w:rsid w:val="00D62454"/>
    <w:rsid w:val="00D83A92"/>
    <w:rsid w:val="00DB3D20"/>
    <w:rsid w:val="00DB7237"/>
    <w:rsid w:val="00E05839"/>
    <w:rsid w:val="00E35AA5"/>
    <w:rsid w:val="00E92C42"/>
    <w:rsid w:val="00EA4DC3"/>
    <w:rsid w:val="00F30E6A"/>
    <w:rsid w:val="00F55B6B"/>
    <w:rsid w:val="00F72DE9"/>
    <w:rsid w:val="00F82DF4"/>
    <w:rsid w:val="00F96639"/>
    <w:rsid w:val="00FA007E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741F66"/>
  <w15:docId w15:val="{C6214578-2E21-4827-BAEF-3B7BB732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5E"/>
  </w:style>
  <w:style w:type="paragraph" w:styleId="Piedepgina">
    <w:name w:val="footer"/>
    <w:basedOn w:val="Normal"/>
    <w:link w:val="Piedepgina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5E"/>
  </w:style>
  <w:style w:type="character" w:customStyle="1" w:styleId="PrrafodelistaCar">
    <w:name w:val="Párrafo de lista Car"/>
    <w:aliases w:val="lp1 Car"/>
    <w:link w:val="Prrafodelista"/>
    <w:uiPriority w:val="34"/>
    <w:locked/>
    <w:rsid w:val="004D2D6B"/>
  </w:style>
  <w:style w:type="paragraph" w:styleId="Prrafodelista">
    <w:name w:val="List Paragraph"/>
    <w:aliases w:val="lp1"/>
    <w:basedOn w:val="Normal"/>
    <w:link w:val="PrrafodelistaCar"/>
    <w:uiPriority w:val="34"/>
    <w:qFormat/>
    <w:rsid w:val="004D2D6B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Calibri Light"/>
        <a:ea typeface=""/>
        <a:cs typeface=""/>
      </a:majorFont>
      <a:minorFont>
        <a:latin typeface="Bembo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Recinos</dc:creator>
  <cp:lastModifiedBy>Claudia Medrano</cp:lastModifiedBy>
  <cp:revision>34</cp:revision>
  <cp:lastPrinted>2022-08-11T22:26:00Z</cp:lastPrinted>
  <dcterms:created xsi:type="dcterms:W3CDTF">2022-10-18T17:43:00Z</dcterms:created>
  <dcterms:modified xsi:type="dcterms:W3CDTF">2023-07-17T15:09:00Z</dcterms:modified>
</cp:coreProperties>
</file>