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3410" w:rsidRDefault="00F43410">
      <w:pPr>
        <w:framePr w:w="12573" w:h="174" w:hRule="exact" w:wrap="notBeside" w:vAnchor="text" w:hAnchor="text" w:xAlign="center" w:y="1" w:anchorLock="1"/>
      </w:pPr>
    </w:p>
    <w:p w:rsidR="00EF3F4F" w:rsidRDefault="00EF3F4F">
      <w:pPr>
        <w:framePr w:w="12573" w:h="174" w:hRule="exact" w:wrap="notBeside" w:vAnchor="text" w:hAnchor="text" w:xAlign="center" w:y="1" w:anchorLock="1"/>
      </w:pPr>
    </w:p>
    <w:p w:rsidR="00EF3F4F" w:rsidRDefault="00EF3F4F">
      <w:pPr>
        <w:framePr w:w="12573" w:h="174" w:hRule="exact" w:wrap="notBeside" w:vAnchor="text" w:hAnchor="text" w:xAlign="center" w:y="1" w:anchorLock="1"/>
      </w:pPr>
    </w:p>
    <w:p w:rsidR="00EF3F4F" w:rsidRDefault="00EF3F4F">
      <w:pPr>
        <w:framePr w:w="12573" w:h="174" w:hRule="exact" w:wrap="notBeside" w:vAnchor="text" w:hAnchor="text" w:xAlign="center" w:y="1" w:anchorLock="1"/>
      </w:pPr>
    </w:p>
    <w:p w:rsidR="00F43410" w:rsidRDefault="00EF4641">
      <w:pPr>
        <w:rPr>
          <w:sz w:val="2"/>
          <w:szCs w:val="2"/>
        </w:rPr>
        <w:sectPr w:rsidR="00F43410">
          <w:headerReference w:type="even" r:id="rId7"/>
          <w:headerReference w:type="default" r:id="rId8"/>
          <w:footerReference w:type="even" r:id="rId9"/>
          <w:footerReference w:type="default" r:id="rId10"/>
          <w:headerReference w:type="first" r:id="rId11"/>
          <w:footerReference w:type="first" r:id="rId12"/>
          <w:type w:val="continuous"/>
          <w:pgSz w:w="11905" w:h="16837"/>
          <w:pgMar w:top="0" w:right="0" w:bottom="0" w:left="0" w:header="0" w:footer="3" w:gutter="0"/>
          <w:cols w:space="720"/>
          <w:noEndnote/>
          <w:docGrid w:linePitch="360"/>
        </w:sectPr>
      </w:pPr>
      <w:r>
        <w:t xml:space="preserve"> </w:t>
      </w:r>
    </w:p>
    <w:p w:rsidR="00F43410" w:rsidRDefault="00F43410"/>
    <w:p w:rsidR="00EF3F4F" w:rsidRDefault="00EF3F4F"/>
    <w:p w:rsidR="00EF3F4F" w:rsidRDefault="00EF3F4F"/>
    <w:p w:rsidR="00EF3F4F" w:rsidRDefault="00EF3F4F">
      <w:pPr>
        <w:rPr>
          <w:sz w:val="2"/>
          <w:szCs w:val="2"/>
        </w:rPr>
      </w:pPr>
    </w:p>
    <w:p w:rsidR="00F43410" w:rsidRDefault="00EF4641">
      <w:pPr>
        <w:framePr w:w="1616" w:h="407" w:hSpace="128" w:vSpace="742" w:wrap="around" w:vAnchor="text" w:hAnchor="margin" w:x="-1291" w:y="12533"/>
        <w:jc w:val="center"/>
        <w:rPr>
          <w:sz w:val="0"/>
          <w:szCs w:val="0"/>
        </w:rPr>
      </w:pPr>
      <w:r>
        <w:rPr>
          <w:noProof/>
        </w:rPr>
        <w:drawing>
          <wp:inline distT="0" distB="0" distL="0" distR="0">
            <wp:extent cx="1028700" cy="2571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28700" cy="257175"/>
                    </a:xfrm>
                    <a:prstGeom prst="rect">
                      <a:avLst/>
                    </a:prstGeom>
                    <a:noFill/>
                    <a:ln>
                      <a:noFill/>
                    </a:ln>
                  </pic:spPr>
                </pic:pic>
              </a:graphicData>
            </a:graphic>
          </wp:inline>
        </w:drawing>
      </w:r>
    </w:p>
    <w:p w:rsidR="00EF3F4F" w:rsidRPr="00EF3F4F" w:rsidRDefault="00EF3F4F" w:rsidP="00EF3F4F">
      <w:pPr>
        <w:shd w:val="clear" w:color="auto" w:fill="FFFFFF"/>
        <w:rPr>
          <w:rFonts w:ascii="Arial" w:eastAsia="Times New Roman" w:hAnsi="Arial" w:cs="Arial"/>
          <w:lang w:val="es-SV"/>
        </w:rPr>
      </w:pPr>
      <w:r w:rsidRPr="00EF3F4F">
        <w:rPr>
          <w:rFonts w:eastAsia="Times New Roman"/>
          <w:b/>
          <w:bCs/>
          <w:color w:val="4472C4"/>
          <w:u w:val="single"/>
          <w:lang w:val="es-SV"/>
        </w:rPr>
        <w:t>ADVERTENCIA:</w:t>
      </w:r>
      <w:r w:rsidRPr="00EF3F4F">
        <w:rPr>
          <w:rFonts w:eastAsia="Times New Roman"/>
          <w:color w:val="4472C4"/>
          <w:lang w:val="es-SV"/>
        </w:rPr>
        <w:t>  el presente documento se encuentra editado, siendo una versión pública de su original, es decir, se han suprimido datos personales y confidenciales, tales como: número de identificación, domicilio, edad, estado familiar y otros detalles. en virtud del Art. 2 de la Constitución de la Republica, Arts. 6 lit. a y b, 24 y 30 de la Ley de Acceso a la Información Pública. </w:t>
      </w:r>
    </w:p>
    <w:p w:rsidR="00EF3F4F" w:rsidRPr="00EF3F4F" w:rsidRDefault="00EF3F4F">
      <w:pPr>
        <w:pStyle w:val="Cuerpodeltexto0"/>
        <w:shd w:val="clear" w:color="auto" w:fill="auto"/>
        <w:spacing w:before="9"/>
        <w:ind w:right="20"/>
        <w:rPr>
          <w:lang w:val="es-SV"/>
        </w:rPr>
      </w:pPr>
    </w:p>
    <w:p w:rsidR="00F43410" w:rsidRDefault="00EF4641">
      <w:pPr>
        <w:pStyle w:val="Cuerpodeltexto0"/>
        <w:shd w:val="clear" w:color="auto" w:fill="auto"/>
        <w:spacing w:before="9"/>
        <w:ind w:right="20"/>
      </w:pPr>
      <w:r>
        <w:t xml:space="preserve">"CONTRATO DE SERVICIO DE MANTENIMIENTO PREVENTIVO PARA EL SISTEMA DE VIDEO VIGILANCIA DE LA IMPRENTA NACIONAL, DEPENDENCIA DEL MINISTERIO </w:t>
      </w:r>
      <w:r>
        <w:t>DE GOBERNACION Y DESARROLLO TERRITORIAL"</w:t>
      </w:r>
    </w:p>
    <w:p w:rsidR="00F43410" w:rsidRDefault="00EF4641">
      <w:pPr>
        <w:pStyle w:val="Cuerpodeltexto0"/>
        <w:shd w:val="clear" w:color="auto" w:fill="auto"/>
        <w:spacing w:before="0" w:after="159" w:line="220" w:lineRule="exact"/>
        <w:ind w:left="4080"/>
        <w:jc w:val="left"/>
      </w:pPr>
      <w:r>
        <w:t>No. MG-098/2019</w:t>
      </w:r>
    </w:p>
    <w:p w:rsidR="00F43410" w:rsidRDefault="00EF4641">
      <w:pPr>
        <w:pStyle w:val="Cuerpodeltexto20"/>
        <w:shd w:val="clear" w:color="auto" w:fill="auto"/>
        <w:spacing w:before="0" w:after="0"/>
        <w:ind w:left="380" w:right="20"/>
      </w:pPr>
      <w:r>
        <w:t>Nosotros,</w:t>
      </w:r>
      <w:r>
        <w:rPr>
          <w:rStyle w:val="Cuerpodeltexto21"/>
        </w:rPr>
        <w:t xml:space="preserve"> JORGE ARMANDO ALFARO QUINTANILLA,</w:t>
      </w:r>
      <w:r w:rsidR="00EF3F4F">
        <w:t xml:space="preserve"> </w:t>
      </w:r>
      <w:r w:rsidR="00EF3F4F" w:rsidRPr="00EF3F4F">
        <w:rPr>
          <w:highlight w:val="red"/>
        </w:rPr>
        <w:t>INFORMACION CONFIDENCIAL</w:t>
      </w:r>
      <w:r>
        <w:t>; actuando por delegación en nombre del MINISTERIO DE GOBERNACIÓN Y DESARROLLO TERRITORIAL, con base al Acuerdo Número NOVENTA Y OCHO, emitido por el Órgano Ejecutivo en el Ramo de Gobernación y Desar</w:t>
      </w:r>
      <w:r>
        <w:t>rollo Territorial, en fecha dieciocho de noviembre de dos mil diecinueve, por el señor Ministro de Gobernación y Desarrollo Territorial, MARIO EDGARDO DURÁN GAVIDIA, mediante el cual acordó designarme, para que firme los contratos resultantes de los proces</w:t>
      </w:r>
      <w:r>
        <w:t>os de adquisición realizados por la Unidad de Adquisiciones y Contrataciones Institucional, independientemente de la modalidad de adquisición que se haya seguido, siempre y cuando sea de las que regula la Ley de Adquisiciones y Contrataciones de la Adminis</w:t>
      </w:r>
      <w:r>
        <w:t xml:space="preserve">tración Pública en lo sucesivo también denominada LACAP, y no sean de los contratos que debe firmar el Fiscal General; por lo que comparezco a otorgar el presente Instrumento, que en el transcurso del mismo me denominaré: </w:t>
      </w:r>
      <w:r>
        <w:rPr>
          <w:rStyle w:val="Cuerpodeltexto21"/>
        </w:rPr>
        <w:t>"EL MINISTERIO";</w:t>
      </w:r>
      <w:r>
        <w:t xml:space="preserve"> y</w:t>
      </w:r>
      <w:r>
        <w:rPr>
          <w:rStyle w:val="Cuerpodeltexto21"/>
        </w:rPr>
        <w:t xml:space="preserve"> </w:t>
      </w:r>
      <w:r w:rsidRPr="00EF3F4F">
        <w:rPr>
          <w:highlight w:val="red"/>
        </w:rPr>
        <w:t>INFORMACION CONFIDENCIAL</w:t>
      </w:r>
      <w:r>
        <w:t>; actuando en mi calidad de Administrador único Propietario de la sociedad</w:t>
      </w:r>
      <w:r>
        <w:rPr>
          <w:rStyle w:val="Cuerpodeltexto21"/>
        </w:rPr>
        <w:t xml:space="preserve"> GRUPO SISECOR, SOCIEDAD ANONIMA DE CAPITAL V</w:t>
      </w:r>
      <w:r>
        <w:rPr>
          <w:rStyle w:val="Cuerpodeltexto21"/>
        </w:rPr>
        <w:t>ARIABLE,</w:t>
      </w:r>
      <w:r>
        <w:t xml:space="preserve"> que puede abreviarse</w:t>
      </w:r>
      <w:r>
        <w:rPr>
          <w:rStyle w:val="Cuerpodeltexto21"/>
        </w:rPr>
        <w:t xml:space="preserve"> GRUPO SISECOR, S.A DE C.V.,</w:t>
      </w:r>
      <w:r>
        <w:t xml:space="preserve"> sociedad de nacionalidad salvadoreña y del domicilio de San Salvador, Departamento de San Salvador, con Número de Identificación Tributaria cero seiscientos catorce - ciento noventa y un mil doscien</w:t>
      </w:r>
      <w:r>
        <w:t>tos trece- ciento tres- ocho, personería que acredito por medio de: a) Copia</w:t>
      </w:r>
    </w:p>
    <w:p w:rsidR="00F43410" w:rsidRDefault="00EF4641">
      <w:pPr>
        <w:framePr w:wrap="notBeside" w:vAnchor="text" w:hAnchor="text" w:xAlign="center" w:y="1"/>
        <w:jc w:val="center"/>
        <w:rPr>
          <w:sz w:val="0"/>
          <w:szCs w:val="0"/>
        </w:rPr>
      </w:pPr>
      <w:r>
        <w:rPr>
          <w:noProof/>
        </w:rPr>
        <w:drawing>
          <wp:inline distT="0" distB="0" distL="0" distR="0">
            <wp:extent cx="4924425" cy="80962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24425" cy="809625"/>
                    </a:xfrm>
                    <a:prstGeom prst="rect">
                      <a:avLst/>
                    </a:prstGeom>
                    <a:noFill/>
                    <a:ln>
                      <a:noFill/>
                    </a:ln>
                  </pic:spPr>
                </pic:pic>
              </a:graphicData>
            </a:graphic>
          </wp:inline>
        </w:drawing>
      </w:r>
    </w:p>
    <w:p w:rsidR="00F43410" w:rsidRDefault="00EF4641">
      <w:pPr>
        <w:rPr>
          <w:sz w:val="2"/>
          <w:szCs w:val="2"/>
        </w:rPr>
        <w:sectPr w:rsidR="00F43410">
          <w:type w:val="continuous"/>
          <w:pgSz w:w="11905" w:h="16837"/>
          <w:pgMar w:top="739" w:right="787" w:bottom="762" w:left="1292" w:header="0" w:footer="3" w:gutter="0"/>
          <w:cols w:space="720"/>
          <w:noEndnote/>
          <w:docGrid w:linePitch="360"/>
        </w:sectPr>
      </w:pPr>
      <w:r>
        <w:br w:type="page"/>
      </w:r>
    </w:p>
    <w:p w:rsidR="00F43410" w:rsidRDefault="00EF4641">
      <w:pPr>
        <w:pStyle w:val="Cuerpodeltexto0"/>
        <w:shd w:val="clear" w:color="auto" w:fill="auto"/>
        <w:spacing w:before="0" w:line="436" w:lineRule="exact"/>
        <w:ind w:left="40" w:right="40"/>
        <w:jc w:val="both"/>
        <w:sectPr w:rsidR="00F43410">
          <w:headerReference w:type="even" r:id="rId15"/>
          <w:headerReference w:type="default" r:id="rId16"/>
          <w:footerReference w:type="default" r:id="rId17"/>
          <w:headerReference w:type="first" r:id="rId18"/>
          <w:pgSz w:w="11905" w:h="16837"/>
          <w:pgMar w:top="739" w:right="787" w:bottom="762" w:left="1292" w:header="0" w:footer="3" w:gutter="0"/>
          <w:pgNumType w:start="2"/>
          <w:cols w:space="720"/>
          <w:noEndnote/>
          <w:docGrid w:linePitch="360"/>
        </w:sectPr>
      </w:pPr>
      <w:r>
        <w:lastRenderedPageBreak/>
        <w:t xml:space="preserve">Certificada por Notario de Testimonio de Escritura Pública de Constitución de Sociedad, otorgada en la ciudad de San Salvador, a las diecisiete horas y treinta minutos del día diecinueve de diciembre del año dos mil trece, ante </w:t>
      </w:r>
      <w:r>
        <w:t xml:space="preserve">los Oficios Notariales de </w:t>
      </w:r>
      <w:r w:rsidRPr="00EF3F4F">
        <w:rPr>
          <w:highlight w:val="red"/>
        </w:rPr>
        <w:t>INFORMACION CONFIDENCIAL</w:t>
      </w:r>
      <w:r>
        <w:t>, inscrita en el Registro de Comercio al número NOVENTA Y DOS, del Libro TRES MIL DOSCIENTOS UNO, del Registro de Sociedades, el día diez de enero de dos mil catorce, de la cual consta que la de</w:t>
      </w:r>
      <w:r>
        <w:t>nominación de la sociedad es como se ha indicado, que su naturaleza es Anónima sujeta al Régimen de Capital Variable, que su plazo es indeterminado, que dentro de su finalidad se encuentra los siguientes servicios: 1) Prestación de los siguientes servicios</w:t>
      </w:r>
      <w:r>
        <w:t>: a) Servicios integrales de administración de inmuebles; b) Prestación de servicios de limpieza, jardinería, de custodia de valores, de seguridad a personas naturales o jurídicas e instituciones del Estado; c) De escolta a personas que conduzcan valores y</w:t>
      </w:r>
      <w:r>
        <w:t xml:space="preserve"> pago de planilla; d) De patrullaje peatonal y vehicular para la protección de residencias o edificaciones destinados a instalaciones comerciales, industriales o de cualquier otra índole; e) de dirección de tráfico vehicular; f) De investigación, incluyend</w:t>
      </w:r>
      <w:r>
        <w:t>o cuando fuere necesario el uso de poligrafía; g) estudios para determinar la forma y case de seguridad que debe prestarse, para que esta sea eficiente casos previamente planteados; h) servicios de seguridad electrónica, cámara de vigilancia, botón de páni</w:t>
      </w:r>
      <w:r>
        <w:t>co; 2) Capacitación de personal de seguridad, 3) Importación, adquisición y venta de armas, municiones, equipos y accesorios; 4) La adquisición de títulos valores y todo tipo de negociaciones licitas con esa clase de bienes; 5) La realización de inversione</w:t>
      </w:r>
      <w:r>
        <w:t>s en general; la participación en sociedades de capital o de personas; 6) El ejercicio del comercio mediante compraventa, distribución, exportación o importación de toda clase de bienes muebles; 7) El ejercicio de la industria en general, mediante la insta</w:t>
      </w:r>
      <w:r>
        <w:t>lación de fabrica de diversas clases, explotaciones industriales; 8) Podrá además dedicarse a cualquier otra actividad</w:t>
      </w:r>
      <w:r>
        <w:rPr>
          <w:rStyle w:val="Cuerpodeltexto1"/>
        </w:rPr>
        <w:t xml:space="preserve"> comercial,</w:t>
      </w:r>
      <w:r>
        <w:t xml:space="preserve"> asi como</w:t>
      </w:r>
      <w:r>
        <w:rPr>
          <w:rStyle w:val="Cuerpodeltexto1"/>
        </w:rPr>
        <w:t xml:space="preserve"> actuar como</w:t>
      </w:r>
      <w:r>
        <w:t xml:space="preserve"> agente intermediario, distribuidor, concesionario o comisionista; 9) La prestación de servicios de todo t</w:t>
      </w:r>
      <w:r>
        <w:t>ipo a terceras personas, brindándoles asesorías, asistencia técnica, personal calificado y similares; 10) La realización de actividades varias tales como la adquisición y enajenación a cualquier titulo de bienes muebles e inmuebles, arrendamientos o la pig</w:t>
      </w:r>
      <w:r>
        <w:t xml:space="preserve">noración de sus bienes, recibir y dar dinero a mutuo con o sin garantía, con o sin interés, afianzar obligaciones de terceros, sea como fiadora o codeudora solidaria dando en hipoteca o en prenda sus bienes; 11) La realización de toda clase de operaciones </w:t>
      </w:r>
      <w:r>
        <w:t>mercantiles y de toda clase de actos lícitos o accesorios o complementarios de su finalidad social, entendiéndose que la presente enumeración solo tiene carácter enunciativo y no limitativo, por lo que podrán realizar cualquier acto jurídico que lleve cons</w:t>
      </w:r>
      <w:r>
        <w:t>igo el cumplimientos de su finalidad social; que la Representación legal, Judicial y extrajudicial y el uso de la firma social de la Sociedad estará confiada al Administrador único propietario o la Junta Directiva, quien durará en sus funciones cinco años;</w:t>
      </w:r>
      <w:r>
        <w:t xml:space="preserve"> b) Fotocopia certificada por Notario de la Credencial de Elección de Administrador único propietario y suplente de la sociedad</w:t>
      </w:r>
      <w:r>
        <w:rPr>
          <w:rStyle w:val="Cuerpodeltexto115ptoNegrita"/>
        </w:rPr>
        <w:t xml:space="preserve"> GRUPO </w:t>
      </w:r>
      <w:r>
        <w:rPr>
          <w:rStyle w:val="Cuerpodeltexto115ptoNegrita"/>
        </w:rPr>
        <w:lastRenderedPageBreak/>
        <w:t>SISECOR, S.A DE C.V.,</w:t>
      </w:r>
      <w:r>
        <w:t xml:space="preserve"> extendida el día veintitrés de noviembre del año dos mil dieciséis, por el Secretario de la Junta Ge</w:t>
      </w:r>
      <w:r>
        <w:t xml:space="preserve">neral, en la que se hace constar que en sesión celebrada a las ocho horas del día veintidós de noviembre del año dos mil dieciséis, resulté electo como Administrador Único Propietario de la sociedad, para el período de CINCO años, la cual fue inscrita con </w:t>
      </w:r>
      <w:r>
        <w:t>fecha uno de diciembre del año dos mil dieciséis; en el Registro de Comercio bajo el número VEINTIUNO del Libro TRES MIL SEISCIENTOS SETENTA Y TRES del Registro de Sociedades, por lo que estoy plenamente facultado para otorgar actos como el que ampara este</w:t>
      </w:r>
      <w:r>
        <w:t xml:space="preserve"> instrumento, que en lo sucesivo me denominaré</w:t>
      </w:r>
      <w:r>
        <w:rPr>
          <w:rStyle w:val="Cuerpodeltexto115ptoNegrita"/>
        </w:rPr>
        <w:t xml:space="preserve"> "EL CONTRATISTA",</w:t>
      </w:r>
      <w:r>
        <w:t xml:space="preserve"> por lo que convenimos en celebrar y al efecto así lo hacemos, con base en el proceso de</w:t>
      </w:r>
      <w:r>
        <w:rPr>
          <w:rStyle w:val="Cuerpodeltexto115ptoNegrita"/>
        </w:rPr>
        <w:t xml:space="preserve"> LIBRE GESTIÓN</w:t>
      </w:r>
      <w:r>
        <w:t xml:space="preserve"> denominado </w:t>
      </w:r>
      <w:r>
        <w:rPr>
          <w:rStyle w:val="Cuerpodeltexto115ptoNegrita"/>
        </w:rPr>
        <w:t>"SERVICIO DE MANTENIMIENTO PREVENTIVO PARA EL SISTEMA DE VIDEO VIGILANCIA DE L</w:t>
      </w:r>
      <w:r>
        <w:rPr>
          <w:rStyle w:val="Cuerpodeltexto115ptoNegrita"/>
        </w:rPr>
        <w:t>A IMPRENTA NACIONAL, DEPENDENCIA DEL MINISTERIO DE GOBERNACION Y DESARROLLO TERRITORIAL",</w:t>
      </w:r>
      <w:r>
        <w:t xml:space="preserve"> promovido por el Ministerio de Gobernación y Desarrollo Territorial y en la Recomendación de Adjudicación de fecha dieciséis de diciembre del año dos mil diecinueve, </w:t>
      </w:r>
      <w:r>
        <w:t>emitida por el Comité de Evaluación de Ofertas del referido proceso, y suscrito por Michelle Alejandra Castro Amaya, dándole cumplimiento al Acuerdo Número VEINTINUEVE, emitido por el Órgano Ejecutivo en el Ramo de Gobernación y Desarrollo Territorial, con</w:t>
      </w:r>
      <w:r>
        <w:t xml:space="preserve"> fecha tres de junio de dos mil diecinueve; el siguiente Contrato de</w:t>
      </w:r>
      <w:r>
        <w:rPr>
          <w:rStyle w:val="Cuerpodeltexto115ptoNegrita0"/>
        </w:rPr>
        <w:t xml:space="preserve"> "SERVICIO DE MANTENIMIENTO PREVENTIVO PARA EL SISTEMA DE VIDEO VIGILANCIA DE LA IMPRENTA NACIONAL, DEPENDENCIA DEL MINISTERIO DE GOBERNACION Y DESARROLLO TERRITORIAL",</w:t>
      </w:r>
      <w:r>
        <w:t xml:space="preserve"> de conformidad a la Constitución de la República, a la LACAP, a su Reglamento y en especial a las obligaciones, condiciones, pactos y renuncias siguientes:</w:t>
      </w:r>
      <w:r>
        <w:rPr>
          <w:rStyle w:val="Cuerpodeltexto115ptoNegrita0"/>
        </w:rPr>
        <w:t xml:space="preserve"> </w:t>
      </w:r>
      <w:r>
        <w:rPr>
          <w:rStyle w:val="Cuerpodeltexto115ptoNegrita1"/>
        </w:rPr>
        <w:t>CLÁUSULA PRIMERA: OBTETO Y ALCANCE DEL CONTRATO.</w:t>
      </w:r>
      <w:r>
        <w:t xml:space="preserve"> EL CONTRATISTA se obliga a prestar a EL MINISTERIO</w:t>
      </w:r>
      <w:r>
        <w:t>, el Servicio de Mantenimiento preventivo para el sistema de Video Vigilancia de la Imprenta Nacional, Dependencia del Ministerio de Gobernación y Desarrollo Territorial, de conformidad a su Oferta Técnico Económica y a las Especificaciones Técnicas y Cond</w:t>
      </w:r>
      <w:r>
        <w:t xml:space="preserve">iciones Generales establecidas en los Términos de Referencia, que forman parte integral del presente Instrumento, especialmente por la calidad del servicio que prestará, y proporcionará todo aquello que sea necesario para la correcta prestación del mismo. </w:t>
      </w:r>
      <w:r>
        <w:t>Corresponderá al Administrador del Contrato, de conformidad a lo establecido en el Art. 82 Bis de la Ley de Adquisiciones y Contrataciones de la Administración Pública, velar por el fiel cumplimiento de las obligaciones emanadas del presente Contrato, debi</w:t>
      </w:r>
      <w:r>
        <w:t xml:space="preserve">endo informar a la Unidad de Adquisiciones y Contrataciones Institucional, las omisiones o acciones incorrectas en la ejecución del mismo. </w:t>
      </w:r>
      <w:r>
        <w:rPr>
          <w:rStyle w:val="Cuerpodeltexto3"/>
        </w:rPr>
        <w:t xml:space="preserve">CLÁUSULA SEGUNDA: DOCUMENTOS CONTRACTUALES, </w:t>
      </w:r>
      <w:r>
        <w:t>Los documentos a utilizar en el proceso de esta contratación se denominar</w:t>
      </w:r>
      <w:r>
        <w:t xml:space="preserve">án Documentos Contractuales, que formarán parte integral del Contrato, con igual fuerza obligatoria que éste y serán: a) Los Términos de Referencia; b) La Oferta Técnica y </w:t>
      </w:r>
      <w:r>
        <w:lastRenderedPageBreak/>
        <w:t>Económica de EL CONTRATISTA y sus documentos; c) El Acta de Adjudicación, antes cita</w:t>
      </w:r>
      <w:r>
        <w:t xml:space="preserve">da, d) El Acuerdo de Administrador del Contrato número CIENTO VEINTE, emitido por el Órgano Ejecutivo en el Ramo de Gobernación y Desarrollo Territorial, con fecha veinte de diciembre de dos mil diecinueve; e) La Garantía de Cumplimiento de Contrato; y f) </w:t>
      </w:r>
      <w:r>
        <w:t xml:space="preserve">Cualquier otro documento que emanare del presente Instrumento. </w:t>
      </w:r>
      <w:r>
        <w:rPr>
          <w:rStyle w:val="Cuerpodeltexto3"/>
        </w:rPr>
        <w:t>CLÁUSULA TERCERA; PLAZO, FORMA</w:t>
      </w:r>
      <w:r>
        <w:rPr>
          <w:rStyle w:val="Cuerpodeltexto115ptoNegrita1"/>
        </w:rPr>
        <w:t xml:space="preserve"> Y</w:t>
      </w:r>
      <w:r>
        <w:rPr>
          <w:rStyle w:val="Cuerpodeltexto3"/>
        </w:rPr>
        <w:t xml:space="preserve"> LUGAR DE ENTREGA. </w:t>
      </w:r>
      <w:r>
        <w:t>PLAZO DE VIGENCIA</w:t>
      </w:r>
      <w:r>
        <w:rPr>
          <w:rStyle w:val="Cuerpodeltexto115ptoNegrita0"/>
        </w:rPr>
        <w:t xml:space="preserve"> Y</w:t>
      </w:r>
      <w:r>
        <w:t xml:space="preserve"> DE PRESTACION</w:t>
      </w:r>
      <w:r>
        <w:rPr>
          <w:rStyle w:val="Cuerpodeltexto115ptoNegrita0"/>
        </w:rPr>
        <w:t xml:space="preserve"> DEL</w:t>
      </w:r>
      <w:r>
        <w:t xml:space="preserve"> SERVICIO; el plazo para la entrega y prestación del servicio será desde la emisión de la Orden de Inicio</w:t>
      </w:r>
      <w:r>
        <w:t xml:space="preserve"> girada por el Administrador del Contrato hasta el treinta y uno de diciembre de dos mil veinte, realizando un mantenimiento preventivo cada tres meses. FORMA DE PRESTACIÓN DEL SERVICIO: servicio de mantenimiento preventivo para sistema de video vigilancia</w:t>
      </w:r>
      <w:r>
        <w:t xml:space="preserve"> que consta de un</w:t>
      </w:r>
    </w:p>
    <w:p w:rsidR="00F43410" w:rsidRDefault="00EF4641">
      <w:pPr>
        <w:pStyle w:val="Cuerpodeltexto0"/>
        <w:shd w:val="clear" w:color="auto" w:fill="auto"/>
        <w:spacing w:before="0" w:after="39" w:line="403" w:lineRule="exact"/>
        <w:ind w:left="120" w:right="140"/>
        <w:jc w:val="both"/>
      </w:pPr>
      <w:r>
        <w:lastRenderedPageBreak/>
        <w:t>grabador digital (DVR) de 16 canales, 1 ÑAS para almacenamiento de videos y 16 cámaras analógicas, la cual deberá realizarse por medio de cuatro visitas anuales un mantenimiento cada tres meses.</w:t>
      </w:r>
      <w:r>
        <w:rPr>
          <w:rStyle w:val="Cuerpodeltexto115ptoNegrita2"/>
        </w:rPr>
        <w:t xml:space="preserve"> LUGAR DE PRESTACIÓN DEL SERVICIO:</w:t>
      </w:r>
      <w:r>
        <w:t xml:space="preserve"> el mantenimiento preventivo</w:t>
      </w:r>
      <w:r>
        <w:t xml:space="preserve"> para sistema de video vigilancia deberá ser realizado en las oficinas centrales de la Imprenta Nacional, ubicadas en Cuarta Calle Poniente y Quince Avenida Sur número ochocientos veintinueve, San Salvador. Obligándose las partes a cumplir con todas las co</w:t>
      </w:r>
      <w:r>
        <w:t>ndiciones establecidas en este Contrato y demás documentos contractuales. La vigencia del presente contrato será a partir de la notificación de la legalización del mismo hasta el treinta y uno de diciembre de dos mil veinte.</w:t>
      </w:r>
      <w:r>
        <w:rPr>
          <w:rStyle w:val="Cuerpodeltexto115ptoNegrita2"/>
        </w:rPr>
        <w:t xml:space="preserve"> </w:t>
      </w:r>
      <w:r>
        <w:rPr>
          <w:rStyle w:val="Cuerpodeltexto115ptoNegrita3"/>
        </w:rPr>
        <w:t>CLÁUSULA CUARTA: PRECIO Y FORMA</w:t>
      </w:r>
      <w:r>
        <w:rPr>
          <w:rStyle w:val="Cuerpodeltexto115ptoNegrita3"/>
        </w:rPr>
        <w:t xml:space="preserve"> DE PAGO.</w:t>
      </w:r>
      <w:r>
        <w:t xml:space="preserve"> El monto de cada mantenimiento será de</w:t>
      </w:r>
      <w:r>
        <w:rPr>
          <w:rStyle w:val="Cuerpodeltexto115ptoNegrita2"/>
        </w:rPr>
        <w:t xml:space="preserve"> DOSCIENTOS VEINTISEIS</w:t>
      </w:r>
      <w:r>
        <w:t xml:space="preserve"> 00/100</w:t>
      </w:r>
      <w:r>
        <w:rPr>
          <w:rStyle w:val="Cuerpodeltexto115ptoNegrita2"/>
        </w:rPr>
        <w:t xml:space="preserve"> DOLARES DE LOS ESTADOS UNIDOS DE AMERICA (US</w:t>
      </w:r>
      <w:r>
        <w:t xml:space="preserve"> $226.00) siendo el total por los cuatro mantenimientos preventivos por la cantidad de</w:t>
      </w:r>
      <w:r>
        <w:rPr>
          <w:rStyle w:val="Cuerpodeltexto115ptoNegrita2"/>
        </w:rPr>
        <w:t xml:space="preserve"> NOVECIENTOS CUATRO</w:t>
      </w:r>
      <w:r>
        <w:t xml:space="preserve"> 00/100</w:t>
      </w:r>
      <w:r>
        <w:rPr>
          <w:rStyle w:val="Cuerpodeltexto115ptoNegrita2"/>
        </w:rPr>
        <w:t xml:space="preserve"> DOLARES DE LOS ESTADO</w:t>
      </w:r>
      <w:r>
        <w:rPr>
          <w:rStyle w:val="Cuerpodeltexto115ptoNegrita2"/>
        </w:rPr>
        <w:t>S UNIDOS DE AMERICA (US</w:t>
      </w:r>
      <w:r>
        <w:t xml:space="preserve"> $904.00), valor que incluye el Impuesto a la Transferencia de Bienes Muebles y a la Prestación de Servicios, según el siguiente detalle:</w:t>
      </w:r>
    </w:p>
    <w:tbl>
      <w:tblPr>
        <w:tblW w:w="0" w:type="auto"/>
        <w:jc w:val="center"/>
        <w:tblLayout w:type="fixed"/>
        <w:tblCellMar>
          <w:left w:w="10" w:type="dxa"/>
          <w:right w:w="10" w:type="dxa"/>
        </w:tblCellMar>
        <w:tblLook w:val="0000" w:firstRow="0" w:lastRow="0" w:firstColumn="0" w:lastColumn="0" w:noHBand="0" w:noVBand="0"/>
      </w:tblPr>
      <w:tblGrid>
        <w:gridCol w:w="1069"/>
        <w:gridCol w:w="5929"/>
        <w:gridCol w:w="1332"/>
        <w:gridCol w:w="1357"/>
      </w:tblGrid>
      <w:tr w:rsidR="00F43410">
        <w:tblPrEx>
          <w:tblCellMar>
            <w:top w:w="0" w:type="dxa"/>
            <w:bottom w:w="0" w:type="dxa"/>
          </w:tblCellMar>
        </w:tblPrEx>
        <w:trPr>
          <w:trHeight w:val="763"/>
          <w:jc w:val="center"/>
        </w:trPr>
        <w:tc>
          <w:tcPr>
            <w:tcW w:w="1069" w:type="dxa"/>
            <w:tcBorders>
              <w:top w:val="single" w:sz="4" w:space="0" w:color="auto"/>
              <w:left w:val="single" w:sz="4" w:space="0" w:color="auto"/>
              <w:bottom w:val="single" w:sz="4" w:space="0" w:color="auto"/>
              <w:right w:val="single" w:sz="4" w:space="0" w:color="auto"/>
            </w:tcBorders>
            <w:shd w:val="clear" w:color="auto" w:fill="FFFFFF"/>
          </w:tcPr>
          <w:p w:rsidR="00F43410" w:rsidRDefault="00EF4641">
            <w:pPr>
              <w:pStyle w:val="Cuerpodeltexto31"/>
              <w:framePr w:wrap="notBeside" w:vAnchor="text" w:hAnchor="text" w:xAlign="center" w:y="1"/>
              <w:shd w:val="clear" w:color="auto" w:fill="auto"/>
              <w:spacing w:line="240" w:lineRule="auto"/>
              <w:ind w:left="120"/>
            </w:pPr>
            <w:r>
              <w:t>Cantidad</w:t>
            </w:r>
          </w:p>
        </w:tc>
        <w:tc>
          <w:tcPr>
            <w:tcW w:w="5929" w:type="dxa"/>
            <w:tcBorders>
              <w:top w:val="single" w:sz="4" w:space="0" w:color="auto"/>
              <w:left w:val="single" w:sz="4" w:space="0" w:color="auto"/>
              <w:bottom w:val="single" w:sz="4" w:space="0" w:color="auto"/>
              <w:right w:val="single" w:sz="4" w:space="0" w:color="auto"/>
            </w:tcBorders>
            <w:shd w:val="clear" w:color="auto" w:fill="FFFFFF"/>
          </w:tcPr>
          <w:p w:rsidR="00F43410" w:rsidRDefault="00EF4641">
            <w:pPr>
              <w:pStyle w:val="Cuerpodeltexto31"/>
              <w:framePr w:wrap="notBeside" w:vAnchor="text" w:hAnchor="text" w:xAlign="center" w:y="1"/>
              <w:shd w:val="clear" w:color="auto" w:fill="auto"/>
              <w:spacing w:line="240" w:lineRule="auto"/>
              <w:ind w:left="2440"/>
            </w:pPr>
            <w:r>
              <w:t>Descripción</w:t>
            </w:r>
          </w:p>
        </w:tc>
        <w:tc>
          <w:tcPr>
            <w:tcW w:w="1332" w:type="dxa"/>
            <w:tcBorders>
              <w:top w:val="single" w:sz="4" w:space="0" w:color="auto"/>
              <w:left w:val="single" w:sz="4" w:space="0" w:color="auto"/>
              <w:bottom w:val="single" w:sz="4" w:space="0" w:color="auto"/>
              <w:right w:val="single" w:sz="4" w:space="0" w:color="auto"/>
            </w:tcBorders>
            <w:shd w:val="clear" w:color="auto" w:fill="FFFFFF"/>
          </w:tcPr>
          <w:p w:rsidR="00F43410" w:rsidRDefault="00EF4641">
            <w:pPr>
              <w:pStyle w:val="Cuerpodeltexto31"/>
              <w:framePr w:wrap="notBeside" w:vAnchor="text" w:hAnchor="text" w:xAlign="center" w:y="1"/>
              <w:shd w:val="clear" w:color="auto" w:fill="auto"/>
              <w:spacing w:line="374" w:lineRule="exact"/>
              <w:ind w:right="180"/>
              <w:jc w:val="right"/>
            </w:pPr>
            <w:r>
              <w:t>Precio Mensual</w:t>
            </w:r>
          </w:p>
        </w:tc>
        <w:tc>
          <w:tcPr>
            <w:tcW w:w="1357" w:type="dxa"/>
            <w:tcBorders>
              <w:top w:val="single" w:sz="4" w:space="0" w:color="auto"/>
              <w:left w:val="single" w:sz="4" w:space="0" w:color="auto"/>
              <w:bottom w:val="single" w:sz="4" w:space="0" w:color="auto"/>
              <w:right w:val="single" w:sz="4" w:space="0" w:color="auto"/>
            </w:tcBorders>
            <w:shd w:val="clear" w:color="auto" w:fill="FFFFFF"/>
          </w:tcPr>
          <w:p w:rsidR="00F43410" w:rsidRDefault="00EF4641">
            <w:pPr>
              <w:pStyle w:val="Cuerpodeltexto31"/>
              <w:framePr w:wrap="notBeside" w:vAnchor="text" w:hAnchor="text" w:xAlign="center" w:y="1"/>
              <w:shd w:val="clear" w:color="auto" w:fill="auto"/>
              <w:spacing w:line="378" w:lineRule="exact"/>
              <w:jc w:val="center"/>
            </w:pPr>
            <w:r>
              <w:t>Precio Total al año</w:t>
            </w:r>
          </w:p>
        </w:tc>
      </w:tr>
      <w:tr w:rsidR="00F43410">
        <w:tblPrEx>
          <w:tblCellMar>
            <w:top w:w="0" w:type="dxa"/>
            <w:bottom w:w="0" w:type="dxa"/>
          </w:tblCellMar>
        </w:tblPrEx>
        <w:trPr>
          <w:trHeight w:val="4068"/>
          <w:jc w:val="center"/>
        </w:trPr>
        <w:tc>
          <w:tcPr>
            <w:tcW w:w="1069" w:type="dxa"/>
            <w:tcBorders>
              <w:top w:val="single" w:sz="4" w:space="0" w:color="auto"/>
              <w:left w:val="single" w:sz="4" w:space="0" w:color="auto"/>
              <w:bottom w:val="single" w:sz="4" w:space="0" w:color="auto"/>
              <w:right w:val="single" w:sz="4" w:space="0" w:color="auto"/>
            </w:tcBorders>
            <w:shd w:val="clear" w:color="auto" w:fill="FFFFFF"/>
          </w:tcPr>
          <w:p w:rsidR="00F43410" w:rsidRDefault="00EF4641">
            <w:pPr>
              <w:pStyle w:val="Cuerpodeltexto31"/>
              <w:framePr w:wrap="notBeside" w:vAnchor="text" w:hAnchor="text" w:xAlign="center" w:y="1"/>
              <w:shd w:val="clear" w:color="auto" w:fill="auto"/>
              <w:spacing w:line="240" w:lineRule="auto"/>
              <w:ind w:left="500"/>
            </w:pPr>
            <w:r>
              <w:t>4</w:t>
            </w:r>
          </w:p>
        </w:tc>
        <w:tc>
          <w:tcPr>
            <w:tcW w:w="5929" w:type="dxa"/>
            <w:tcBorders>
              <w:top w:val="single" w:sz="4" w:space="0" w:color="auto"/>
              <w:left w:val="single" w:sz="4" w:space="0" w:color="auto"/>
              <w:bottom w:val="single" w:sz="4" w:space="0" w:color="auto"/>
              <w:right w:val="single" w:sz="4" w:space="0" w:color="auto"/>
            </w:tcBorders>
            <w:shd w:val="clear" w:color="auto" w:fill="FFFFFF"/>
          </w:tcPr>
          <w:p w:rsidR="00F43410" w:rsidRDefault="00EF4641">
            <w:pPr>
              <w:pStyle w:val="Cuerpodeltexto31"/>
              <w:framePr w:wrap="notBeside" w:vAnchor="text" w:hAnchor="text" w:xAlign="center" w:y="1"/>
              <w:shd w:val="clear" w:color="auto" w:fill="auto"/>
              <w:spacing w:line="245" w:lineRule="exact"/>
              <w:jc w:val="both"/>
            </w:pPr>
            <w:r>
              <w:t>Servicio de mantenimiento preventivo para sistema de video vigilancia que consta de 1 grabador digital (DVR) de 16 canales, 1 ÑAS para almacenamiento de videos y 16 cámaras analógicas. El servicio de mantenimiento debe cumplir las siguientes especificacion</w:t>
            </w:r>
            <w:r>
              <w:t>es técnicas:</w:t>
            </w:r>
          </w:p>
          <w:p w:rsidR="00F43410" w:rsidRDefault="00EF4641">
            <w:pPr>
              <w:pStyle w:val="Cuerpodeltexto31"/>
              <w:framePr w:wrap="notBeside" w:vAnchor="text" w:hAnchor="text" w:xAlign="center" w:y="1"/>
              <w:numPr>
                <w:ilvl w:val="0"/>
                <w:numId w:val="1"/>
              </w:numPr>
              <w:shd w:val="clear" w:color="auto" w:fill="auto"/>
              <w:tabs>
                <w:tab w:val="left" w:pos="322"/>
              </w:tabs>
              <w:spacing w:line="245" w:lineRule="exact"/>
              <w:jc w:val="both"/>
            </w:pPr>
            <w:r>
              <w:t>Mínimo de cuatro visitas al año con las siguientes acciones mínimas a ejecutarrRevisión de:</w:t>
            </w:r>
          </w:p>
          <w:p w:rsidR="00F43410" w:rsidRDefault="00EF4641">
            <w:pPr>
              <w:pStyle w:val="Cuerpodeltexto31"/>
              <w:framePr w:wrap="notBeside" w:vAnchor="text" w:hAnchor="text" w:xAlign="center" w:y="1"/>
              <w:numPr>
                <w:ilvl w:val="0"/>
                <w:numId w:val="2"/>
              </w:numPr>
              <w:shd w:val="clear" w:color="auto" w:fill="auto"/>
              <w:tabs>
                <w:tab w:val="left" w:pos="300"/>
              </w:tabs>
              <w:spacing w:line="245" w:lineRule="exact"/>
              <w:jc w:val="both"/>
            </w:pPr>
            <w:r>
              <w:t>Protectores, cables y conectores</w:t>
            </w:r>
          </w:p>
          <w:p w:rsidR="00F43410" w:rsidRDefault="00EF4641">
            <w:pPr>
              <w:pStyle w:val="Cuerpodeltexto31"/>
              <w:framePr w:wrap="notBeside" w:vAnchor="text" w:hAnchor="text" w:xAlign="center" w:y="1"/>
              <w:numPr>
                <w:ilvl w:val="0"/>
                <w:numId w:val="2"/>
              </w:numPr>
              <w:shd w:val="clear" w:color="auto" w:fill="auto"/>
              <w:tabs>
                <w:tab w:val="left" w:pos="300"/>
              </w:tabs>
              <w:spacing w:line="245" w:lineRule="exact"/>
              <w:jc w:val="both"/>
            </w:pPr>
            <w:r>
              <w:t>Fuentes de poder con verificación de nivel de voltaje</w:t>
            </w:r>
          </w:p>
          <w:p w:rsidR="00F43410" w:rsidRDefault="00EF4641">
            <w:pPr>
              <w:pStyle w:val="Cuerpodeltexto31"/>
              <w:framePr w:wrap="notBeside" w:vAnchor="text" w:hAnchor="text" w:xAlign="center" w:y="1"/>
              <w:numPr>
                <w:ilvl w:val="0"/>
                <w:numId w:val="2"/>
              </w:numPr>
              <w:shd w:val="clear" w:color="auto" w:fill="auto"/>
              <w:tabs>
                <w:tab w:val="left" w:pos="307"/>
              </w:tabs>
              <w:spacing w:line="245" w:lineRule="exact"/>
              <w:jc w:val="both"/>
            </w:pPr>
            <w:r>
              <w:t>Enfoques y ajustes de lentes de cámaras</w:t>
            </w:r>
          </w:p>
          <w:p w:rsidR="00F43410" w:rsidRDefault="00EF4641">
            <w:pPr>
              <w:pStyle w:val="Cuerpodeltexto31"/>
              <w:framePr w:wrap="notBeside" w:vAnchor="text" w:hAnchor="text" w:xAlign="center" w:y="1"/>
              <w:numPr>
                <w:ilvl w:val="0"/>
                <w:numId w:val="2"/>
              </w:numPr>
              <w:shd w:val="clear" w:color="auto" w:fill="auto"/>
              <w:tabs>
                <w:tab w:val="left" w:pos="311"/>
              </w:tabs>
              <w:spacing w:line="245" w:lineRule="exact"/>
              <w:ind w:left="120"/>
            </w:pPr>
            <w:r>
              <w:t>Grabación de video en servidor de almacenamiento o Limpieza interna y externa de equipos</w:t>
            </w:r>
          </w:p>
          <w:p w:rsidR="00F43410" w:rsidRDefault="00EF4641">
            <w:pPr>
              <w:pStyle w:val="Cuerpodeltexto31"/>
              <w:framePr w:wrap="notBeside" w:vAnchor="text" w:hAnchor="text" w:xAlign="center" w:y="1"/>
              <w:shd w:val="clear" w:color="auto" w:fill="auto"/>
              <w:spacing w:line="245" w:lineRule="exact"/>
              <w:jc w:val="both"/>
            </w:pPr>
            <w:r>
              <w:t>o Detección de fallas en general</w:t>
            </w:r>
          </w:p>
          <w:p w:rsidR="00F43410" w:rsidRDefault="00EF4641">
            <w:pPr>
              <w:pStyle w:val="Cuerpodeltexto31"/>
              <w:framePr w:wrap="notBeside" w:vAnchor="text" w:hAnchor="text" w:xAlign="center" w:y="1"/>
              <w:shd w:val="clear" w:color="auto" w:fill="auto"/>
              <w:spacing w:line="245" w:lineRule="exact"/>
              <w:jc w:val="both"/>
            </w:pPr>
            <w:r>
              <w:t>o Entrega de reporte de trabajo que detalle el estado del sistema</w:t>
            </w:r>
          </w:p>
          <w:p w:rsidR="00F43410" w:rsidRDefault="00EF4641">
            <w:pPr>
              <w:pStyle w:val="Cuerpodeltexto31"/>
              <w:framePr w:wrap="notBeside" w:vAnchor="text" w:hAnchor="text" w:xAlign="center" w:y="1"/>
              <w:numPr>
                <w:ilvl w:val="0"/>
                <w:numId w:val="1"/>
              </w:numPr>
              <w:shd w:val="clear" w:color="auto" w:fill="auto"/>
              <w:tabs>
                <w:tab w:val="left" w:pos="264"/>
              </w:tabs>
              <w:spacing w:line="245" w:lineRule="exact"/>
              <w:jc w:val="both"/>
            </w:pPr>
            <w:r>
              <w:t>Soporte técnico disponible en horas hábiles de lunes a viernes</w:t>
            </w:r>
          </w:p>
          <w:p w:rsidR="00F43410" w:rsidRDefault="00EF4641">
            <w:pPr>
              <w:pStyle w:val="Cuerpodeltexto31"/>
              <w:framePr w:wrap="notBeside" w:vAnchor="text" w:hAnchor="text" w:xAlign="center" w:y="1"/>
              <w:numPr>
                <w:ilvl w:val="0"/>
                <w:numId w:val="1"/>
              </w:numPr>
              <w:shd w:val="clear" w:color="auto" w:fill="auto"/>
              <w:tabs>
                <w:tab w:val="left" w:pos="264"/>
              </w:tabs>
              <w:spacing w:line="245" w:lineRule="exact"/>
              <w:jc w:val="both"/>
            </w:pPr>
            <w:r>
              <w:t>Una visita para revisión cuando se reporte una falla</w:t>
            </w:r>
          </w:p>
        </w:tc>
        <w:tc>
          <w:tcPr>
            <w:tcW w:w="1332" w:type="dxa"/>
            <w:tcBorders>
              <w:top w:val="single" w:sz="4" w:space="0" w:color="auto"/>
              <w:left w:val="single" w:sz="4" w:space="0" w:color="auto"/>
              <w:bottom w:val="single" w:sz="4" w:space="0" w:color="auto"/>
              <w:right w:val="single" w:sz="4" w:space="0" w:color="auto"/>
            </w:tcBorders>
            <w:shd w:val="clear" w:color="auto" w:fill="FFFFFF"/>
          </w:tcPr>
          <w:p w:rsidR="00F43410" w:rsidRDefault="00EF4641">
            <w:pPr>
              <w:pStyle w:val="Cuerpodeltexto31"/>
              <w:framePr w:wrap="notBeside" w:vAnchor="text" w:hAnchor="text" w:xAlign="center" w:y="1"/>
              <w:shd w:val="clear" w:color="auto" w:fill="auto"/>
              <w:spacing w:line="240" w:lineRule="auto"/>
              <w:ind w:right="180"/>
              <w:jc w:val="right"/>
            </w:pPr>
            <w:r>
              <w:t>$ 226.00</w:t>
            </w:r>
          </w:p>
        </w:tc>
        <w:tc>
          <w:tcPr>
            <w:tcW w:w="1357" w:type="dxa"/>
            <w:tcBorders>
              <w:top w:val="single" w:sz="4" w:space="0" w:color="auto"/>
              <w:left w:val="single" w:sz="4" w:space="0" w:color="auto"/>
              <w:bottom w:val="single" w:sz="4" w:space="0" w:color="auto"/>
              <w:right w:val="single" w:sz="4" w:space="0" w:color="auto"/>
            </w:tcBorders>
            <w:shd w:val="clear" w:color="auto" w:fill="FFFFFF"/>
          </w:tcPr>
          <w:p w:rsidR="00F43410" w:rsidRDefault="00EF4641">
            <w:pPr>
              <w:pStyle w:val="Cuerpodeltexto31"/>
              <w:framePr w:wrap="notBeside" w:vAnchor="text" w:hAnchor="text" w:xAlign="center" w:y="1"/>
              <w:shd w:val="clear" w:color="auto" w:fill="auto"/>
              <w:spacing w:line="240" w:lineRule="auto"/>
              <w:jc w:val="center"/>
            </w:pPr>
            <w:r>
              <w:rPr>
                <w:lang w:val="de"/>
              </w:rPr>
              <w:t>$ 904.00</w:t>
            </w:r>
          </w:p>
        </w:tc>
      </w:tr>
    </w:tbl>
    <w:p w:rsidR="00F43410" w:rsidRDefault="00F43410">
      <w:pPr>
        <w:rPr>
          <w:sz w:val="2"/>
          <w:szCs w:val="2"/>
        </w:rPr>
      </w:pPr>
    </w:p>
    <w:p w:rsidR="00F43410" w:rsidRDefault="00EF4641">
      <w:pPr>
        <w:pStyle w:val="Cuerpodeltexto0"/>
        <w:shd w:val="clear" w:color="auto" w:fill="auto"/>
        <w:spacing w:before="196" w:line="436" w:lineRule="exact"/>
        <w:ind w:left="120" w:right="140"/>
        <w:jc w:val="both"/>
        <w:sectPr w:rsidR="00F43410">
          <w:headerReference w:type="even" r:id="rId19"/>
          <w:headerReference w:type="default" r:id="rId20"/>
          <w:footerReference w:type="default" r:id="rId21"/>
          <w:headerReference w:type="first" r:id="rId22"/>
          <w:pgSz w:w="11905" w:h="16837"/>
          <w:pgMar w:top="739" w:right="787" w:bottom="762" w:left="1292" w:header="0" w:footer="3" w:gutter="0"/>
          <w:cols w:space="720"/>
          <w:noEndnote/>
          <w:titlePg/>
          <w:docGrid w:linePitch="360"/>
        </w:sectPr>
      </w:pPr>
      <w:r>
        <w:t>EL MINISTERIO, a través de la Unidad Financiera Institucional, efectuará los pagos respectivos, conforme a la prestación del servicio por parte de EL CONTRATISTA y previa presentación de Factura de Consumidor Final o Comprobante de Crédito Fiscal (según in</w:t>
      </w:r>
      <w:r>
        <w:t>dique el respectivo Administrador del Contrato) y el Acta de Recepción firmada y sellada por la Administradora del Contrato, el Encargado de Bodega (si</w:t>
      </w:r>
    </w:p>
    <w:p w:rsidR="00F43410" w:rsidRDefault="00EF4641">
      <w:pPr>
        <w:pStyle w:val="Cuerpodeltexto0"/>
        <w:shd w:val="clear" w:color="auto" w:fill="auto"/>
        <w:spacing w:before="0" w:line="436" w:lineRule="exact"/>
        <w:ind w:left="40" w:right="20"/>
        <w:jc w:val="both"/>
        <w:sectPr w:rsidR="00F43410">
          <w:headerReference w:type="even" r:id="rId23"/>
          <w:headerReference w:type="default" r:id="rId24"/>
          <w:footerReference w:type="default" r:id="rId25"/>
          <w:headerReference w:type="first" r:id="rId26"/>
          <w:footerReference w:type="first" r:id="rId27"/>
          <w:type w:val="continuous"/>
          <w:pgSz w:w="11905" w:h="16837"/>
          <w:pgMar w:top="739" w:right="787" w:bottom="762" w:left="1292" w:header="0" w:footer="3" w:gutter="0"/>
          <w:cols w:space="720"/>
          <w:noEndnote/>
          <w:titlePg/>
          <w:docGrid w:linePitch="360"/>
        </w:sectPr>
      </w:pPr>
      <w:r>
        <w:t>aplicare) y el representante de EL CONTRATISTA, d</w:t>
      </w:r>
      <w:r>
        <w:t>e conformidad a lo establecido en los Términos de Referencia. El precio anteriormente establecido incluye el trece por ciento (13%) del Impuesto a la Transferencia de Bienes Muebles y a la Prestación de Servicios. Asimismo dicho precio queda sujeto a cualq</w:t>
      </w:r>
      <w:r>
        <w:t xml:space="preserve">uier impuesto, relativo a la prestación de servicios y/ o adquisición de bienes muebles, vigente durante la ejecución contractual. Por medio de Resoluciones Números 12301-NEX-2143-2007 </w:t>
      </w:r>
      <w:r>
        <w:lastRenderedPageBreak/>
        <w:t>y 12301-NEX- 2150-2007, pronunciadas por la Dirección General de Impues</w:t>
      </w:r>
      <w:r>
        <w:t>tos Internos del Ministerio de Hacienda, en fechas tres y cuatro de diciembre de dos mil siete, respectivamente EL MINISTERIO, ha sido designado agente de retención del Impuesto a la Transferencia de Bienes Muebles y a la Prestación de Servicios, por lo qu</w:t>
      </w:r>
      <w:r>
        <w:t>e se retendrá el uno por ciento (1.00%) como anticipo al pago de este impuesto, sobre el precio de los bienes que adquiera o de los servicios que le presten todos aquellos contribuyentes de dicho Impuesto, en toda factura igual o mayor a Cien Dólares de lo</w:t>
      </w:r>
      <w:r>
        <w:t>s Estados Unidos de América que se presente al cobro, en cumplimiento a lo que dispone el Artículo 162 del Código Tributario.</w:t>
      </w:r>
      <w:r>
        <w:rPr>
          <w:rStyle w:val="Cuerpodeltexto115ptoNegrita4"/>
        </w:rPr>
        <w:t xml:space="preserve"> </w:t>
      </w:r>
      <w:r>
        <w:rPr>
          <w:rStyle w:val="Cuerpodeltexto115ptoNegrita5"/>
        </w:rPr>
        <w:t>CLÁUSULA QUINTA: PROVISIÓN PE PAGO.</w:t>
      </w:r>
      <w:r>
        <w:t xml:space="preserve"> El gasto indicado será cancelado con cargo a la disponibilidad presupuestaria certificada por la Unidad Financiera Institucional, para el presente proceso, en el correspondiente requerimiento. </w:t>
      </w:r>
      <w:r>
        <w:rPr>
          <w:rStyle w:val="Cuerpodeltexto115ptoNegrita5"/>
        </w:rPr>
        <w:t>CLÁUSULA SEXTA: OBLIGACIONES D</w:t>
      </w:r>
      <w:r>
        <w:rPr>
          <w:rStyle w:val="Cuerpodeltexto115ptoNegrita5"/>
        </w:rPr>
        <w:t>E EL CONTRATISTA.</w:t>
      </w:r>
      <w:r>
        <w:t xml:space="preserve"> EL CONTRATISTA</w:t>
      </w:r>
      <w:r>
        <w:t xml:space="preserve"> en forma expresa y terminante se obliga a realizar los mantenimientos y la prestación general del Servicio para el sistema de video vigilancia para la Imprenta Nacional, Dependencia del Ministerio de Gobernación y Desarrollo Territorial, de conformidad a </w:t>
      </w:r>
      <w:r>
        <w:t xml:space="preserve">los términos y condiciones contenidas en el presente Contrato, a su Oferta Técnica y Económica, y a las Especificaciones Técnicas y Condiciones Generales requeridas en los Términos de Referencia, y de acuerdo a las especificaciones siguientes: Adquisición </w:t>
      </w:r>
      <w:r>
        <w:t xml:space="preserve">de servicio de mantenimiento preventivo para sistema de video vigilancia que consta de 1 </w:t>
      </w:r>
      <w:r>
        <w:rPr>
          <w:rStyle w:val="Cuerpodeltexto4"/>
        </w:rPr>
        <w:t>grabador digital</w:t>
      </w:r>
      <w:r>
        <w:t xml:space="preserve"> (DVR) de 16 canales, 1 ÑAS para almacenamiento de videos y 16 cámaras analógicas. El servicio de mantenimiento debe cumplir las siguientes especificac</w:t>
      </w:r>
      <w:r>
        <w:t>iones técnicas:, realizar Mínimo de cuatro visitas al año con las siguientes acciones mínimas a ejecutar: Revisión de Protectores, cables y conectores; Fuentes de poder con verificación de nivel de voltaje; Enfoques y ajustes de lentes de cámaras; Grabació</w:t>
      </w:r>
      <w:r>
        <w:t>n de video en servidor de almacenamiento; Limpieza interna y externa de equipos; Detección de fallas en general; Entrega de reporte de trabajo que detalle el estado del sistema; Soporte técnico disponible en horas hábiles de lunes a viernes; Una visita par</w:t>
      </w:r>
      <w:r>
        <w:t>a revisión cuando se reporte una falla (un mantenimiento cada 3 meses). El Mantenimiento deberá comprender cada uno de los pasos establecidos y realizados de conformidad a lo requerido por el Administrador del Contrato, EL CONTRATISTA deberá responder espe</w:t>
      </w:r>
      <w:r>
        <w:t>cialmente por la calidad del servicio que brinda.</w:t>
      </w:r>
      <w:r>
        <w:rPr>
          <w:rStyle w:val="Cuerpodeltexto115ptoNegrita6"/>
        </w:rPr>
        <w:t xml:space="preserve"> </w:t>
      </w:r>
      <w:r>
        <w:rPr>
          <w:rStyle w:val="Cuerpodeltexto115ptoNegrita7"/>
        </w:rPr>
        <w:t>CLÁUSULA SÉPTIMA: COMPROMISOS DE</w:t>
      </w:r>
      <w:r>
        <w:rPr>
          <w:rStyle w:val="Cuerpodeltexto5"/>
        </w:rPr>
        <w:t xml:space="preserve"> EL</w:t>
      </w:r>
      <w:r>
        <w:rPr>
          <w:rStyle w:val="Cuerpodeltexto115ptoNegrita7"/>
        </w:rPr>
        <w:t xml:space="preserve"> MINISTERIO Y PLAZO DE RECLAMOS</w:t>
      </w:r>
      <w:r>
        <w:rPr>
          <w:rStyle w:val="Cuerpodeltexto115ptoNegrita6"/>
        </w:rPr>
        <w:t>.</w:t>
      </w:r>
      <w:r>
        <w:t xml:space="preserve"> EL MINISTERIO se obliga a proporcionar a EL CONTRATISTA, la colaboración e información necesaria que permita el normal desarrollo de las a</w:t>
      </w:r>
      <w:r>
        <w:t>ctividades producto de este Contrato, y si durante el plazo de ejecución contractual se observare algún incumplimiento de los términos del presente Contrato, EL MINISTERIO a través de la Unidad de Adquisiciones y Contrataciones Institucional (UACI), previa</w:t>
      </w:r>
      <w:r>
        <w:t xml:space="preserve"> notificación del Administrador del Contrato, formulará por escrito a EL CONTRATISTA, posteriormente a la verificación del incumplimiento, el reclamo respectivo dentro del plazo de cinco (5) días hábiles posteriores a la verificación del incumplimiento </w:t>
      </w:r>
      <w:r>
        <w:lastRenderedPageBreak/>
        <w:t>y p</w:t>
      </w:r>
      <w:r>
        <w:t>edirá la correcta prestación del servicio de acuerdo a lo pactado contractualmente. En todo caso, EL CONTRATISTA se compromete a subsanar el incumplimiento contractual comprobado en un período máximo de cinco (5) días hábiles posteriores a la respectiva no</w:t>
      </w:r>
      <w:r>
        <w:t xml:space="preserve">tificación, caso contrario se tendrá por incumplido el Contrato y se procederá de acuerdo a lo establecido en los incisos segundo y tercero del Art. 121 de la LACAP. </w:t>
      </w:r>
      <w:r>
        <w:rPr>
          <w:rStyle w:val="Cuerpodeltexto115ptoNegrita7"/>
        </w:rPr>
        <w:t>CLÁUSULA OCTAVA: GARANTÍA DE CUMPLIMIENTO DE CONTRATO.</w:t>
      </w:r>
      <w:r>
        <w:t xml:space="preserve"> Dentro de los diez (10) días hábile</w:t>
      </w:r>
      <w:r>
        <w:t>s siguientes a la notificación de la respectiva legalización del Contrato, EL CONTRATISTA deberá presentar a favor de EL MINISTERIO, en la Unidad de Adquisiciones y Contrataciones Institucional (UACI), del Ministerio de Gobernación y Desarrollo Territorial</w:t>
      </w:r>
      <w:r>
        <w:t>, la Garantía de Cumplimiento de Contrato, por un valor de</w:t>
      </w:r>
      <w:r>
        <w:rPr>
          <w:rStyle w:val="Cuerpodeltexto115ptoNegrita6"/>
        </w:rPr>
        <w:t xml:space="preserve"> NOVENTA 40/100 DE DOLAR DE LOS ESTADOS UNIDOS DE AMÉRICA (US$90.40),</w:t>
      </w:r>
      <w:r>
        <w:t xml:space="preserve"> equivalente al diez por ciento (10%) del valor total del Contrato, para asegurar el cumplimiento de todas las obligaciones emana</w:t>
      </w:r>
      <w:r>
        <w:t xml:space="preserve">das del mismo, la cual deberá estar vigente a partir de la fecha de su presentación hasta un mínimo de treinta (30) días posteriores a la fecha de la finalización del Contrato y de sus prórrogas, si las hubieren. </w:t>
      </w:r>
      <w:r>
        <w:rPr>
          <w:rStyle w:val="Cuerpodeltexto115ptoNegrita8"/>
        </w:rPr>
        <w:t>CLÁUSULA NOVENA: ADMINISTRADOR DEL CONTRATO</w:t>
      </w:r>
      <w:r>
        <w:rPr>
          <w:rStyle w:val="Cuerpodeltexto115ptoNegrita8"/>
        </w:rPr>
        <w:t>:</w:t>
      </w:r>
      <w:r>
        <w:t xml:space="preserve"> La administración del presente Contrato según Acuerdo Número CIENTO VEINTE, antes citado de Nombramiento de Administrador del Contrato, estará a cargo del Ingeniero</w:t>
      </w:r>
      <w:r>
        <w:rPr>
          <w:rStyle w:val="Cuerpodeltexto115ptoNegrita9"/>
        </w:rPr>
        <w:t xml:space="preserve"> VICTOR MANUEL PORTILLO RUIZ,</w:t>
      </w:r>
      <w:r>
        <w:t xml:space="preserve"> Director General de la Imprenta Nacional, quien será el resp</w:t>
      </w:r>
      <w:r>
        <w:t>onsable de verificar la buena marcha y el estricto cumplimiento de las obligaciones emanadas del presente Contrato, con base a lo establecido en el Art 82 Bis de la Ley de Adquisiciones y Contrataciones de la Administración Pública, Art. 74 de su Reglament</w:t>
      </w:r>
      <w:r>
        <w:t>o, y conforme a los Documentos Contractuales que emanan de la presente contratación, así como a la legislación pertinente, teniendo entre otras, como principales obligaciones las siguientes:</w:t>
      </w:r>
      <w:r>
        <w:rPr>
          <w:rStyle w:val="CuerpodeltextoNegrita"/>
        </w:rPr>
        <w:t xml:space="preserve"> a)</w:t>
      </w:r>
      <w:r>
        <w:t xml:space="preserve"> Verificar el cumplimiento de las cláusulas contractuales; </w:t>
      </w:r>
      <w:r>
        <w:rPr>
          <w:rStyle w:val="Cuerpodeltexto115ptoNegritaa"/>
        </w:rPr>
        <w:t>b)</w:t>
      </w:r>
      <w:r>
        <w:t xml:space="preserve"> E</w:t>
      </w:r>
      <w:r>
        <w:t>laborar oportunamente los informes de avance de la ejecución del Contrato e informar de ello tanto a la UACI como a la Unidad responsable de efectuar los pagos o en su defecto reportar los incumplimientos; c) Informar a la UACI, a efecto de que se gestione</w:t>
      </w:r>
      <w:r>
        <w:t xml:space="preserve"> el informe al Titular para iniciar el procedimiento de aplicación de las sanciones al contratista, por los incumplimientos de sus obligaciones;</w:t>
      </w:r>
      <w:r>
        <w:rPr>
          <w:rStyle w:val="Cuerpodeltexto115ptoNegritaa"/>
        </w:rPr>
        <w:t xml:space="preserve"> d)</w:t>
      </w:r>
      <w:r>
        <w:t xml:space="preserve"> Conformar y mantener actualizado el expediente del seguimiento de la ejecución del Contrato, de tal manera q</w:t>
      </w:r>
      <w:r>
        <w:t>ue esté conformado por el conjunto de documentos necesarios que sustenten las acciones realizadas desde que se emite la Orden de Inicio hasta la recepción final; e) Elaborar y suscribir conjuntamente con el contratista, las actas de recepción total o parci</w:t>
      </w:r>
      <w:r>
        <w:t xml:space="preserve">al de las adquisiciones o contrataciones de obras, bienes y servicios, de conformidad a lo establecido en el Reglamento de la LACAP; f) Remitir a la UACI en un plazo máximo de tres días hábiles posteriores a la recepción de las obras, bienes y </w:t>
      </w:r>
      <w:r>
        <w:rPr>
          <w:rStyle w:val="Cuerpodeltexto6"/>
        </w:rPr>
        <w:t>servicios, e</w:t>
      </w:r>
      <w:r>
        <w:rPr>
          <w:rStyle w:val="Cuerpodeltexto6"/>
        </w:rPr>
        <w:t>n cuyos contratos no existan incumplimientos,</w:t>
      </w:r>
      <w:r>
        <w:t xml:space="preserve"> el</w:t>
      </w:r>
      <w:r>
        <w:rPr>
          <w:rStyle w:val="Cuerpodeltexto6"/>
        </w:rPr>
        <w:t xml:space="preserve"> acta</w:t>
      </w:r>
      <w:r>
        <w:t xml:space="preserve"> respectiva;</w:t>
      </w:r>
      <w:r>
        <w:rPr>
          <w:rStyle w:val="Cuerpodeltexto6"/>
        </w:rPr>
        <w:t xml:space="preserve"> a</w:t>
      </w:r>
      <w:r>
        <w:t xml:space="preserve"> fin de que ésta proceda a devolver al contratista las garantías correspondientes; g) Gestionar ante la UACI las órdenes de cambio o </w:t>
      </w:r>
      <w:r>
        <w:lastRenderedPageBreak/>
        <w:t>modificaciones a los contratos, una vez identificada tal</w:t>
      </w:r>
      <w:r>
        <w:t xml:space="preserve"> necesidad; h) Gestionar los reclamos al contratista relacionados con fallas o desperfectos en obras, bienes o servicios, durante el período de vigencia de las garantías de buena obra, buen servicio, funcionamiento o calidad de bienes, e informar a la UACI</w:t>
      </w:r>
      <w:r>
        <w:t xml:space="preserve"> de los incumplimientos en caso de no ser atendidos en los términos pactados; así como informar a la UACI sobre el vencimiento de las misma para que ésta proceda a su devolución en un período no mayor de ocho días hábiles; i) Cualquier otra responsabilidad</w:t>
      </w:r>
      <w:r>
        <w:t xml:space="preserve"> que establezca la LACAP, su Reglamento y el Contrato.</w:t>
      </w:r>
      <w:r>
        <w:rPr>
          <w:rStyle w:val="Cuerpodeltexto115ptoNegritab"/>
        </w:rPr>
        <w:t xml:space="preserve"> </w:t>
      </w:r>
      <w:r>
        <w:rPr>
          <w:rStyle w:val="Cuerpodeltexto115ptoNegritac"/>
        </w:rPr>
        <w:t>CLÁUSULA DÉCIMA: SANCIONES.</w:t>
      </w:r>
      <w:r>
        <w:t xml:space="preserve"> En caso de incumplimiento de las obligaciones emanadas del presente Contrato, las partes expresamente se someten a las sanciones que la Ley o que el presente Contrato señale</w:t>
      </w:r>
      <w:r>
        <w:t>, siempre y cuando se siga el debido proceso. Si EL CONTRATISTA incumpliere o incurriese en mora en el cumplimiento de sus obligaciones contractuales por causas imputables a él mismo, EL MINISTERIO podrá declarar la Caducidad del Contrato o imponer a EL CO</w:t>
      </w:r>
      <w:r>
        <w:t>NTRATISTA, el pago de una multa de conformidad al Art. 85 de la LACAP y se atenderá lo preceptuado en el Art. 36 de la LACAP. El incumplimiento o deficiencia total o parcial en la prestación del servicio durante el período fijado, dará lugar a la terminaci</w:t>
      </w:r>
      <w:r>
        <w:t xml:space="preserve">ón del Contrato, sin perjuicio de la responsabilidad que le corresponda a EL CONTRATISTA por su incumplimiento. </w:t>
      </w:r>
      <w:r>
        <w:rPr>
          <w:rStyle w:val="Cuerpodeltexto115ptoNegritac"/>
        </w:rPr>
        <w:t>CLÁUSULA DÉCIMA PRIMERA: MODIFICACIÓN Y PRÓRROGA.</w:t>
      </w:r>
      <w:r>
        <w:t xml:space="preserve"> El presente Contrato de común acuerdo podrá modificarse a causa de circunstancias imprevistas </w:t>
      </w:r>
      <w:r>
        <w:t>y comprobadas, o prorrogarse por un período menor o igual al pactado inicialmente, siempre y cuando las condiciones del mismo permanezcan favorables para EL MINISTERIO. EL MINISTERIO emitirá una Resolución Modificativa, la que deberá ser debidamente avalad</w:t>
      </w:r>
      <w:r>
        <w:t>a y aceptada por ambas partes, de acuerdo a lo estipulado en los Arts. 83 y 83-A de la LACAP y demás normativa aplicable, y debiendo estar conforme a las condiciones establecidas en la LACAP y su Reglamento, especialmente a lo establecido en los Arts. 86 y</w:t>
      </w:r>
      <w:r>
        <w:t xml:space="preserve"> 92 de dicha Ley. La modificación del presente Contrato no podrá realizarse en contravención a lo establecido en el Art. 83-B de la LACAP. </w:t>
      </w:r>
      <w:r>
        <w:rPr>
          <w:rStyle w:val="Cuerpodeltexto115ptoNegritac"/>
        </w:rPr>
        <w:t>CLÁUSULA DÉCIMA SEGUNDA: CASO FORTUITO O FUERZA MAYOR.</w:t>
      </w:r>
      <w:r>
        <w:t xml:space="preserve"> Si acontecieren actos de caso fortuito, fuerza mayor o situaci</w:t>
      </w:r>
      <w:r>
        <w:t>ones ajenas a las partes, que afecten el cumplimiento de las obligaciones contractuales, de conformidad a los Arts. 86 y 92 inciso segundo de la LACAP, EL CONTRATISTA podrá solicitar una ampliación (prórroga) en el plazo de prestación del servicio, toda ve</w:t>
      </w:r>
      <w:r>
        <w:t>z que lo haga por escrito dentro del plazo contractual previamente pactado y siempre que dichos actos no le fueren imputables y los justifique y documente en debida forma. EL CONTRATISTA dará aviso por escrito a EL MINISTERIO dentro de los cinco (5) días h</w:t>
      </w:r>
      <w:r>
        <w:t>ábiles siguientes a la fecha en que ocurra la causa que origina el percance. En caso de no hacerse tal notificación en el plazo establecido, esta omisión será razón suficiente para que EL MINISTERIO deniegue la prórroga del plazo contractual. EL MINISTERIO</w:t>
      </w:r>
      <w:r>
        <w:t xml:space="preserve"> notificará a EL CONTRATISTA lo que proceda, a través de la Unidad de Adquisiciones y Contrataciones Institucional; y en caso de </w:t>
      </w:r>
      <w:r>
        <w:lastRenderedPageBreak/>
        <w:t>prórroga, la cual será establecida y formalizada a través de una Resolución, ésta operará siempre que el plazo de la garantía q</w:t>
      </w:r>
      <w:r>
        <w:t>ue se haya constituido a favor de EL MINISTERIO asegure las obligaciones contraídas.</w:t>
      </w:r>
      <w:r>
        <w:rPr>
          <w:rStyle w:val="Cuerpodeltexto115ptoNegritad"/>
        </w:rPr>
        <w:t xml:space="preserve"> </w:t>
      </w:r>
      <w:r>
        <w:rPr>
          <w:rStyle w:val="Cuerpodeltexto115ptoNegritae"/>
        </w:rPr>
        <w:t>CLÁUSULA DÉCIMA TERCERA: CESIÓN,</w:t>
      </w:r>
      <w:r>
        <w:t xml:space="preserve"> Queda expresamente prohibido a EL CONTRATISTA traspasar o ceder a cualquier título los derechos y obligaciones que emanan del presente Con</w:t>
      </w:r>
      <w:r>
        <w:t>trato. La transgresión de esta disposición dará lugar a la Caducidad del Contrato, procediéndose además de acuerdo a lo establecido en el inciso segundo del Art. 100 de la LACAP.</w:t>
      </w:r>
      <w:r>
        <w:rPr>
          <w:rStyle w:val="Cuerpodeltexto115ptoNegritad"/>
        </w:rPr>
        <w:t xml:space="preserve"> </w:t>
      </w:r>
      <w:r>
        <w:rPr>
          <w:rStyle w:val="Cuerpodeltexto115ptoNegritae"/>
        </w:rPr>
        <w:t>CLÁUSULA DÉCIMA CUARTA: INTERPRETACIÓN DEL CONTRATO.</w:t>
      </w:r>
      <w:r>
        <w:t xml:space="preserve"> EL MINISTERIO se reserva</w:t>
      </w:r>
      <w:r>
        <w:t xml:space="preserve"> la facultad de interpretar el presente Contrato de conformidad a la Constitución de la República, LACAP, demás legislación aplicable y los Principios Generales del Derecho Administrativo y de la forma que más convenga al interés público que se pretende sa</w:t>
      </w:r>
      <w:r>
        <w:t>tisfacer de forma directa o indirecta con la prestación del servicio, objeto del presente Instrumento, pudiendo en tal caso girar las instrucciones por escrito que al respecto considere convenientes.</w:t>
      </w:r>
      <w:r>
        <w:rPr>
          <w:rStyle w:val="Cuerpodeltexto115ptoNegritad"/>
        </w:rPr>
        <w:t xml:space="preserve"> </w:t>
      </w:r>
      <w:r>
        <w:rPr>
          <w:rStyle w:val="Cuerpodeltexto115ptoNegritae"/>
        </w:rPr>
        <w:t>CLÁUSULA DÉCIMA QUINTA: SOLUCIÓN DE CONFLICTOS</w:t>
      </w:r>
      <w:r>
        <w:rPr>
          <w:rStyle w:val="Cuerpodeltexto7"/>
        </w:rPr>
        <w:t>.</w:t>
      </w:r>
      <w:r>
        <w:t xml:space="preserve"> Toda dud</w:t>
      </w:r>
      <w:r>
        <w:t>a, discrepancia o conflicto que surgiere entre las partes durante la ejecución de este Contrato se resolverá de acuerdo a lo establecido en el Título VIII de la LACAP.</w:t>
      </w:r>
      <w:r>
        <w:rPr>
          <w:rStyle w:val="Cuerpodeltexto115ptoNegritad"/>
        </w:rPr>
        <w:t xml:space="preserve"> </w:t>
      </w:r>
      <w:r>
        <w:rPr>
          <w:rStyle w:val="Cuerpodeltexto115ptoNegritae"/>
        </w:rPr>
        <w:t>CLÁUSULA DÉCIMA SEXTA: TERMINACIÓN DEL CONTRATO.</w:t>
      </w:r>
      <w:r>
        <w:t xml:space="preserve"> EL MINISTERIO podrá dar por terminado e</w:t>
      </w:r>
      <w:r>
        <w:t xml:space="preserve">l Contrato sin responsabilidad alguna de su parte: a) Por las causales establecidas en las letras a) y b) </w:t>
      </w:r>
      <w:r>
        <w:rPr>
          <w:lang w:val="it"/>
        </w:rPr>
        <w:t xml:space="preserve">del Art. </w:t>
      </w:r>
      <w:r>
        <w:t xml:space="preserve">94 </w:t>
      </w:r>
      <w:r>
        <w:rPr>
          <w:lang w:val="it"/>
        </w:rPr>
        <w:t xml:space="preserve">de la LACAP; b) </w:t>
      </w:r>
      <w:r>
        <w:t xml:space="preserve">Cuando EL CONTRATISTA entregue el servicio de inferior calidad o en diferentes condiciones de lo ofertado; y c) por común </w:t>
      </w:r>
      <w:r>
        <w:t>acuerdo entre las partes. En estos casos EL MINISTERIO tendrá derecho, después de notificar por escrito a EL CONTRATISTA, a dar por terminado el Contrato, y cuando el contrato se dé por caducado por incumplimiento imputable a EL MINISTERIO, se procederá de</w:t>
      </w:r>
      <w:r>
        <w:t xml:space="preserve"> acuerdo a lo establecido en el </w:t>
      </w:r>
      <w:r>
        <w:rPr>
          <w:lang w:val="it"/>
        </w:rPr>
        <w:t xml:space="preserve">Art. </w:t>
      </w:r>
      <w:r>
        <w:t xml:space="preserve">100 de la LACAP. También se aplicarán al presente Contrato las demás causales de extinción establecidas en el </w:t>
      </w:r>
      <w:r>
        <w:rPr>
          <w:lang w:val="it"/>
        </w:rPr>
        <w:t>Art.</w:t>
      </w:r>
      <w:r>
        <w:rPr>
          <w:rStyle w:val="Cuerpodeltexto12ptoCursiva"/>
          <w:lang w:val="it"/>
        </w:rPr>
        <w:t xml:space="preserve"> </w:t>
      </w:r>
      <w:r>
        <w:rPr>
          <w:rStyle w:val="Cuerpodeltexto12ptoCursiva"/>
        </w:rPr>
        <w:t>92</w:t>
      </w:r>
      <w:r>
        <w:t xml:space="preserve"> y siguientes de la LACAP. </w:t>
      </w:r>
      <w:r>
        <w:rPr>
          <w:rStyle w:val="Cuerpodeltexto115ptoNegritaf"/>
        </w:rPr>
        <w:t>CLÁUSULA DÉCIMA SÉPTIMA: LEGISLACIÓN APLICABLE.</w:t>
      </w:r>
      <w:r>
        <w:t xml:space="preserve"> Las partes se someten a la </w:t>
      </w:r>
      <w:r>
        <w:t>legislación vigente de la República de El Salvador.</w:t>
      </w:r>
      <w:r>
        <w:rPr>
          <w:rStyle w:val="Cuerpodeltexto115ptoNegritaf0"/>
        </w:rPr>
        <w:t xml:space="preserve"> </w:t>
      </w:r>
      <w:r>
        <w:rPr>
          <w:rStyle w:val="Cuerpodeltexto115ptoNegritaf"/>
        </w:rPr>
        <w:t>CLAUSULA DECIMA OCTAVA: CONDICIONES DE PREVENCION Y ERRADICACION DEL TRABATO INFANTIL</w:t>
      </w:r>
      <w:r>
        <w:rPr>
          <w:rStyle w:val="Cuerpodeltexto115ptoNegritaf0"/>
        </w:rPr>
        <w:t>:</w:t>
      </w:r>
      <w:r>
        <w:t xml:space="preserve"> Si durante la ejecución del contrato se comprobare por la Dirección General de Inspección de Trabajo del Ministerio d</w:t>
      </w:r>
      <w:r>
        <w:t>e Trabajo y Previsión Social, incumplimiento por parte de(l) (la) contratista a la normativa que prohibe el trabajo infantil y de protección de la persona adolescente trabajadora, se deberá tramitar el procedimiento sancionatorio que dispone el artículo 16</w:t>
      </w:r>
      <w:r>
        <w:t>0 de la LACAP para determinar el cometimiento o no durante la ejecución del contrato de la conducta tipificada como causal de inhabilitación en el artículo 158 Romano V literal b) de la LACAP relativa a la invocación de hechos falsos para obtener la adjudi</w:t>
      </w:r>
      <w:r>
        <w:t xml:space="preserve">cación de la contratación. Se entenderá por comprobado el incumplimiento a la normativa por parte de la Dirección General de Inspección de Trabajo, si durante el trámite de re inspección se determina que hubo subsanación por haber cometido una </w:t>
      </w:r>
      <w:r>
        <w:lastRenderedPageBreak/>
        <w:t xml:space="preserve">infracción, </w:t>
      </w:r>
      <w:r>
        <w:t>o por el contrario si se remitiere a procedimiento sancionatorio y en éste último caso deberá finalizar el procedimiento para conocer la resolución final</w:t>
      </w:r>
      <w:r>
        <w:rPr>
          <w:rStyle w:val="Cuerpodeltexto115ptoNegritaf0"/>
        </w:rPr>
        <w:t xml:space="preserve"> </w:t>
      </w:r>
      <w:r>
        <w:rPr>
          <w:rStyle w:val="Cuerpodeltexto115ptoNegritaf"/>
        </w:rPr>
        <w:t>CLÁUSULA DÉCIMA NOVENA: NOTIFICACIONES.</w:t>
      </w:r>
      <w:r>
        <w:t xml:space="preserve"> Todas las notificaciones entre las partes referentes a la ejecución de este Contrato, deberán hacerse por escrito y tendrán efecto a partir de su recepción en las direcciones que a continuación se indican: para EL MINISTERIO, Edificio del Ministerio de Go</w:t>
      </w:r>
      <w:r>
        <w:t>bernación y Desarrollo Territorial, 9</w:t>
      </w:r>
      <w:r>
        <w:rPr>
          <w:vertAlign w:val="superscript"/>
        </w:rPr>
        <w:t>a</w:t>
      </w:r>
      <w:r>
        <w:t xml:space="preserve"> Calle Poniente y 15 Avenida Norte, Centro de Gobierno, San Salvador, y para EL CONTRATISTA, </w:t>
      </w:r>
      <w:r w:rsidRPr="00EF3F4F">
        <w:rPr>
          <w:highlight w:val="red"/>
        </w:rPr>
        <w:t>INFORMACION CONFIDENCIAL</w:t>
      </w:r>
      <w:r>
        <w:t>, San Salvador. En fe d</w:t>
      </w:r>
    </w:p>
    <w:p w:rsidR="00F43410" w:rsidRDefault="00EF4641" w:rsidP="00EF4641">
      <w:pPr>
        <w:pStyle w:val="Cuerpodeltexto0"/>
        <w:shd w:val="clear" w:color="auto" w:fill="auto"/>
        <w:spacing w:before="0" w:after="24" w:line="482" w:lineRule="exact"/>
        <w:ind w:right="1160"/>
        <w:jc w:val="left"/>
      </w:pPr>
      <w:r>
        <w:t>lo cual firmamos el presente</w:t>
      </w:r>
      <w:r>
        <w:t xml:space="preserve"> Contrato, en la ciudad de San Salvador, a los veintitrés días del mes de diciembre del año dos mil diecinueve.</w:t>
      </w:r>
    </w:p>
    <w:p w:rsidR="00F43410" w:rsidRDefault="00EF4641">
      <w:pPr>
        <w:framePr w:wrap="notBeside" w:vAnchor="text" w:hAnchor="text" w:xAlign="center" w:y="1"/>
        <w:jc w:val="center"/>
        <w:rPr>
          <w:sz w:val="0"/>
          <w:szCs w:val="0"/>
        </w:rPr>
      </w:pPr>
      <w:r>
        <w:rPr>
          <w:noProof/>
        </w:rPr>
        <w:drawing>
          <wp:inline distT="0" distB="0" distL="0" distR="0">
            <wp:extent cx="542925" cy="77152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42925" cy="771525"/>
                    </a:xfrm>
                    <a:prstGeom prst="rect">
                      <a:avLst/>
                    </a:prstGeom>
                    <a:noFill/>
                    <a:ln>
                      <a:noFill/>
                    </a:ln>
                  </pic:spPr>
                </pic:pic>
              </a:graphicData>
            </a:graphic>
          </wp:inline>
        </w:drawing>
      </w:r>
    </w:p>
    <w:p w:rsidR="00F43410" w:rsidRDefault="00F43410">
      <w:pPr>
        <w:rPr>
          <w:sz w:val="2"/>
          <w:szCs w:val="2"/>
        </w:rPr>
      </w:pPr>
    </w:p>
    <w:p w:rsidR="00F43410" w:rsidRDefault="00EF4641">
      <w:pPr>
        <w:pStyle w:val="Cuerpodeltexto41"/>
        <w:shd w:val="clear" w:color="auto" w:fill="auto"/>
        <w:spacing w:before="91"/>
        <w:ind w:left="1260" w:right="5720"/>
      </w:pPr>
      <w:r>
        <w:t xml:space="preserve">JORGE ARMANDO ALE ARO </w:t>
      </w:r>
      <w:r>
        <w:rPr>
          <w:lang w:val="de"/>
        </w:rPr>
        <w:t>QUINT</w:t>
      </w:r>
      <w:r>
        <w:t>ANILLA EL MINISTERIO</w:t>
      </w:r>
    </w:p>
    <w:p w:rsidR="00F43410" w:rsidRDefault="00EF4641">
      <w:pPr>
        <w:framePr w:wrap="notBeside" w:vAnchor="text" w:hAnchor="text" w:xAlign="center" w:y="1"/>
        <w:jc w:val="center"/>
        <w:rPr>
          <w:sz w:val="0"/>
          <w:szCs w:val="0"/>
        </w:rPr>
      </w:pPr>
      <w:r>
        <w:rPr>
          <w:noProof/>
        </w:rPr>
        <w:drawing>
          <wp:inline distT="0" distB="0" distL="0" distR="0">
            <wp:extent cx="2981325" cy="6096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981325" cy="609600"/>
                    </a:xfrm>
                    <a:prstGeom prst="rect">
                      <a:avLst/>
                    </a:prstGeom>
                    <a:noFill/>
                    <a:ln>
                      <a:noFill/>
                    </a:ln>
                  </pic:spPr>
                </pic:pic>
              </a:graphicData>
            </a:graphic>
          </wp:inline>
        </w:drawing>
      </w:r>
    </w:p>
    <w:p w:rsidR="00F43410" w:rsidRDefault="00EF4641">
      <w:pPr>
        <w:pStyle w:val="Leyendadelaimagen0"/>
        <w:framePr w:wrap="notBeside" w:vAnchor="text" w:hAnchor="text" w:xAlign="center" w:y="1"/>
        <w:shd w:val="clear" w:color="auto" w:fill="auto"/>
      </w:pPr>
      <w:r>
        <w:rPr>
          <w:lang w:val="es"/>
        </w:rPr>
        <w:t>C</w:t>
      </w:r>
      <w:r>
        <w:rPr>
          <w:lang w:val="fr"/>
        </w:rPr>
        <w:t xml:space="preserve">ESAR^liVAN'RîVAS </w:t>
      </w:r>
      <w:r>
        <w:rPr>
          <w:lang w:val="es"/>
        </w:rPr>
        <w:t xml:space="preserve">GUEVARA </w:t>
      </w:r>
      <w:r>
        <w:t xml:space="preserve">SI^ECÖR, S.A. </w:t>
      </w:r>
      <w:r>
        <w:rPr>
          <w:lang w:val="es"/>
        </w:rPr>
        <w:t xml:space="preserve">DE </w:t>
      </w:r>
      <w:r>
        <w:t>C.V.</w:t>
      </w:r>
    </w:p>
    <w:p w:rsidR="00F43410" w:rsidRDefault="00EF4641">
      <w:pPr>
        <w:pStyle w:val="Leyendadelaimagen0"/>
        <w:framePr w:wrap="notBeside" w:vAnchor="text" w:hAnchor="text" w:xAlign="center" w:y="1"/>
        <w:shd w:val="clear" w:color="auto" w:fill="auto"/>
      </w:pPr>
      <w:r>
        <w:rPr>
          <w:lang w:val="es"/>
        </w:rPr>
        <w:t xml:space="preserve">ÉL </w:t>
      </w:r>
      <w:r>
        <w:rPr>
          <w:lang w:val="it"/>
        </w:rPr>
        <w:t>GÒNTRATISTA</w:t>
      </w:r>
    </w:p>
    <w:p w:rsidR="00F43410" w:rsidRDefault="00EF4641">
      <w:pPr>
        <w:pStyle w:val="Leyendadelaimagen20"/>
        <w:framePr w:wrap="notBeside" w:vAnchor="text" w:hAnchor="text" w:xAlign="center" w:y="1"/>
        <w:shd w:val="clear" w:color="auto" w:fill="auto"/>
        <w:spacing w:line="220" w:lineRule="exact"/>
        <w:jc w:val="center"/>
      </w:pPr>
      <w:r>
        <w:t xml:space="preserve">i </w:t>
      </w:r>
      <w:r>
        <w:rPr>
          <w:lang w:val="de"/>
        </w:rPr>
        <w:t>/</w:t>
      </w:r>
    </w:p>
    <w:p w:rsidR="00F43410" w:rsidRDefault="00F43410">
      <w:pPr>
        <w:rPr>
          <w:sz w:val="2"/>
          <w:szCs w:val="2"/>
        </w:rPr>
      </w:pPr>
    </w:p>
    <w:sectPr w:rsidR="00F43410">
      <w:type w:val="continuous"/>
      <w:pgSz w:w="11905" w:h="16837"/>
      <w:pgMar w:top="1916" w:right="38" w:bottom="10203" w:left="132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3F4F" w:rsidRDefault="00EF3F4F">
      <w:r>
        <w:separator/>
      </w:r>
    </w:p>
  </w:endnote>
  <w:endnote w:type="continuationSeparator" w:id="0">
    <w:p w:rsidR="00EF3F4F" w:rsidRDefault="00EF3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ook Antiqua">
    <w:panose1 w:val="0204060205030503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4641" w:rsidRDefault="00EF464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3410" w:rsidRDefault="00EF4641">
    <w:pPr>
      <w:pStyle w:val="Encabezamientoopiedepgina0"/>
      <w:framePr w:h="191" w:wrap="none" w:vAnchor="text" w:hAnchor="page" w:x="10626" w:y="-1669"/>
      <w:shd w:val="clear" w:color="auto" w:fill="auto"/>
      <w:jc w:val="both"/>
    </w:pPr>
    <w:r>
      <w:fldChar w:fldCharType="begin"/>
    </w:r>
    <w:r>
      <w:instrText xml:space="preserve"> PAGE \* MERGEFORMAT </w:instrText>
    </w:r>
    <w:r>
      <w:fldChar w:fldCharType="separate"/>
    </w:r>
    <w:r>
      <w:rPr>
        <w:rStyle w:val="EncabezamientoopiedepginaBookAntiqua95pto"/>
      </w:rPr>
      <w:t>i</w:t>
    </w:r>
    <w:r>
      <w:rPr>
        <w:rStyle w:val="EncabezamientoopiedepginaBookAntiqua95pto"/>
      </w:rPr>
      <w:fldChar w:fldCharType="end"/>
    </w:r>
  </w:p>
  <w:p w:rsidR="00F43410" w:rsidRDefault="00F43410">
    <w:pP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4641" w:rsidRDefault="00EF4641">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3410" w:rsidRDefault="00EF4641">
    <w:pPr>
      <w:pStyle w:val="Encabezamientoopiedepgina0"/>
      <w:framePr w:w="12573" w:h="140" w:wrap="none" w:vAnchor="text" w:hAnchor="page" w:x="-333" w:y="-1602"/>
      <w:shd w:val="clear" w:color="auto" w:fill="auto"/>
      <w:ind w:left="11142"/>
    </w:pPr>
    <w:r>
      <w:fldChar w:fldCharType="begin"/>
    </w:r>
    <w:r>
      <w:instrText xml:space="preserve"> PAGE \* MERGEFORMAT </w:instrText>
    </w:r>
    <w:r>
      <w:fldChar w:fldCharType="separate"/>
    </w:r>
    <w:r>
      <w:rPr>
        <w:rStyle w:val="EncabezamientoopiedepginaBookAntiqua95pto"/>
      </w:rPr>
      <w:t>2</w:t>
    </w:r>
    <w:r>
      <w:rPr>
        <w:rStyle w:val="EncabezamientoopiedepginaBookAntiqua95pto"/>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3410" w:rsidRDefault="00EF4641">
    <w:pPr>
      <w:pStyle w:val="Encabezamientoopiedepgina0"/>
      <w:framePr w:w="12573" w:h="140" w:wrap="none" w:vAnchor="text" w:hAnchor="page" w:x="-333" w:y="-1602"/>
      <w:shd w:val="clear" w:color="auto" w:fill="auto"/>
      <w:ind w:left="11142"/>
    </w:pPr>
    <w:r>
      <w:fldChar w:fldCharType="begin"/>
    </w:r>
    <w:r>
      <w:instrText xml:space="preserve"> PAGE \* MERGEFORMAT </w:instrText>
    </w:r>
    <w:r>
      <w:fldChar w:fldCharType="separate"/>
    </w:r>
    <w:r>
      <w:rPr>
        <w:rStyle w:val="EncabezamientoopiedepginaBookAntiqua95pto"/>
      </w:rPr>
      <w:t>2</w:t>
    </w:r>
    <w:r>
      <w:rPr>
        <w:rStyle w:val="EncabezamientoopiedepginaBookAntiqua95pto"/>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3410" w:rsidRDefault="00EF4641">
    <w:pPr>
      <w:pStyle w:val="Encabezamientoopiedepgina0"/>
      <w:framePr w:w="12573" w:h="140" w:wrap="none" w:vAnchor="text" w:hAnchor="page" w:x="-333" w:y="-1602"/>
      <w:shd w:val="clear" w:color="auto" w:fill="auto"/>
      <w:ind w:left="11142"/>
    </w:pPr>
    <w:r>
      <w:fldChar w:fldCharType="begin"/>
    </w:r>
    <w:r>
      <w:instrText xml:space="preserve"> PAGE \* MERGEFORMAT </w:instrText>
    </w:r>
    <w:r>
      <w:fldChar w:fldCharType="separate"/>
    </w:r>
    <w:r>
      <w:rPr>
        <w:rStyle w:val="EncabezamientoopiedepginaBookAntiqua95pto"/>
      </w:rPr>
      <w:t>2</w:t>
    </w:r>
    <w:r>
      <w:rPr>
        <w:rStyle w:val="EncabezamientoopiedepginaBookAntiqua95pto"/>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3410" w:rsidRDefault="00EF4641">
    <w:pPr>
      <w:pStyle w:val="Encabezamientoopiedepgina0"/>
      <w:framePr w:w="12573" w:h="148" w:wrap="none" w:vAnchor="text" w:hAnchor="page" w:x="-333" w:y="-1750"/>
      <w:shd w:val="clear" w:color="auto" w:fill="auto"/>
      <w:ind w:left="10944"/>
    </w:pPr>
    <w:r>
      <w:rPr>
        <w:rStyle w:val="EncabezamientoopiedepginaBookAntiqua75ptoCursivaEspaciado-1pto"/>
      </w:rPr>
      <w:t>rj</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3F4F" w:rsidRDefault="00EF3F4F"/>
  </w:footnote>
  <w:footnote w:type="continuationSeparator" w:id="0">
    <w:p w:rsidR="00EF3F4F" w:rsidRDefault="00EF3F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4641" w:rsidRDefault="00EF464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947501" o:spid="_x0000_s2050" type="#_x0000_t136" style="position:absolute;margin-left:0;margin-top:0;width:746pt;height:93.25pt;rotation:315;z-index:-251655168;mso-position-horizontal:center;mso-position-horizontal-relative:margin;mso-position-vertical:center;mso-position-vertical-relative:margin" o:allowincell="f" fillcolor="silver" stroked="f">
          <v:fill opacity=".5"/>
          <v:textpath style="font-family:&quot;Microsoft Sans Serif&quot;;font-size:1pt" string="VERSION PUBLICA"/>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4641" w:rsidRDefault="00EF464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947510" o:spid="_x0000_s2059" type="#_x0000_t136" style="position:absolute;margin-left:0;margin-top:0;width:746pt;height:93.25pt;rotation:315;z-index:-251636736;mso-position-horizontal:center;mso-position-horizontal-relative:margin;mso-position-vertical:center;mso-position-vertical-relative:margin" o:allowincell="f" fillcolor="silver" stroked="f">
          <v:fill opacity=".5"/>
          <v:textpath style="font-family:&quot;Microsoft Sans Serif&quot;;font-size:1pt" string="VERSION PUBLICA"/>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4641" w:rsidRDefault="00EF464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947511" o:spid="_x0000_s2060" type="#_x0000_t136" style="position:absolute;margin-left:0;margin-top:0;width:746pt;height:93.25pt;rotation:315;z-index:-251634688;mso-position-horizontal:center;mso-position-horizontal-relative:margin;mso-position-vertical:center;mso-position-vertical-relative:margin" o:allowincell="f" fillcolor="silver" stroked="f">
          <v:fill opacity=".5"/>
          <v:textpath style="font-family:&quot;Microsoft Sans Serif&quot;;font-size:1pt" string="VERSION PUBLICA"/>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4641" w:rsidRDefault="00EF464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947509" o:spid="_x0000_s2058" type="#_x0000_t136" style="position:absolute;margin-left:0;margin-top:0;width:746pt;height:93.25pt;rotation:315;z-index:-251638784;mso-position-horizontal:center;mso-position-horizontal-relative:margin;mso-position-vertical:center;mso-position-vertical-relative:margin" o:allowincell="f" fillcolor="silver" stroked="f">
          <v:fill opacity=".5"/>
          <v:textpath style="font-family:&quot;Microsoft Sans Serif&quot;;font-size:1pt" string="VERSION PUBLICA"/>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4641" w:rsidRDefault="00EF464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947502" o:spid="_x0000_s2051" type="#_x0000_t136" style="position:absolute;margin-left:0;margin-top:0;width:746pt;height:93.25pt;rotation:315;z-index:-251653120;mso-position-horizontal:center;mso-position-horizontal-relative:margin;mso-position-vertical:center;mso-position-vertical-relative:margin" o:allowincell="f" fillcolor="silver" stroked="f">
          <v:fill opacity=".5"/>
          <v:textpath style="font-family:&quot;Microsoft Sans Serif&quot;;font-size:1pt" string="VERSION PUBLICA"/>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4641" w:rsidRDefault="00EF464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947500" o:spid="_x0000_s2049" type="#_x0000_t136" style="position:absolute;margin-left:0;margin-top:0;width:746pt;height:93.25pt;rotation:315;z-index:-251657216;mso-position-horizontal:center;mso-position-horizontal-relative:margin;mso-position-vertical:center;mso-position-vertical-relative:margin" o:allowincell="f" fillcolor="silver" stroked="f">
          <v:fill opacity=".5"/>
          <v:textpath style="font-family:&quot;Microsoft Sans Serif&quot;;font-size:1pt" string="VERSION PUBLICA"/>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4641" w:rsidRDefault="00EF464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947504" o:spid="_x0000_s2053" type="#_x0000_t136" style="position:absolute;margin-left:0;margin-top:0;width:746pt;height:93.25pt;rotation:315;z-index:-251649024;mso-position-horizontal:center;mso-position-horizontal-relative:margin;mso-position-vertical:center;mso-position-vertical-relative:margin" o:allowincell="f" fillcolor="silver" stroked="f">
          <v:fill opacity=".5"/>
          <v:textpath style="font-family:&quot;Microsoft Sans Serif&quot;;font-size:1pt" string="VERSION PUBLICA"/>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4641" w:rsidRDefault="00EF464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947505" o:spid="_x0000_s2054" type="#_x0000_t136" style="position:absolute;margin-left:0;margin-top:0;width:746pt;height:93.25pt;rotation:315;z-index:-251646976;mso-position-horizontal:center;mso-position-horizontal-relative:margin;mso-position-vertical:center;mso-position-vertical-relative:margin" o:allowincell="f" fillcolor="silver" stroked="f">
          <v:fill opacity=".5"/>
          <v:textpath style="font-family:&quot;Microsoft Sans Serif&quot;;font-size:1pt" string="VERSION PUBLICA"/>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4641" w:rsidRDefault="00EF464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947503" o:spid="_x0000_s2052" type="#_x0000_t136" style="position:absolute;margin-left:0;margin-top:0;width:746pt;height:93.25pt;rotation:315;z-index:-251651072;mso-position-horizontal:center;mso-position-horizontal-relative:margin;mso-position-vertical:center;mso-position-vertical-relative:margin" o:allowincell="f" fillcolor="silver" stroked="f">
          <v:fill opacity=".5"/>
          <v:textpath style="font-family:&quot;Microsoft Sans Serif&quot;;font-size:1pt" string="VERSION PUBLICA"/>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4641" w:rsidRDefault="00EF464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947507" o:spid="_x0000_s2056" type="#_x0000_t136" style="position:absolute;margin-left:0;margin-top:0;width:746pt;height:93.25pt;rotation:315;z-index:-251642880;mso-position-horizontal:center;mso-position-horizontal-relative:margin;mso-position-vertical:center;mso-position-vertical-relative:margin" o:allowincell="f" fillcolor="silver" stroked="f">
          <v:fill opacity=".5"/>
          <v:textpath style="font-family:&quot;Microsoft Sans Serif&quot;;font-size:1pt" string="VERSION PUBLICA"/>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4641" w:rsidRDefault="00EF464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947508" o:spid="_x0000_s2057" type="#_x0000_t136" style="position:absolute;margin-left:0;margin-top:0;width:746pt;height:93.25pt;rotation:315;z-index:-251640832;mso-position-horizontal:center;mso-position-horizontal-relative:margin;mso-position-vertical:center;mso-position-vertical-relative:margin" o:allowincell="f" fillcolor="silver" stroked="f">
          <v:fill opacity=".5"/>
          <v:textpath style="font-family:&quot;Microsoft Sans Serif&quot;;font-size:1pt" string="VERSION PUBLICA"/>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4641" w:rsidRDefault="00EF464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947506" o:spid="_x0000_s2055" type="#_x0000_t136" style="position:absolute;margin-left:0;margin-top:0;width:746pt;height:93.25pt;rotation:315;z-index:-251644928;mso-position-horizontal:center;mso-position-horizontal-relative:margin;mso-position-vertical:center;mso-position-vertical-relative:margin" o:allowincell="f" fillcolor="silver" stroked="f">
          <v:fill opacity=".5"/>
          <v:textpath style="font-family:&quot;Microsoft Sans Serif&quot;;font-size:1pt" string="VERSION PUBLICA"/>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C314FA"/>
    <w:multiLevelType w:val="multilevel"/>
    <w:tmpl w:val="EFF6386C"/>
    <w:lvl w:ilvl="0">
      <w:start w:val="1"/>
      <w:numFmt w:val="bullet"/>
      <w:lvlText w:val="□"/>
      <w:lvlJc w:val="left"/>
      <w:rPr>
        <w:rFonts w:ascii="Book Antiqua" w:eastAsia="Book Antiqua" w:hAnsi="Book Antiqua" w:cs="Book Antiqua"/>
        <w:b w:val="0"/>
        <w:bCs w:val="0"/>
        <w:i w:val="0"/>
        <w:iCs w:val="0"/>
        <w:smallCaps w:val="0"/>
        <w:strike w:val="0"/>
        <w:color w:val="000000"/>
        <w:spacing w:val="0"/>
        <w:w w:val="100"/>
        <w:position w:val="0"/>
        <w:sz w:val="19"/>
        <w:szCs w:val="19"/>
        <w:u w:val="none"/>
        <w:lang w:val="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2EB5B63"/>
    <w:multiLevelType w:val="multilevel"/>
    <w:tmpl w:val="4198C600"/>
    <w:lvl w:ilvl="0">
      <w:start w:val="1"/>
      <w:numFmt w:val="bullet"/>
      <w:lvlText w:val="•"/>
      <w:lvlJc w:val="left"/>
      <w:rPr>
        <w:rFonts w:ascii="Book Antiqua" w:eastAsia="Book Antiqua" w:hAnsi="Book Antiqua" w:cs="Book Antiqua"/>
        <w:b w:val="0"/>
        <w:bCs w:val="0"/>
        <w:i w:val="0"/>
        <w:iCs w:val="0"/>
        <w:smallCaps w:val="0"/>
        <w:strike w:val="0"/>
        <w:color w:val="000000"/>
        <w:spacing w:val="0"/>
        <w:w w:val="100"/>
        <w:position w:val="0"/>
        <w:sz w:val="19"/>
        <w:szCs w:val="19"/>
        <w:u w:val="none"/>
        <w:lang w:val="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81"/>
  <w:drawingGridVerticalSpacing w:val="181"/>
  <w:characterSpacingControl w:val="compressPunctuation"/>
  <w:hdrShapeDefaults>
    <o:shapedefaults v:ext="edit" spidmax="2061"/>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410"/>
    <w:rsid w:val="00EF3F4F"/>
    <w:rsid w:val="00EF4641"/>
    <w:rsid w:val="00F4341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02574152"/>
  <w15:docId w15:val="{D8F23A0F-8DB4-4B8C-A8DB-73580C165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es"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Ttulo1">
    <w:name w:val="Título #1_"/>
    <w:basedOn w:val="Fuentedeprrafopredeter"/>
    <w:link w:val="Ttulo10"/>
    <w:rPr>
      <w:rFonts w:ascii="Century Schoolbook" w:eastAsia="Century Schoolbook" w:hAnsi="Century Schoolbook" w:cs="Century Schoolbook"/>
      <w:b w:val="0"/>
      <w:bCs w:val="0"/>
      <w:i w:val="0"/>
      <w:iCs w:val="0"/>
      <w:smallCaps w:val="0"/>
      <w:strike w:val="0"/>
      <w:spacing w:val="-60"/>
      <w:sz w:val="75"/>
      <w:szCs w:val="75"/>
    </w:rPr>
  </w:style>
  <w:style w:type="character" w:customStyle="1" w:styleId="Ttulo11">
    <w:name w:val="Título #1"/>
    <w:basedOn w:val="Ttulo1"/>
    <w:rPr>
      <w:rFonts w:ascii="Century Schoolbook" w:eastAsia="Century Schoolbook" w:hAnsi="Century Schoolbook" w:cs="Century Schoolbook"/>
      <w:b w:val="0"/>
      <w:bCs w:val="0"/>
      <w:i w:val="0"/>
      <w:iCs w:val="0"/>
      <w:smallCaps w:val="0"/>
      <w:strike w:val="0"/>
      <w:spacing w:val="-60"/>
      <w:sz w:val="75"/>
      <w:szCs w:val="75"/>
    </w:rPr>
  </w:style>
  <w:style w:type="character" w:customStyle="1" w:styleId="Encabezamientoopiedepgina">
    <w:name w:val="Encabezamiento o pie de página_"/>
    <w:basedOn w:val="Fuentedeprrafopredeter"/>
    <w:link w:val="Encabezamientoopiedepgina0"/>
    <w:rPr>
      <w:rFonts w:ascii="Times New Roman" w:eastAsia="Times New Roman" w:hAnsi="Times New Roman" w:cs="Times New Roman"/>
      <w:b w:val="0"/>
      <w:bCs w:val="0"/>
      <w:i w:val="0"/>
      <w:iCs w:val="0"/>
      <w:smallCaps w:val="0"/>
      <w:strike w:val="0"/>
      <w:sz w:val="20"/>
      <w:szCs w:val="20"/>
    </w:rPr>
  </w:style>
  <w:style w:type="character" w:customStyle="1" w:styleId="EncabezamientoopiedepginaBookAntiqua95pto">
    <w:name w:val="Encabezamiento o pie de página + Book Antiqua;9.5 pto"/>
    <w:basedOn w:val="Encabezamientoopiedepgina"/>
    <w:rPr>
      <w:rFonts w:ascii="Book Antiqua" w:eastAsia="Book Antiqua" w:hAnsi="Book Antiqua" w:cs="Book Antiqua"/>
      <w:b w:val="0"/>
      <w:bCs w:val="0"/>
      <w:i w:val="0"/>
      <w:iCs w:val="0"/>
      <w:smallCaps w:val="0"/>
      <w:strike w:val="0"/>
      <w:spacing w:val="0"/>
      <w:sz w:val="19"/>
      <w:szCs w:val="19"/>
    </w:rPr>
  </w:style>
  <w:style w:type="character" w:customStyle="1" w:styleId="Cuerpodeltexto">
    <w:name w:val="Cuerpo del texto_"/>
    <w:basedOn w:val="Fuentedeprrafopredeter"/>
    <w:link w:val="Cuerpodeltexto0"/>
    <w:rPr>
      <w:rFonts w:ascii="Book Antiqua" w:eastAsia="Book Antiqua" w:hAnsi="Book Antiqua" w:cs="Book Antiqua"/>
      <w:b w:val="0"/>
      <w:bCs w:val="0"/>
      <w:i w:val="0"/>
      <w:iCs w:val="0"/>
      <w:smallCaps w:val="0"/>
      <w:strike w:val="0"/>
      <w:spacing w:val="0"/>
      <w:sz w:val="22"/>
      <w:szCs w:val="22"/>
    </w:rPr>
  </w:style>
  <w:style w:type="character" w:customStyle="1" w:styleId="Cuerpodeltexto2">
    <w:name w:val="Cuerpo del texto (2)_"/>
    <w:basedOn w:val="Fuentedeprrafopredeter"/>
    <w:link w:val="Cuerpodeltexto20"/>
    <w:rPr>
      <w:rFonts w:ascii="Book Antiqua" w:eastAsia="Book Antiqua" w:hAnsi="Book Antiqua" w:cs="Book Antiqua"/>
      <w:b w:val="0"/>
      <w:bCs w:val="0"/>
      <w:i w:val="0"/>
      <w:iCs w:val="0"/>
      <w:smallCaps w:val="0"/>
      <w:strike w:val="0"/>
      <w:spacing w:val="0"/>
      <w:sz w:val="22"/>
      <w:szCs w:val="22"/>
    </w:rPr>
  </w:style>
  <w:style w:type="character" w:customStyle="1" w:styleId="Cuerpodeltexto21">
    <w:name w:val="Cuerpo del texto (2)"/>
    <w:basedOn w:val="Cuerpodeltexto2"/>
    <w:rPr>
      <w:rFonts w:ascii="Book Antiqua" w:eastAsia="Book Antiqua" w:hAnsi="Book Antiqua" w:cs="Book Antiqua"/>
      <w:b w:val="0"/>
      <w:bCs w:val="0"/>
      <w:i w:val="0"/>
      <w:iCs w:val="0"/>
      <w:smallCaps w:val="0"/>
      <w:strike w:val="0"/>
      <w:spacing w:val="0"/>
      <w:sz w:val="22"/>
      <w:szCs w:val="22"/>
    </w:rPr>
  </w:style>
  <w:style w:type="character" w:customStyle="1" w:styleId="Cuerpodeltexto2Espaciado-1pto">
    <w:name w:val="Cuerpo del texto (2) + Espaciado -1 pto"/>
    <w:basedOn w:val="Cuerpodeltexto2"/>
    <w:rPr>
      <w:rFonts w:ascii="Book Antiqua" w:eastAsia="Book Antiqua" w:hAnsi="Book Antiqua" w:cs="Book Antiqua"/>
      <w:b w:val="0"/>
      <w:bCs w:val="0"/>
      <w:i w:val="0"/>
      <w:iCs w:val="0"/>
      <w:smallCaps w:val="0"/>
      <w:strike w:val="0"/>
      <w:spacing w:val="-20"/>
      <w:sz w:val="22"/>
      <w:szCs w:val="22"/>
    </w:rPr>
  </w:style>
  <w:style w:type="character" w:customStyle="1" w:styleId="Cuerpodeltexto1">
    <w:name w:val="Cuerpo del texto"/>
    <w:basedOn w:val="Cuerpodeltexto"/>
    <w:rPr>
      <w:rFonts w:ascii="Book Antiqua" w:eastAsia="Book Antiqua" w:hAnsi="Book Antiqua" w:cs="Book Antiqua"/>
      <w:b w:val="0"/>
      <w:bCs w:val="0"/>
      <w:i w:val="0"/>
      <w:iCs w:val="0"/>
      <w:smallCaps w:val="0"/>
      <w:strike w:val="0"/>
      <w:spacing w:val="0"/>
      <w:sz w:val="22"/>
      <w:szCs w:val="22"/>
    </w:rPr>
  </w:style>
  <w:style w:type="character" w:customStyle="1" w:styleId="Cuerpodeltexto115ptoNegrita">
    <w:name w:val="Cuerpo del texto + 11.5 pto;Negrita"/>
    <w:basedOn w:val="Cuerpodeltexto"/>
    <w:rPr>
      <w:rFonts w:ascii="Book Antiqua" w:eastAsia="Book Antiqua" w:hAnsi="Book Antiqua" w:cs="Book Antiqua"/>
      <w:b/>
      <w:bCs/>
      <w:i w:val="0"/>
      <w:iCs w:val="0"/>
      <w:smallCaps w:val="0"/>
      <w:strike w:val="0"/>
      <w:spacing w:val="0"/>
      <w:sz w:val="23"/>
      <w:szCs w:val="23"/>
    </w:rPr>
  </w:style>
  <w:style w:type="character" w:customStyle="1" w:styleId="Cuerpodeltexto115ptoNegrita0">
    <w:name w:val="Cuerpo del texto + 11.5 pto;Negrita"/>
    <w:basedOn w:val="Cuerpodeltexto"/>
    <w:rPr>
      <w:rFonts w:ascii="Book Antiqua" w:eastAsia="Book Antiqua" w:hAnsi="Book Antiqua" w:cs="Book Antiqua"/>
      <w:b/>
      <w:bCs/>
      <w:i w:val="0"/>
      <w:iCs w:val="0"/>
      <w:smallCaps w:val="0"/>
      <w:strike w:val="0"/>
      <w:spacing w:val="0"/>
      <w:sz w:val="23"/>
      <w:szCs w:val="23"/>
    </w:rPr>
  </w:style>
  <w:style w:type="character" w:customStyle="1" w:styleId="Cuerpodeltexto115ptoNegrita1">
    <w:name w:val="Cuerpo del texto + 11.5 pto;Negrita"/>
    <w:basedOn w:val="Cuerpodeltexto"/>
    <w:rPr>
      <w:rFonts w:ascii="Book Antiqua" w:eastAsia="Book Antiqua" w:hAnsi="Book Antiqua" w:cs="Book Antiqua"/>
      <w:b/>
      <w:bCs/>
      <w:i w:val="0"/>
      <w:iCs w:val="0"/>
      <w:smallCaps w:val="0"/>
      <w:strike w:val="0"/>
      <w:spacing w:val="0"/>
      <w:sz w:val="23"/>
      <w:szCs w:val="23"/>
      <w:u w:val="single"/>
    </w:rPr>
  </w:style>
  <w:style w:type="character" w:customStyle="1" w:styleId="Cuerpodeltexto3">
    <w:name w:val="Cuerpo del texto"/>
    <w:basedOn w:val="Cuerpodeltexto"/>
    <w:rPr>
      <w:rFonts w:ascii="Book Antiqua" w:eastAsia="Book Antiqua" w:hAnsi="Book Antiqua" w:cs="Book Antiqua"/>
      <w:b w:val="0"/>
      <w:bCs w:val="0"/>
      <w:i w:val="0"/>
      <w:iCs w:val="0"/>
      <w:smallCaps w:val="0"/>
      <w:strike w:val="0"/>
      <w:spacing w:val="0"/>
      <w:sz w:val="22"/>
      <w:szCs w:val="22"/>
      <w:u w:val="single"/>
    </w:rPr>
  </w:style>
  <w:style w:type="character" w:customStyle="1" w:styleId="Cuerpodeltexto115ptoNegrita2">
    <w:name w:val="Cuerpo del texto + 11.5 pto;Negrita"/>
    <w:basedOn w:val="Cuerpodeltexto"/>
    <w:rPr>
      <w:rFonts w:ascii="Book Antiqua" w:eastAsia="Book Antiqua" w:hAnsi="Book Antiqua" w:cs="Book Antiqua"/>
      <w:b/>
      <w:bCs/>
      <w:i w:val="0"/>
      <w:iCs w:val="0"/>
      <w:smallCaps w:val="0"/>
      <w:strike w:val="0"/>
      <w:spacing w:val="0"/>
      <w:sz w:val="23"/>
      <w:szCs w:val="23"/>
    </w:rPr>
  </w:style>
  <w:style w:type="character" w:customStyle="1" w:styleId="Cuerpodeltexto115ptoNegrita3">
    <w:name w:val="Cuerpo del texto + 11.5 pto;Negrita"/>
    <w:basedOn w:val="Cuerpodeltexto"/>
    <w:rPr>
      <w:rFonts w:ascii="Book Antiqua" w:eastAsia="Book Antiqua" w:hAnsi="Book Antiqua" w:cs="Book Antiqua"/>
      <w:b/>
      <w:bCs/>
      <w:i w:val="0"/>
      <w:iCs w:val="0"/>
      <w:smallCaps w:val="0"/>
      <w:strike w:val="0"/>
      <w:spacing w:val="0"/>
      <w:sz w:val="23"/>
      <w:szCs w:val="23"/>
      <w:u w:val="single"/>
    </w:rPr>
  </w:style>
  <w:style w:type="character" w:customStyle="1" w:styleId="Cuerpodeltexto30">
    <w:name w:val="Cuerpo del texto (3)_"/>
    <w:basedOn w:val="Fuentedeprrafopredeter"/>
    <w:link w:val="Cuerpodeltexto31"/>
    <w:rPr>
      <w:rFonts w:ascii="Book Antiqua" w:eastAsia="Book Antiqua" w:hAnsi="Book Antiqua" w:cs="Book Antiqua"/>
      <w:b w:val="0"/>
      <w:bCs w:val="0"/>
      <w:i w:val="0"/>
      <w:iCs w:val="0"/>
      <w:smallCaps w:val="0"/>
      <w:strike w:val="0"/>
      <w:spacing w:val="0"/>
      <w:sz w:val="19"/>
      <w:szCs w:val="19"/>
    </w:rPr>
  </w:style>
  <w:style w:type="character" w:customStyle="1" w:styleId="Cuerpodeltexto115ptoNegrita4">
    <w:name w:val="Cuerpo del texto + 11.5 pto;Negrita"/>
    <w:basedOn w:val="Cuerpodeltexto"/>
    <w:rPr>
      <w:rFonts w:ascii="Book Antiqua" w:eastAsia="Book Antiqua" w:hAnsi="Book Antiqua" w:cs="Book Antiqua"/>
      <w:b/>
      <w:bCs/>
      <w:i w:val="0"/>
      <w:iCs w:val="0"/>
      <w:smallCaps w:val="0"/>
      <w:strike w:val="0"/>
      <w:spacing w:val="0"/>
      <w:sz w:val="23"/>
      <w:szCs w:val="23"/>
    </w:rPr>
  </w:style>
  <w:style w:type="character" w:customStyle="1" w:styleId="Cuerpodeltexto115ptoNegrita5">
    <w:name w:val="Cuerpo del texto + 11.5 pto;Negrita"/>
    <w:basedOn w:val="Cuerpodeltexto"/>
    <w:rPr>
      <w:rFonts w:ascii="Book Antiqua" w:eastAsia="Book Antiqua" w:hAnsi="Book Antiqua" w:cs="Book Antiqua"/>
      <w:b/>
      <w:bCs/>
      <w:i w:val="0"/>
      <w:iCs w:val="0"/>
      <w:smallCaps w:val="0"/>
      <w:strike w:val="0"/>
      <w:spacing w:val="0"/>
      <w:sz w:val="23"/>
      <w:szCs w:val="23"/>
      <w:u w:val="single"/>
    </w:rPr>
  </w:style>
  <w:style w:type="character" w:customStyle="1" w:styleId="Cuerpodeltexto4">
    <w:name w:val="Cuerpo del texto"/>
    <w:basedOn w:val="Cuerpodeltexto"/>
    <w:rPr>
      <w:rFonts w:ascii="Book Antiqua" w:eastAsia="Book Antiqua" w:hAnsi="Book Antiqua" w:cs="Book Antiqua"/>
      <w:b w:val="0"/>
      <w:bCs w:val="0"/>
      <w:i w:val="0"/>
      <w:iCs w:val="0"/>
      <w:smallCaps w:val="0"/>
      <w:strike w:val="0"/>
      <w:spacing w:val="0"/>
      <w:sz w:val="22"/>
      <w:szCs w:val="22"/>
    </w:rPr>
  </w:style>
  <w:style w:type="character" w:customStyle="1" w:styleId="Cuerpodeltexto115ptoNegrita6">
    <w:name w:val="Cuerpo del texto + 11.5 pto;Negrita"/>
    <w:basedOn w:val="Cuerpodeltexto"/>
    <w:rPr>
      <w:rFonts w:ascii="Book Antiqua" w:eastAsia="Book Antiqua" w:hAnsi="Book Antiqua" w:cs="Book Antiqua"/>
      <w:b/>
      <w:bCs/>
      <w:i w:val="0"/>
      <w:iCs w:val="0"/>
      <w:smallCaps w:val="0"/>
      <w:strike w:val="0"/>
      <w:spacing w:val="0"/>
      <w:sz w:val="23"/>
      <w:szCs w:val="23"/>
    </w:rPr>
  </w:style>
  <w:style w:type="character" w:customStyle="1" w:styleId="Cuerpodeltexto115ptoNegrita7">
    <w:name w:val="Cuerpo del texto + 11.5 pto;Negrita"/>
    <w:basedOn w:val="Cuerpodeltexto"/>
    <w:rPr>
      <w:rFonts w:ascii="Book Antiqua" w:eastAsia="Book Antiqua" w:hAnsi="Book Antiqua" w:cs="Book Antiqua"/>
      <w:b/>
      <w:bCs/>
      <w:i w:val="0"/>
      <w:iCs w:val="0"/>
      <w:smallCaps w:val="0"/>
      <w:strike w:val="0"/>
      <w:spacing w:val="0"/>
      <w:sz w:val="23"/>
      <w:szCs w:val="23"/>
      <w:u w:val="single"/>
    </w:rPr>
  </w:style>
  <w:style w:type="character" w:customStyle="1" w:styleId="Cuerpodeltexto5">
    <w:name w:val="Cuerpo del texto"/>
    <w:basedOn w:val="Cuerpodeltexto"/>
    <w:rPr>
      <w:rFonts w:ascii="Book Antiqua" w:eastAsia="Book Antiqua" w:hAnsi="Book Antiqua" w:cs="Book Antiqua"/>
      <w:b w:val="0"/>
      <w:bCs w:val="0"/>
      <w:i w:val="0"/>
      <w:iCs w:val="0"/>
      <w:smallCaps w:val="0"/>
      <w:strike w:val="0"/>
      <w:spacing w:val="0"/>
      <w:sz w:val="22"/>
      <w:szCs w:val="22"/>
      <w:u w:val="single"/>
    </w:rPr>
  </w:style>
  <w:style w:type="character" w:customStyle="1" w:styleId="Cuerpodeltexto115ptoNegrita8">
    <w:name w:val="Cuerpo del texto + 11.5 pto;Negrita"/>
    <w:basedOn w:val="Cuerpodeltexto"/>
    <w:rPr>
      <w:rFonts w:ascii="Book Antiqua" w:eastAsia="Book Antiqua" w:hAnsi="Book Antiqua" w:cs="Book Antiqua"/>
      <w:b/>
      <w:bCs/>
      <w:i w:val="0"/>
      <w:iCs w:val="0"/>
      <w:smallCaps w:val="0"/>
      <w:strike w:val="0"/>
      <w:spacing w:val="0"/>
      <w:sz w:val="23"/>
      <w:szCs w:val="23"/>
      <w:u w:val="single"/>
    </w:rPr>
  </w:style>
  <w:style w:type="character" w:customStyle="1" w:styleId="Cuerpodeltexto115ptoNegrita9">
    <w:name w:val="Cuerpo del texto + 11.5 pto;Negrita"/>
    <w:basedOn w:val="Cuerpodeltexto"/>
    <w:rPr>
      <w:rFonts w:ascii="Book Antiqua" w:eastAsia="Book Antiqua" w:hAnsi="Book Antiqua" w:cs="Book Antiqua"/>
      <w:b/>
      <w:bCs/>
      <w:i w:val="0"/>
      <w:iCs w:val="0"/>
      <w:smallCaps w:val="0"/>
      <w:strike w:val="0"/>
      <w:spacing w:val="0"/>
      <w:sz w:val="23"/>
      <w:szCs w:val="23"/>
    </w:rPr>
  </w:style>
  <w:style w:type="character" w:customStyle="1" w:styleId="CuerpodeltextoNegrita">
    <w:name w:val="Cuerpo del texto + Negrita"/>
    <w:basedOn w:val="Cuerpodeltexto"/>
    <w:rPr>
      <w:rFonts w:ascii="Book Antiqua" w:eastAsia="Book Antiqua" w:hAnsi="Book Antiqua" w:cs="Book Antiqua"/>
      <w:b/>
      <w:bCs/>
      <w:i w:val="0"/>
      <w:iCs w:val="0"/>
      <w:smallCaps w:val="0"/>
      <w:strike w:val="0"/>
      <w:spacing w:val="0"/>
      <w:sz w:val="22"/>
      <w:szCs w:val="22"/>
    </w:rPr>
  </w:style>
  <w:style w:type="character" w:customStyle="1" w:styleId="Cuerpodeltexto115ptoNegritaa">
    <w:name w:val="Cuerpo del texto + 11.5 pto;Negrita"/>
    <w:basedOn w:val="Cuerpodeltexto"/>
    <w:rPr>
      <w:rFonts w:ascii="Book Antiqua" w:eastAsia="Book Antiqua" w:hAnsi="Book Antiqua" w:cs="Book Antiqua"/>
      <w:b/>
      <w:bCs/>
      <w:i w:val="0"/>
      <w:iCs w:val="0"/>
      <w:smallCaps w:val="0"/>
      <w:strike w:val="0"/>
      <w:spacing w:val="0"/>
      <w:sz w:val="23"/>
      <w:szCs w:val="23"/>
    </w:rPr>
  </w:style>
  <w:style w:type="character" w:customStyle="1" w:styleId="Cuerpodeltexto6">
    <w:name w:val="Cuerpo del texto"/>
    <w:basedOn w:val="Cuerpodeltexto"/>
    <w:rPr>
      <w:rFonts w:ascii="Book Antiqua" w:eastAsia="Book Antiqua" w:hAnsi="Book Antiqua" w:cs="Book Antiqua"/>
      <w:b w:val="0"/>
      <w:bCs w:val="0"/>
      <w:i w:val="0"/>
      <w:iCs w:val="0"/>
      <w:smallCaps w:val="0"/>
      <w:strike w:val="0"/>
      <w:spacing w:val="0"/>
      <w:sz w:val="22"/>
      <w:szCs w:val="22"/>
    </w:rPr>
  </w:style>
  <w:style w:type="character" w:customStyle="1" w:styleId="Cuerpodeltexto115ptoNegritab">
    <w:name w:val="Cuerpo del texto + 11.5 pto;Negrita"/>
    <w:basedOn w:val="Cuerpodeltexto"/>
    <w:rPr>
      <w:rFonts w:ascii="Book Antiqua" w:eastAsia="Book Antiqua" w:hAnsi="Book Antiqua" w:cs="Book Antiqua"/>
      <w:b/>
      <w:bCs/>
      <w:i w:val="0"/>
      <w:iCs w:val="0"/>
      <w:smallCaps w:val="0"/>
      <w:strike w:val="0"/>
      <w:spacing w:val="0"/>
      <w:sz w:val="23"/>
      <w:szCs w:val="23"/>
    </w:rPr>
  </w:style>
  <w:style w:type="character" w:customStyle="1" w:styleId="Cuerpodeltexto115ptoNegritac">
    <w:name w:val="Cuerpo del texto + 11.5 pto;Negrita"/>
    <w:basedOn w:val="Cuerpodeltexto"/>
    <w:rPr>
      <w:rFonts w:ascii="Book Antiqua" w:eastAsia="Book Antiqua" w:hAnsi="Book Antiqua" w:cs="Book Antiqua"/>
      <w:b/>
      <w:bCs/>
      <w:i w:val="0"/>
      <w:iCs w:val="0"/>
      <w:smallCaps w:val="0"/>
      <w:strike w:val="0"/>
      <w:spacing w:val="0"/>
      <w:sz w:val="23"/>
      <w:szCs w:val="23"/>
      <w:u w:val="single"/>
    </w:rPr>
  </w:style>
  <w:style w:type="character" w:customStyle="1" w:styleId="Cuerpodeltexto115ptoNegritad">
    <w:name w:val="Cuerpo del texto + 11.5 pto;Negrita"/>
    <w:basedOn w:val="Cuerpodeltexto"/>
    <w:rPr>
      <w:rFonts w:ascii="Book Antiqua" w:eastAsia="Book Antiqua" w:hAnsi="Book Antiqua" w:cs="Book Antiqua"/>
      <w:b/>
      <w:bCs/>
      <w:i w:val="0"/>
      <w:iCs w:val="0"/>
      <w:smallCaps w:val="0"/>
      <w:strike w:val="0"/>
      <w:spacing w:val="0"/>
      <w:sz w:val="23"/>
      <w:szCs w:val="23"/>
    </w:rPr>
  </w:style>
  <w:style w:type="character" w:customStyle="1" w:styleId="Cuerpodeltexto115ptoNegritae">
    <w:name w:val="Cuerpo del texto + 11.5 pto;Negrita"/>
    <w:basedOn w:val="Cuerpodeltexto"/>
    <w:rPr>
      <w:rFonts w:ascii="Book Antiqua" w:eastAsia="Book Antiqua" w:hAnsi="Book Antiqua" w:cs="Book Antiqua"/>
      <w:b/>
      <w:bCs/>
      <w:i w:val="0"/>
      <w:iCs w:val="0"/>
      <w:smallCaps w:val="0"/>
      <w:strike w:val="0"/>
      <w:spacing w:val="0"/>
      <w:sz w:val="23"/>
      <w:szCs w:val="23"/>
      <w:u w:val="single"/>
    </w:rPr>
  </w:style>
  <w:style w:type="character" w:customStyle="1" w:styleId="Cuerpodeltexto7">
    <w:name w:val="Cuerpo del texto"/>
    <w:basedOn w:val="Cuerpodeltexto"/>
    <w:rPr>
      <w:rFonts w:ascii="Book Antiqua" w:eastAsia="Book Antiqua" w:hAnsi="Book Antiqua" w:cs="Book Antiqua"/>
      <w:b w:val="0"/>
      <w:bCs w:val="0"/>
      <w:i w:val="0"/>
      <w:iCs w:val="0"/>
      <w:smallCaps w:val="0"/>
      <w:strike w:val="0"/>
      <w:spacing w:val="0"/>
      <w:sz w:val="22"/>
      <w:szCs w:val="22"/>
      <w:u w:val="single"/>
    </w:rPr>
  </w:style>
  <w:style w:type="character" w:customStyle="1" w:styleId="Cuerpodeltexto12ptoCursiva">
    <w:name w:val="Cuerpo del texto + 12 pto;Cursiva"/>
    <w:basedOn w:val="Cuerpodeltexto"/>
    <w:rPr>
      <w:rFonts w:ascii="Book Antiqua" w:eastAsia="Book Antiqua" w:hAnsi="Book Antiqua" w:cs="Book Antiqua"/>
      <w:b w:val="0"/>
      <w:bCs w:val="0"/>
      <w:i/>
      <w:iCs/>
      <w:smallCaps w:val="0"/>
      <w:strike w:val="0"/>
      <w:spacing w:val="0"/>
      <w:sz w:val="24"/>
      <w:szCs w:val="24"/>
    </w:rPr>
  </w:style>
  <w:style w:type="character" w:customStyle="1" w:styleId="Cuerpodeltexto115ptoNegritaf">
    <w:name w:val="Cuerpo del texto + 11.5 pto;Negrita"/>
    <w:basedOn w:val="Cuerpodeltexto"/>
    <w:rPr>
      <w:rFonts w:ascii="Book Antiqua" w:eastAsia="Book Antiqua" w:hAnsi="Book Antiqua" w:cs="Book Antiqua"/>
      <w:b/>
      <w:bCs/>
      <w:i w:val="0"/>
      <w:iCs w:val="0"/>
      <w:smallCaps w:val="0"/>
      <w:strike w:val="0"/>
      <w:spacing w:val="0"/>
      <w:sz w:val="23"/>
      <w:szCs w:val="23"/>
      <w:u w:val="single"/>
    </w:rPr>
  </w:style>
  <w:style w:type="character" w:customStyle="1" w:styleId="Cuerpodeltexto115ptoNegritaf0">
    <w:name w:val="Cuerpo del texto + 11.5 pto;Negrita"/>
    <w:basedOn w:val="Cuerpodeltexto"/>
    <w:rPr>
      <w:rFonts w:ascii="Book Antiqua" w:eastAsia="Book Antiqua" w:hAnsi="Book Antiqua" w:cs="Book Antiqua"/>
      <w:b/>
      <w:bCs/>
      <w:i w:val="0"/>
      <w:iCs w:val="0"/>
      <w:smallCaps w:val="0"/>
      <w:strike w:val="0"/>
      <w:spacing w:val="0"/>
      <w:sz w:val="23"/>
      <w:szCs w:val="23"/>
    </w:rPr>
  </w:style>
  <w:style w:type="character" w:customStyle="1" w:styleId="EncabezamientoopiedepginaBookAntiqua75ptoCursivaEspaciado-1pto">
    <w:name w:val="Encabezamiento o pie de página + Book Antiqua;7.5 pto;Cursiva;Espaciado -1 pto"/>
    <w:basedOn w:val="Encabezamientoopiedepgina"/>
    <w:rPr>
      <w:rFonts w:ascii="Book Antiqua" w:eastAsia="Book Antiqua" w:hAnsi="Book Antiqua" w:cs="Book Antiqua"/>
      <w:b w:val="0"/>
      <w:bCs w:val="0"/>
      <w:i/>
      <w:iCs/>
      <w:smallCaps w:val="0"/>
      <w:strike w:val="0"/>
      <w:spacing w:val="-20"/>
      <w:sz w:val="15"/>
      <w:szCs w:val="15"/>
    </w:rPr>
  </w:style>
  <w:style w:type="character" w:customStyle="1" w:styleId="Cuerpodeltexto40">
    <w:name w:val="Cuerpo del texto (4)_"/>
    <w:basedOn w:val="Fuentedeprrafopredeter"/>
    <w:link w:val="Cuerpodeltexto41"/>
    <w:rPr>
      <w:rFonts w:ascii="Book Antiqua" w:eastAsia="Book Antiqua" w:hAnsi="Book Antiqua" w:cs="Book Antiqua"/>
      <w:b w:val="0"/>
      <w:bCs w:val="0"/>
      <w:i w:val="0"/>
      <w:iCs w:val="0"/>
      <w:smallCaps w:val="0"/>
      <w:strike w:val="0"/>
      <w:sz w:val="23"/>
      <w:szCs w:val="23"/>
    </w:rPr>
  </w:style>
  <w:style w:type="character" w:customStyle="1" w:styleId="Leyendadelaimagen">
    <w:name w:val="Leyenda de la imagen_"/>
    <w:basedOn w:val="Fuentedeprrafopredeter"/>
    <w:link w:val="Leyendadelaimagen0"/>
    <w:rPr>
      <w:rFonts w:ascii="Book Antiqua" w:eastAsia="Book Antiqua" w:hAnsi="Book Antiqua" w:cs="Book Antiqua"/>
      <w:b w:val="0"/>
      <w:bCs w:val="0"/>
      <w:i w:val="0"/>
      <w:iCs w:val="0"/>
      <w:smallCaps w:val="0"/>
      <w:strike w:val="0"/>
      <w:sz w:val="23"/>
      <w:szCs w:val="23"/>
      <w:lang w:val="de"/>
    </w:rPr>
  </w:style>
  <w:style w:type="character" w:customStyle="1" w:styleId="Leyendadelaimagen2">
    <w:name w:val="Leyenda de la imagen (2)_"/>
    <w:basedOn w:val="Fuentedeprrafopredeter"/>
    <w:link w:val="Leyendadelaimagen20"/>
    <w:rPr>
      <w:rFonts w:ascii="Book Antiqua" w:eastAsia="Book Antiqua" w:hAnsi="Book Antiqua" w:cs="Book Antiqua"/>
      <w:b w:val="0"/>
      <w:bCs w:val="0"/>
      <w:i w:val="0"/>
      <w:iCs w:val="0"/>
      <w:smallCaps w:val="0"/>
      <w:strike w:val="0"/>
      <w:spacing w:val="0"/>
      <w:sz w:val="22"/>
      <w:szCs w:val="22"/>
    </w:rPr>
  </w:style>
  <w:style w:type="paragraph" w:customStyle="1" w:styleId="Ttulo10">
    <w:name w:val="Título #1"/>
    <w:basedOn w:val="Normal"/>
    <w:link w:val="Ttulo1"/>
    <w:pPr>
      <w:shd w:val="clear" w:color="auto" w:fill="FFFFFF"/>
      <w:spacing w:line="0" w:lineRule="atLeast"/>
      <w:outlineLvl w:val="0"/>
    </w:pPr>
    <w:rPr>
      <w:rFonts w:ascii="Century Schoolbook" w:eastAsia="Century Schoolbook" w:hAnsi="Century Schoolbook" w:cs="Century Schoolbook"/>
      <w:i/>
      <w:iCs/>
      <w:spacing w:val="-60"/>
      <w:sz w:val="75"/>
      <w:szCs w:val="75"/>
    </w:rPr>
  </w:style>
  <w:style w:type="paragraph" w:customStyle="1" w:styleId="Encabezamientoopiedepgina0">
    <w:name w:val="Encabezamiento o pie de página"/>
    <w:basedOn w:val="Normal"/>
    <w:link w:val="Encabezamientoopiedepgina"/>
    <w:pPr>
      <w:shd w:val="clear" w:color="auto" w:fill="FFFFFF"/>
    </w:pPr>
    <w:rPr>
      <w:rFonts w:ascii="Times New Roman" w:eastAsia="Times New Roman" w:hAnsi="Times New Roman" w:cs="Times New Roman"/>
      <w:sz w:val="20"/>
      <w:szCs w:val="20"/>
    </w:rPr>
  </w:style>
  <w:style w:type="paragraph" w:customStyle="1" w:styleId="Cuerpodeltexto0">
    <w:name w:val="Cuerpo del texto"/>
    <w:basedOn w:val="Normal"/>
    <w:link w:val="Cuerpodeltexto"/>
    <w:pPr>
      <w:shd w:val="clear" w:color="auto" w:fill="FFFFFF"/>
      <w:spacing w:before="60" w:line="284" w:lineRule="exact"/>
      <w:jc w:val="center"/>
    </w:pPr>
    <w:rPr>
      <w:rFonts w:ascii="Book Antiqua" w:eastAsia="Book Antiqua" w:hAnsi="Book Antiqua" w:cs="Book Antiqua"/>
      <w:sz w:val="22"/>
      <w:szCs w:val="22"/>
    </w:rPr>
  </w:style>
  <w:style w:type="paragraph" w:customStyle="1" w:styleId="Cuerpodeltexto20">
    <w:name w:val="Cuerpo del texto (2)"/>
    <w:basedOn w:val="Normal"/>
    <w:link w:val="Cuerpodeltexto2"/>
    <w:pPr>
      <w:shd w:val="clear" w:color="auto" w:fill="FFFFFF"/>
      <w:spacing w:before="360" w:after="60" w:line="421" w:lineRule="exact"/>
      <w:jc w:val="both"/>
    </w:pPr>
    <w:rPr>
      <w:rFonts w:ascii="Book Antiqua" w:eastAsia="Book Antiqua" w:hAnsi="Book Antiqua" w:cs="Book Antiqua"/>
      <w:sz w:val="22"/>
      <w:szCs w:val="22"/>
    </w:rPr>
  </w:style>
  <w:style w:type="paragraph" w:customStyle="1" w:styleId="Cuerpodeltexto31">
    <w:name w:val="Cuerpo del texto (3)"/>
    <w:basedOn w:val="Normal"/>
    <w:link w:val="Cuerpodeltexto30"/>
    <w:pPr>
      <w:shd w:val="clear" w:color="auto" w:fill="FFFFFF"/>
      <w:spacing w:line="0" w:lineRule="atLeast"/>
    </w:pPr>
    <w:rPr>
      <w:rFonts w:ascii="Book Antiqua" w:eastAsia="Book Antiqua" w:hAnsi="Book Antiqua" w:cs="Book Antiqua"/>
      <w:sz w:val="19"/>
      <w:szCs w:val="19"/>
    </w:rPr>
  </w:style>
  <w:style w:type="paragraph" w:customStyle="1" w:styleId="Cuerpodeltexto41">
    <w:name w:val="Cuerpo del texto (4)"/>
    <w:basedOn w:val="Normal"/>
    <w:link w:val="Cuerpodeltexto40"/>
    <w:pPr>
      <w:shd w:val="clear" w:color="auto" w:fill="FFFFFF"/>
      <w:spacing w:before="120" w:line="270" w:lineRule="exact"/>
      <w:ind w:hanging="1240"/>
    </w:pPr>
    <w:rPr>
      <w:rFonts w:ascii="Book Antiqua" w:eastAsia="Book Antiqua" w:hAnsi="Book Antiqua" w:cs="Book Antiqua"/>
      <w:b/>
      <w:bCs/>
      <w:sz w:val="23"/>
      <w:szCs w:val="23"/>
    </w:rPr>
  </w:style>
  <w:style w:type="paragraph" w:customStyle="1" w:styleId="Leyendadelaimagen0">
    <w:name w:val="Leyenda de la imagen"/>
    <w:basedOn w:val="Normal"/>
    <w:link w:val="Leyendadelaimagen"/>
    <w:pPr>
      <w:shd w:val="clear" w:color="auto" w:fill="FFFFFF"/>
      <w:spacing w:line="263" w:lineRule="exact"/>
      <w:jc w:val="center"/>
    </w:pPr>
    <w:rPr>
      <w:rFonts w:ascii="Book Antiqua" w:eastAsia="Book Antiqua" w:hAnsi="Book Antiqua" w:cs="Book Antiqua"/>
      <w:b/>
      <w:bCs/>
      <w:sz w:val="23"/>
      <w:szCs w:val="23"/>
      <w:lang w:val="de"/>
    </w:rPr>
  </w:style>
  <w:style w:type="paragraph" w:customStyle="1" w:styleId="Leyendadelaimagen20">
    <w:name w:val="Leyenda de la imagen (2)"/>
    <w:basedOn w:val="Normal"/>
    <w:link w:val="Leyendadelaimagen2"/>
    <w:pPr>
      <w:shd w:val="clear" w:color="auto" w:fill="FFFFFF"/>
      <w:spacing w:line="0" w:lineRule="atLeast"/>
    </w:pPr>
    <w:rPr>
      <w:rFonts w:ascii="Book Antiqua" w:eastAsia="Book Antiqua" w:hAnsi="Book Antiqua" w:cs="Book Antiqua"/>
      <w:sz w:val="22"/>
      <w:szCs w:val="22"/>
    </w:rPr>
  </w:style>
  <w:style w:type="paragraph" w:styleId="Encabezado">
    <w:name w:val="header"/>
    <w:basedOn w:val="Normal"/>
    <w:link w:val="EncabezadoCar"/>
    <w:uiPriority w:val="99"/>
    <w:unhideWhenUsed/>
    <w:rsid w:val="00EF4641"/>
    <w:pPr>
      <w:tabs>
        <w:tab w:val="center" w:pos="4419"/>
        <w:tab w:val="right" w:pos="8838"/>
      </w:tabs>
    </w:pPr>
  </w:style>
  <w:style w:type="character" w:customStyle="1" w:styleId="EncabezadoCar">
    <w:name w:val="Encabezado Car"/>
    <w:basedOn w:val="Fuentedeprrafopredeter"/>
    <w:link w:val="Encabezado"/>
    <w:uiPriority w:val="99"/>
    <w:rsid w:val="00EF4641"/>
    <w:rPr>
      <w:color w:val="000000"/>
    </w:rPr>
  </w:style>
  <w:style w:type="paragraph" w:styleId="Piedepgina">
    <w:name w:val="footer"/>
    <w:basedOn w:val="Normal"/>
    <w:link w:val="PiedepginaCar"/>
    <w:uiPriority w:val="99"/>
    <w:unhideWhenUsed/>
    <w:rsid w:val="00EF4641"/>
    <w:pPr>
      <w:tabs>
        <w:tab w:val="center" w:pos="4419"/>
        <w:tab w:val="right" w:pos="8838"/>
      </w:tabs>
    </w:pPr>
  </w:style>
  <w:style w:type="character" w:customStyle="1" w:styleId="PiedepginaCar">
    <w:name w:val="Pie de página Car"/>
    <w:basedOn w:val="Fuentedeprrafopredeter"/>
    <w:link w:val="Piedepgina"/>
    <w:uiPriority w:val="99"/>
    <w:rsid w:val="00EF4641"/>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758928">
      <w:bodyDiv w:val="1"/>
      <w:marLeft w:val="0"/>
      <w:marRight w:val="0"/>
      <w:marTop w:val="0"/>
      <w:marBottom w:val="0"/>
      <w:divBdr>
        <w:top w:val="none" w:sz="0" w:space="0" w:color="auto"/>
        <w:left w:val="none" w:sz="0" w:space="0" w:color="auto"/>
        <w:bottom w:val="none" w:sz="0" w:space="0" w:color="auto"/>
        <w:right w:val="none" w:sz="0" w:space="0" w:color="auto"/>
      </w:divBdr>
      <w:divsChild>
        <w:div w:id="210595657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header" Target="header6.xml"/><Relationship Id="rId26" Type="http://schemas.openxmlformats.org/officeDocument/2006/relationships/header" Target="header12.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5"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10.xml"/><Relationship Id="rId28" Type="http://schemas.openxmlformats.org/officeDocument/2006/relationships/image" Target="media/image3.png"/><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 Id="rId22" Type="http://schemas.openxmlformats.org/officeDocument/2006/relationships/header" Target="header9.xml"/><Relationship Id="rId27" Type="http://schemas.openxmlformats.org/officeDocument/2006/relationships/footer" Target="footer7.xml"/><Relationship Id="rId30"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10</Pages>
  <Words>4053</Words>
  <Characters>22297</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Q</dc:creator>
  <cp:lastModifiedBy>Vanessa Q</cp:lastModifiedBy>
  <cp:revision>1</cp:revision>
  <dcterms:created xsi:type="dcterms:W3CDTF">2020-05-03T00:42:00Z</dcterms:created>
  <dcterms:modified xsi:type="dcterms:W3CDTF">2020-05-03T00:57:00Z</dcterms:modified>
</cp:coreProperties>
</file>