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EB" w:rsidRDefault="00A727E8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52475" cy="714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EB" w:rsidRPr="00F24573" w:rsidRDefault="00442FEB">
      <w:pPr>
        <w:rPr>
          <w:sz w:val="2"/>
          <w:szCs w:val="2"/>
          <w:lang w:val="es-SV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442FEB" w:rsidRDefault="00A727E8">
      <w:pPr>
        <w:pStyle w:val="Cuerpodeltexto20"/>
        <w:shd w:val="clear" w:color="auto" w:fill="auto"/>
        <w:spacing w:before="47"/>
        <w:ind w:left="1760" w:right="880"/>
      </w:pPr>
      <w:r>
        <w:t>"CONTRATO DE SUMINISTRO, INSTALACIÓN Y PUESTA EN MARCHA DE SISTEMA DE BOMBEO AUTOMÁTICO A PRESIÓN CONSTANTE Y FLUJO VARIABLE PARA EL MINISTERIO DE GOBERNACIÓN Y DESARROLLO</w:t>
      </w:r>
    </w:p>
    <w:p w:rsidR="00442FEB" w:rsidRDefault="00A727E8">
      <w:pPr>
        <w:pStyle w:val="Cuerpodeltexto20"/>
        <w:shd w:val="clear" w:color="auto" w:fill="auto"/>
        <w:spacing w:before="0"/>
        <w:ind w:left="4940" w:right="4380"/>
        <w:jc w:val="right"/>
      </w:pPr>
      <w:r>
        <w:t>TERRITORIAL" No. MG-09</w:t>
      </w:r>
      <w:r w:rsidR="00F24573">
        <w:t>2-</w:t>
      </w:r>
      <w:r>
        <w:t>2019</w:t>
      </w:r>
    </w:p>
    <w:p w:rsidR="00442FEB" w:rsidRPr="00F24573" w:rsidRDefault="00F24573" w:rsidP="00F24573">
      <w:pPr>
        <w:shd w:val="clear" w:color="auto" w:fill="FFFFFF"/>
        <w:rPr>
          <w:rFonts w:ascii="Arial" w:eastAsia="Times New Roman" w:hAnsi="Arial" w:cs="Arial"/>
          <w:lang w:val="es-SV"/>
        </w:rPr>
      </w:pPr>
      <w:r w:rsidRPr="00F24573">
        <w:rPr>
          <w:rFonts w:eastAsia="Times New Roman"/>
          <w:b/>
          <w:bCs/>
          <w:color w:val="4472C4"/>
          <w:u w:val="single"/>
          <w:lang w:val="es-SV"/>
        </w:rPr>
        <w:t>ADVERTENCIA:</w:t>
      </w:r>
      <w:r w:rsidRPr="00F24573">
        <w:rPr>
          <w:rFonts w:eastAsia="Times New Roman"/>
          <w:color w:val="4472C4"/>
          <w:lang w:val="es-SV"/>
        </w:rPr>
        <w:t>  el presente documento se encuentra editado, siendo una versión pública de su original, es decir, se han suprimido datos personales y confidenciales, tales como: número de identificación, domicilio, edad, estado familiar y otros detalles. en virtud del Art. 2 de la Constitución de la Republica, Arts. 6 lit. a y b, 24 y 30 de la Ley de Acceso a la Información Pública. </w:t>
      </w:r>
    </w:p>
    <w:p w:rsidR="00442FEB" w:rsidRDefault="00A727E8" w:rsidP="00F24573">
      <w:pPr>
        <w:pStyle w:val="Cuerpodeltexto0"/>
        <w:shd w:val="clear" w:color="auto" w:fill="auto"/>
        <w:spacing w:before="0"/>
        <w:ind w:left="900" w:right="540"/>
        <w:rPr>
          <w:sz w:val="0"/>
          <w:szCs w:val="0"/>
        </w:rPr>
      </w:pPr>
      <w:r>
        <w:t>Nosotros,</w:t>
      </w:r>
      <w:r>
        <w:rPr>
          <w:rStyle w:val="CuerpodeltextoNegrita"/>
        </w:rPr>
        <w:t xml:space="preserve"> JORGE ARMANDO ALFARO QUINTANILLA,</w:t>
      </w:r>
      <w:r w:rsidR="00F24573">
        <w:t xml:space="preserve"> </w:t>
      </w:r>
      <w:r w:rsidR="00F24573" w:rsidRPr="00F24573">
        <w:rPr>
          <w:highlight w:val="red"/>
        </w:rPr>
        <w:t>DATOS CONFIDENCIALES SUPRIMIDOS</w:t>
      </w:r>
      <w:r>
        <w:t xml:space="preserve">; actuando por delegación en nombre del MINISTERIO DE </w:t>
      </w:r>
      <w:r>
        <w:t>GOBERNACIÓN Y DESARROLLO TERRITORIAL, con base al Acuerdo Número</w:t>
      </w:r>
      <w:r>
        <w:rPr>
          <w:rStyle w:val="CuerpodeltextoNegrita"/>
        </w:rPr>
        <w:t xml:space="preserve"> NOVENTA Y OCHO,</w:t>
      </w:r>
      <w:r>
        <w:t xml:space="preserve"> emitido por el Órgano Ejecutivo en el Ramo de Gobernación y Desarrollo Territorial, en fecha dieciocho de noviembre de dos mil diecinueve, por el señor Ministro de Gobernación</w:t>
      </w:r>
      <w:r>
        <w:t xml:space="preserve"> y Desarrollo Territorial,</w:t>
      </w:r>
      <w:r>
        <w:rPr>
          <w:rStyle w:val="CuerpodeltextoNegrita"/>
        </w:rPr>
        <w:t xml:space="preserve"> MARIO EDGARDO DURÁN GAVIDIA,</w:t>
      </w:r>
      <w:r>
        <w:t xml:space="preserve"> mediante el cual acordó designarme, para que firme los contratos resultantes de los procesos de adquisición realizados por la Unidad de Adquisiciones y Contrataciones Institucional, independientemente</w:t>
      </w:r>
      <w:r>
        <w:t xml:space="preserve"> de la modalidad de adquisición que se haya seguido, siempre y cuando sea de las que regula la Ley de Adquisiciones y Contrataciones de la Administración Pública en lo sucesivo también denominada LACAP, y no sean de los contratos que debe firmar el Fiscal </w:t>
      </w:r>
      <w:r>
        <w:t>General; por lo que comparezco a otorgar el presente Instrumento, que en el transcurso del mismo me denominaré:</w:t>
      </w:r>
      <w:r>
        <w:rPr>
          <w:rStyle w:val="CuerpodeltextoNegrita"/>
        </w:rPr>
        <w:t xml:space="preserve"> "EL CONTRATANTE"</w:t>
      </w:r>
      <w:r>
        <w:t xml:space="preserve"> y por otra part</w:t>
      </w:r>
      <w:r w:rsidR="00F24573">
        <w:t xml:space="preserve">e, </w:t>
      </w:r>
      <w:r w:rsidR="00F24573" w:rsidRPr="00F24573">
        <w:rPr>
          <w:highlight w:val="red"/>
        </w:rPr>
        <w:t>DATOS CONFIDENCIALES SUPRIMIDOS</w:t>
      </w:r>
      <w:r>
        <w:t>, actuando en calidad de Administrador Único Propietario y Representante Legal, de la Sociedad</w:t>
      </w:r>
      <w:r>
        <w:rPr>
          <w:rStyle w:val="CuerpodeltextoNegrita"/>
        </w:rPr>
        <w:t xml:space="preserve"> REAL INVERSIONES, LIMITADA DE CAPITAL VARIABLE,</w:t>
      </w:r>
      <w:r>
        <w:t xml:space="preserve"> que puede abreviarse</w:t>
      </w:r>
      <w:r>
        <w:rPr>
          <w:rStyle w:val="CuerpodeltextoNegrita"/>
        </w:rPr>
        <w:t xml:space="preserve"> REAL INVERSIONES, LTDA. DE C.V.,</w:t>
      </w:r>
      <w:r>
        <w:t xml:space="preserve"> del domicilio de San Sa</w:t>
      </w:r>
      <w:r>
        <w:t xml:space="preserve">lvador, Departamento de San Salvador, con Número de Identificación Tributaria </w:t>
      </w:r>
      <w:r w:rsidR="00F24573">
        <w:rPr>
          <w:rStyle w:val="CuerpodeltextoNegrita"/>
        </w:rPr>
        <w:t>,</w:t>
      </w:r>
      <w:r w:rsidR="00F24573">
        <w:t xml:space="preserve"> </w:t>
      </w:r>
      <w:r w:rsidR="00F24573" w:rsidRPr="00F24573">
        <w:rPr>
          <w:highlight w:val="red"/>
        </w:rPr>
        <w:t>DATOS CONFIDENCIALES SUPRIMIDOS</w:t>
      </w:r>
      <w:r w:rsidR="00F24573">
        <w:t xml:space="preserve"> </w:t>
      </w:r>
      <w:r>
        <w:rPr>
          <w:noProof/>
        </w:rPr>
        <w:drawing>
          <wp:inline distT="0" distB="0" distL="0" distR="0">
            <wp:extent cx="295275" cy="34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EB" w:rsidRDefault="00442FEB" w:rsidP="00F24573">
      <w:pPr>
        <w:pStyle w:val="Cuerpodeltexto40"/>
        <w:shd w:val="clear" w:color="auto" w:fill="auto"/>
        <w:spacing w:after="176" w:line="160" w:lineRule="exact"/>
      </w:pPr>
    </w:p>
    <w:p w:rsidR="00442FEB" w:rsidRDefault="00A727E8">
      <w:pPr>
        <w:framePr w:w="1656" w:h="418" w:hSpace="102" w:vSpace="414" w:wrap="around" w:hAnchor="margin" w:x="2701" w:y="13256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1057275" cy="266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EB" w:rsidRDefault="00A727E8">
      <w:pPr>
        <w:pStyle w:val="Cuerpodeltexto40"/>
        <w:framePr w:h="278" w:hSpace="348" w:vSpace="76" w:wrap="around" w:hAnchor="margin" w:x="6001" w:y="13353"/>
        <w:shd w:val="clear" w:color="auto" w:fill="auto"/>
        <w:spacing w:after="0" w:line="130" w:lineRule="exact"/>
        <w:ind w:left="100"/>
      </w:pPr>
      <w:r>
        <w:t>7</w:t>
      </w:r>
    </w:p>
    <w:p w:rsidR="00442FEB" w:rsidRDefault="00442FEB">
      <w:pPr>
        <w:pStyle w:val="Cuerpodeltexto40"/>
        <w:shd w:val="clear" w:color="auto" w:fill="auto"/>
        <w:spacing w:after="0" w:line="130" w:lineRule="exact"/>
        <w:ind w:left="440"/>
        <w:sectPr w:rsidR="00442F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1340" w:right="546" w:bottom="602" w:left="262" w:header="0" w:footer="3" w:gutter="0"/>
          <w:cols w:space="720"/>
          <w:noEndnote/>
          <w:docGrid w:linePitch="360"/>
        </w:sectPr>
      </w:pPr>
    </w:p>
    <w:p w:rsidR="00442FEB" w:rsidRDefault="00A727E8">
      <w:pPr>
        <w:pStyle w:val="Cuerpodeltexto0"/>
        <w:shd w:val="clear" w:color="auto" w:fill="auto"/>
        <w:spacing w:before="0" w:line="421" w:lineRule="exact"/>
        <w:ind w:left="40" w:right="40"/>
      </w:pPr>
      <w:r>
        <w:lastRenderedPageBreak/>
        <w:t>acredito por medio de</w:t>
      </w:r>
      <w:r>
        <w:rPr>
          <w:rStyle w:val="CuerpodeltextoNegrita0"/>
        </w:rPr>
        <w:t xml:space="preserve"> a)</w:t>
      </w:r>
      <w:r>
        <w:t xml:space="preserve"> Fotocopia certificada por Notario de Testimonio de Escritura Pública de Constitución de la Sociedad</w:t>
      </w:r>
      <w:r>
        <w:rPr>
          <w:rStyle w:val="CuerpodeltextoNegrita0"/>
        </w:rPr>
        <w:t xml:space="preserve"> REAL INVERSIONES, LIMITADA DE CAPITAL VARIABLE, </w:t>
      </w:r>
      <w:r>
        <w:t>que puede abreviarse</w:t>
      </w:r>
      <w:r>
        <w:rPr>
          <w:rStyle w:val="CuerpodeltextoNegrita0"/>
        </w:rPr>
        <w:t xml:space="preserve"> REAL INVERSIONES, LTDA. DE C.V.,</w:t>
      </w:r>
      <w:r>
        <w:t xml:space="preserve"> otorgada en la ciudad de Antiguo Cuscatlán, departame</w:t>
      </w:r>
      <w:r>
        <w:t xml:space="preserve">nto de La Libertad, a las once horas con treinta minutos del día veintitrés de junio de mil dos mil once, ante los oficios notariales de </w:t>
      </w:r>
      <w:r w:rsidR="00F24573">
        <w:rPr>
          <w:rStyle w:val="CuerpodeltextoNegrita"/>
        </w:rPr>
        <w:t>,</w:t>
      </w:r>
      <w:r w:rsidR="00F24573">
        <w:t xml:space="preserve"> </w:t>
      </w:r>
      <w:r w:rsidR="00F24573" w:rsidRPr="00F24573">
        <w:rPr>
          <w:highlight w:val="red"/>
        </w:rPr>
        <w:t>DATOS CONFIDENCIALES SUPRIMIDOS</w:t>
      </w:r>
      <w:r>
        <w:t>, en la que consta que la Naturaleza, Domicilio y Denominación son como se ha indicad</w:t>
      </w:r>
      <w:r>
        <w:t>o que Representación legal corresponde al Administrador Único o quien haga sus veces y que entre sus fines se encuentra importar para su venta a terceros toda clase de materiales y demás bienes o implementos relacionados con las ferreterías, inscrita al Nú</w:t>
      </w:r>
      <w:r>
        <w:t>mero TREINTA Y NUEVE, del Libro DOS MIL SETECIENTOS SESENTA Y TRES; del Registro de Sociedades, en fecha quince de julio de dos mil once</w:t>
      </w:r>
      <w:r>
        <w:rPr>
          <w:rStyle w:val="CuerpodeltextoNegrita0"/>
        </w:rPr>
        <w:t xml:space="preserve"> b)</w:t>
      </w:r>
      <w:r>
        <w:t xml:space="preserve"> Copia Certificada por Notario de la Certificación de Credencial de elección de Administrador Unico Propietario de la Sociedad </w:t>
      </w:r>
      <w:r>
        <w:rPr>
          <w:rStyle w:val="CuerpodeltextoNegrita0"/>
        </w:rPr>
        <w:t>REAL INVERSIONES, LTDA. DE C.V.,</w:t>
      </w:r>
      <w:r>
        <w:t xml:space="preserve"> expedida por el señor</w:t>
      </w:r>
      <w:r w:rsidR="00F24573">
        <w:t xml:space="preserve"> </w:t>
      </w:r>
      <w:r w:rsidR="00F24573" w:rsidRPr="00F24573">
        <w:rPr>
          <w:highlight w:val="red"/>
        </w:rPr>
        <w:t>DATOS CONFIDENCIALES SUPRIMIDOS</w:t>
      </w:r>
      <w:r>
        <w:t>, en su calidad, de Secretario de la Junta Gener</w:t>
      </w:r>
      <w:r>
        <w:t xml:space="preserve">al Ordinaria de Socios, de la que consta que el señor </w:t>
      </w:r>
      <w:r w:rsidR="00F24573">
        <w:rPr>
          <w:rStyle w:val="CuerpodeltextoNegrita"/>
        </w:rPr>
        <w:t>,</w:t>
      </w:r>
      <w:r w:rsidR="00F24573">
        <w:t xml:space="preserve"> </w:t>
      </w:r>
      <w:r w:rsidR="00F24573" w:rsidRPr="00F24573">
        <w:rPr>
          <w:highlight w:val="red"/>
        </w:rPr>
        <w:t>DATOS CONFIDENCIALES SUPRIMIDOS</w:t>
      </w:r>
      <w:r w:rsidR="00F24573">
        <w:t xml:space="preserve"> </w:t>
      </w:r>
      <w:r>
        <w:t>resulto electo como Administrador Único Propietario para un período de SIETE años contados a partir de la fecha de inscripción en el Registro de Comercio, inscrita bajo el N</w:t>
      </w:r>
      <w:r>
        <w:t>úmero CUARENTA Y SIETE del Libro TRES MIL SEISCIENTOS SETENTA Y CUATRO del Registro de Sociedades, el día cinco de diciembre de dos mil dieciséis; Encontrando en la documentación antes relacionada debidamente acreditada la existencia legal de la Sociedad y</w:t>
      </w:r>
      <w:r>
        <w:t xml:space="preserve"> a través de la misma, se me confieren las suficientes facultades para comparecer a otorgar actos como el que ampara este instrumento, y que en lo sucesivo me denominare</w:t>
      </w:r>
      <w:r>
        <w:rPr>
          <w:rStyle w:val="CuerpodeltextoNegrita0"/>
        </w:rPr>
        <w:t xml:space="preserve"> "EL CONTRATISTA";</w:t>
      </w:r>
      <w:r>
        <w:t xml:space="preserve"> por lo que</w:t>
      </w:r>
      <w:r>
        <w:rPr>
          <w:rStyle w:val="CuerpodeltextoNegrita0"/>
        </w:rPr>
        <w:t xml:space="preserve"> CONVENIMOS</w:t>
      </w:r>
      <w:r>
        <w:t xml:space="preserve"> en celebrar y al efecto así lo hacemos, con ba</w:t>
      </w:r>
      <w:r>
        <w:t>se en el proceso de</w:t>
      </w:r>
      <w:r>
        <w:rPr>
          <w:rStyle w:val="CuerpodeltextoNegrita0"/>
        </w:rPr>
        <w:t xml:space="preserve"> LIBRE GESTIÓN</w:t>
      </w:r>
      <w:r>
        <w:t xml:space="preserve"> denominado </w:t>
      </w:r>
      <w:r>
        <w:rPr>
          <w:rStyle w:val="CuerpodeltextoNegrita0"/>
        </w:rPr>
        <w:t>"SUMINISTRO, INSTALACIÓN Y PUESTA EN MARCHA DE SISTEMA DE BOMBEO AUTOMÁTICO A PRESIÓN CONSTANTE Y FLUJO VARIABLE, EN EL EDIFICIO DEL MINISTERIO DE GOBERNACIÓN Y DESARROLLO TERRITORIAL",</w:t>
      </w:r>
      <w:r>
        <w:t xml:space="preserve"> en el Informe de Recomend</w:t>
      </w:r>
      <w:r>
        <w:t xml:space="preserve">ación de Adjudicación de fecha once de noviembre de dos mil diecinueve, emitida por el Comité de Análisis de Ofertas del referido proceso, y suscrito por el designado por el Titular, Rodrigo </w:t>
      </w:r>
      <w:r w:rsidR="00F24573">
        <w:t>J</w:t>
      </w:r>
      <w:r>
        <w:t>avier Ayala Claros, dándole cumplimiento al Acuerdo Número TREIN</w:t>
      </w:r>
      <w:r>
        <w:t>TA, emitido por el Órgano Ejecutivo en el Ramo de Gobernación y Desarrollo Territorial, con fecha tres de junio de dos mil diecinueve, adjudicando en forma total a la Sociedad</w:t>
      </w:r>
      <w:r>
        <w:rPr>
          <w:rStyle w:val="CuerpodeltextoNegrita0"/>
        </w:rPr>
        <w:t xml:space="preserve"> REAL INVERSIONES, LTDA.</w:t>
      </w:r>
    </w:p>
    <w:p w:rsidR="00442FEB" w:rsidRDefault="00A727E8">
      <w:pPr>
        <w:pStyle w:val="Cuerpodeltexto0"/>
        <w:shd w:val="clear" w:color="auto" w:fill="auto"/>
        <w:spacing w:before="0" w:after="276" w:line="421" w:lineRule="exact"/>
        <w:ind w:right="20"/>
      </w:pPr>
      <w:r>
        <w:rPr>
          <w:rStyle w:val="CuerpodeltextoNegrita1"/>
        </w:rPr>
        <w:t>DE C.V.,</w:t>
      </w:r>
      <w:r>
        <w:t xml:space="preserve"> el siguiente</w:t>
      </w:r>
      <w:r>
        <w:rPr>
          <w:rStyle w:val="CuerpodeltextoNegrita1"/>
        </w:rPr>
        <w:t xml:space="preserve"> "CONTRATO DE SUMINISTRO, INSTALACI</w:t>
      </w:r>
      <w:r>
        <w:rPr>
          <w:rStyle w:val="CuerpodeltextoNegrita1"/>
        </w:rPr>
        <w:t xml:space="preserve">ÓN Y PUESTA EN MARCHA DE SISTEMA DE BOMBEO AUTOMÁTICO A PRESIÓN CONSTANTE Y FLUJO VARIABLE, EN EL EDIFICIO DEL MINISTERIO DE GOBERNACIÓN Y DESARROLLO </w:t>
      </w:r>
      <w:r>
        <w:rPr>
          <w:rStyle w:val="CuerpodeltextoNegrita1"/>
        </w:rPr>
        <w:lastRenderedPageBreak/>
        <w:t>TERRITORIAL",</w:t>
      </w:r>
      <w:r>
        <w:t xml:space="preserve"> de conformidad a la Ley de Adquisiciones y Contrataciones de la Administración Pública en lo</w:t>
      </w:r>
      <w:r>
        <w:t xml:space="preserve"> sucesivo también denominada, LACAP, a su Reglamento y en especial a las obligaciones, condiciones, pactos y renuncias siguientes:</w:t>
      </w:r>
      <w:r>
        <w:rPr>
          <w:rStyle w:val="CuerpodeltextoNegrita1"/>
        </w:rPr>
        <w:t xml:space="preserve"> </w:t>
      </w:r>
      <w:r>
        <w:rPr>
          <w:rStyle w:val="CuerpodeltextoNegrita2"/>
        </w:rPr>
        <w:t>PRIMERA: OB</w:t>
      </w:r>
      <w:r w:rsidR="00F24573">
        <w:rPr>
          <w:rStyle w:val="CuerpodeltextoNegrita2"/>
        </w:rPr>
        <w:t>J</w:t>
      </w:r>
      <w:r>
        <w:rPr>
          <w:rStyle w:val="CuerpodeltextoNegrita2"/>
        </w:rPr>
        <w:t>ETO Y ALCANCE DEL CONTRATO.</w:t>
      </w:r>
      <w:r>
        <w:t xml:space="preserve"> EL CONTRATISTA se compromete a proporcionar el suministro, instalación y puesta en ma</w:t>
      </w:r>
      <w:r>
        <w:t>rcha de sistema de bombeo automático a presión constante y flujo variable, en el edificio del Ministerio de Gobernación y Desarrollo Territorial, de conformidad a su Oferta Técnica y Económica y a lo requerido en Términos de Referencia; según detalle sigui</w:t>
      </w:r>
      <w:r>
        <w:t>ente: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5"/>
        <w:gridCol w:w="958"/>
      </w:tblGrid>
      <w:tr w:rsidR="00442FEB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3100"/>
              <w:jc w:val="left"/>
            </w:pPr>
            <w:r>
              <w:t>DESCRIPCIÓN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200" w:firstLine="0"/>
              <w:jc w:val="left"/>
            </w:pPr>
            <w:r>
              <w:rPr>
                <w:lang w:val="en-US"/>
              </w:rPr>
              <w:t>CANT.</w:t>
            </w: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7938"/>
          <w:jc w:val="center"/>
        </w:trPr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ind w:right="400" w:firstLine="0"/>
            </w:pPr>
            <w:r>
              <w:t>SUMINISTRO, INSTALACIÓN Y PUESTA EN MARCHA DE UN SISTEMA DE BOMBEO AUTOMÁTICO A PRESIÓN CONSTANTE Y FLUJO VARIABLE, MARCA BERKELYE, El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after="60"/>
              <w:ind w:left="380" w:firstLine="3100"/>
              <w:jc w:val="left"/>
            </w:pPr>
            <w:r>
              <w:t>Sistema incluye: 1. BOMBAS CENTRIFUGAS DE 25HP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before="60" w:line="335" w:lineRule="exact"/>
              <w:ind w:left="820" w:firstLine="0"/>
              <w:jc w:val="left"/>
            </w:pPr>
            <w:r>
              <w:t>El sistema consiste en 3 bombas cuya instalación será completa y comprende</w:t>
            </w:r>
            <w:r>
              <w:t>rá los equipos y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335" w:lineRule="exact"/>
              <w:ind w:left="820" w:firstLine="0"/>
              <w:jc w:val="left"/>
            </w:pPr>
            <w:r>
              <w:t>accesorios que sean necesarios para su correcto funcionamiento aunque no estén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335" w:lineRule="exact"/>
              <w:ind w:left="820" w:firstLine="0"/>
              <w:jc w:val="left"/>
            </w:pPr>
            <w:r>
              <w:t>especificados en estos documentos.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66"/>
              </w:tabs>
              <w:spacing w:line="335" w:lineRule="exact"/>
              <w:ind w:left="820" w:firstLine="0"/>
              <w:jc w:val="left"/>
            </w:pPr>
            <w:r>
              <w:t>3 Bombas Centrifugas de 25 HP /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66"/>
              </w:tabs>
              <w:spacing w:line="335" w:lineRule="exact"/>
              <w:ind w:left="820" w:firstLine="0"/>
              <w:jc w:val="left"/>
            </w:pPr>
            <w:r>
              <w:t>Modelo B2ZPH, según detalle:</w:t>
            </w:r>
          </w:p>
          <w:p w:rsidR="00442FEB" w:rsidRPr="00F24573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335" w:lineRule="exact"/>
              <w:ind w:left="1680"/>
              <w:jc w:val="left"/>
              <w:rPr>
                <w:lang w:val="en-US"/>
              </w:rPr>
            </w:pPr>
            <w:r w:rsidRPr="00F24573">
              <w:rPr>
                <w:lang w:val="en-US"/>
              </w:rPr>
              <w:t>o B= TIPO DE CONSTRUCCION (type of construction) = DISEÑO "Black Pull- Out"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335" w:lineRule="exact"/>
              <w:ind w:left="1320" w:firstLine="0"/>
              <w:jc w:val="left"/>
            </w:pPr>
            <w:r>
              <w:t>o 2= DIAMETRO DE DESCARGA (discharge siza) - 2" o Z- DIAMETRO NOMINAL DE IMPULSO (nominal impeller diameter) = 9" o P= TIPO DE MANDO (type of drive) = MOTOR ELÉCTRICO o H= CAPACIDA</w:t>
            </w:r>
            <w:r>
              <w:t>D RELATIVA DE DESCARGA (relative capacity or impeller) = ALTA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335" w:lineRule="exact"/>
              <w:ind w:left="820" w:firstLine="0"/>
              <w:jc w:val="left"/>
            </w:pPr>
            <w:r>
              <w:t>. Voltaje 208-230/460 vol. 60 HZ. de 66.00-58.00/29 AMP.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66"/>
              </w:tabs>
              <w:spacing w:line="335" w:lineRule="exact"/>
              <w:ind w:left="820" w:firstLine="0"/>
              <w:jc w:val="left"/>
            </w:pPr>
            <w:r>
              <w:t>3600 RPM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73"/>
              </w:tabs>
              <w:spacing w:line="335" w:lineRule="exact"/>
              <w:ind w:left="820" w:firstLine="0"/>
              <w:jc w:val="left"/>
            </w:pPr>
            <w:r>
              <w:t>Con una eficiencia hidráulica del 67%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73"/>
              </w:tabs>
              <w:spacing w:line="335" w:lineRule="exact"/>
              <w:ind w:left="820" w:firstLine="0"/>
              <w:jc w:val="left"/>
            </w:pPr>
            <w:r>
              <w:t>Con una evacuación de 250 G.P.M.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166"/>
              </w:tabs>
              <w:spacing w:line="335" w:lineRule="exact"/>
              <w:ind w:left="820" w:firstLine="0"/>
              <w:jc w:val="left"/>
            </w:pPr>
            <w:r>
              <w:t>Con mía carga dinámica de 277 CDT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after="300" w:line="335" w:lineRule="exact"/>
              <w:ind w:left="820" w:firstLine="0"/>
              <w:jc w:val="left"/>
            </w:pPr>
            <w:r>
              <w:t>INCLUYE EL DESMONTATE DE LAS BOMBAS EXISTENTES.</w:t>
            </w:r>
          </w:p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before="300" w:line="240" w:lineRule="auto"/>
              <w:ind w:left="820" w:firstLine="0"/>
              <w:jc w:val="left"/>
            </w:pPr>
            <w:r>
              <w:t>Además de las bombas, se incluye el suministro e instalación de: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420" w:firstLine="0"/>
              <w:jc w:val="left"/>
            </w:pPr>
            <w:r>
              <w:rPr>
                <w:lang w:val="en-US"/>
              </w:rPr>
              <w:t>1</w:t>
            </w:r>
          </w:p>
        </w:tc>
      </w:tr>
    </w:tbl>
    <w:p w:rsidR="00442FEB" w:rsidRDefault="00442FEB">
      <w:pPr>
        <w:rPr>
          <w:sz w:val="2"/>
          <w:szCs w:val="2"/>
        </w:rPr>
        <w:sectPr w:rsidR="00442FEB">
          <w:pgSz w:w="11905" w:h="16837"/>
          <w:pgMar w:top="1341" w:right="658" w:bottom="1496" w:left="1440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6"/>
        <w:gridCol w:w="976"/>
      </w:tblGrid>
      <w:tr w:rsidR="00442FEB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lastRenderedPageBreak/>
              <w:t>♦</w:t>
            </w:r>
            <w:r>
              <w:t xml:space="preserve"> 6 Válvulas compuerta de 3" ANSI 300, acero fundido, vástago saliente, 300 SWP/600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jc w:val="left"/>
            </w:pPr>
            <w:r>
              <w:t>WOG,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3 Válvulas compuerta de 1.1/4" de bronce, vástago fijo, 125 PSI.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3 Válvulas check de 3".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3 Bridas con rosca de 3" metálica de 4 pernos con sus respectivos empaques.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* 3 Manómetros con caja, tubo bourbon y racor de acero inoxidable de 63mm de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jc w:val="left"/>
            </w:pPr>
            <w:r>
              <w:t>diámetro, con glicerina y rosca (macho) de</w:t>
            </w:r>
            <w:r>
              <w:rPr>
                <w:rStyle w:val="Cuerpodeltexto6MicrosoftSansSerif65ptoCursiva"/>
              </w:rPr>
              <w:t xml:space="preserve"> </w:t>
            </w:r>
            <w:r>
              <w:rPr>
                <w:rStyle w:val="Cuerpodeltexto6MicrosoftSansSerif65ptoCursiva"/>
                <w:vertAlign w:val="superscript"/>
              </w:rPr>
              <w:t>l</w:t>
            </w:r>
            <w:r>
              <w:rPr>
                <w:rStyle w:val="Cuerpodeltexto6MicrosoftSansSerif65ptoCursiva"/>
              </w:rPr>
              <w:t>A"</w:t>
            </w:r>
            <w:r>
              <w:t xml:space="preserve"> de 0 a 160 PSI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2 Manómetros con caja acero inoxidable de 90 a lOOmm de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- diámetro rosca (macho) de 1/4" de 0 a 160 PSI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8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jc w:val="left"/>
            </w:pPr>
            <w:r>
              <w:t>INCLUYE EL DESMONTATE DE LAS VALVULAS Y MANOMETROS.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8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380" w:firstLine="0"/>
              <w:jc w:val="left"/>
            </w:pPr>
            <w:r>
              <w:t>2. PANEL DE CONTROL AUTOMATIZADO PARA EL ARRANQUE DE LAS BOMBAS,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jc w:val="left"/>
            </w:pPr>
            <w:r>
              <w:t>TRIFASICO 460 VAC, MARCA LS.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</w:pPr>
            <w:r>
              <w:t>Deberá de ser un sistema automático del flujo variable y presión constante con la opción manual.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</w:pPr>
            <w:r>
              <w:t>El Sistema de arranque y paro deber ser tipo rampa, con variación de velocidad para lograr: Ahorrar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</w:pPr>
            <w:r>
              <w:t xml:space="preserve">energía, aumentar la vida útil del sistema de tuberías </w:t>
            </w:r>
            <w:r>
              <w:t>evitando sobre presiones y daños ocasionados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60" w:firstLine="0"/>
              <w:jc w:val="left"/>
            </w:pPr>
            <w:r>
              <w:t>por el golpe ariete y cavitación y reducción de los costos de mantenimiento.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El Sistema de Arrancador deberá estar capacitado para controlar el sistema de bombeo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conformado por 3 bombas de 25 hp, y contener como mínimo, no limitándose a ello y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dependiendo de cada sistema propuesto: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Capacitado para controlar el sistema de bombeo conformado por 3 bombas de 25HP.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jc w:val="left"/>
            </w:pPr>
            <w:r>
              <w:t>Variador de frecuencia de 30 HP / 460VAC. Marca LS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Gabinete IP65 (Totalmente protegido contra la entrada de polvo y líquidos) o mayor.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jc w:val="left"/>
            </w:pPr>
            <w:r>
              <w:t>Cierre con llave (120X80x38 cm.).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Supresor de voltaje o trasciente de sobre tensión para protección del Panel.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Protecciones: de sobrecarga, cortocircuito, falla de fase y variaciones de voltaje; para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jc w:val="left"/>
            </w:pPr>
            <w:r>
              <w:t>arranque y disparo.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Ventilador con filtro para el gabinete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Mam principal de 125 AMP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® Con certificación UL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Alarma sonora y visual.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Sistema de control y alarma de niveles.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Luces indicadoras de arranque, paro, falla y bajo nivel.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» Arrancador magnético de motor.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8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Transductor de presión.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Disyuntor desconexión de bomba.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8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920" w:firstLine="0"/>
              <w:jc w:val="left"/>
            </w:pPr>
            <w:r>
              <w:t>• Componentes listos para su uso que facilitan el mantenimiento y reparación en obra.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42FEB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8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A727E8">
            <w:pPr>
              <w:pStyle w:val="Cuerpodeltexto60"/>
              <w:framePr w:wrap="notBeside" w:vAnchor="text" w:hAnchor="text" w:xAlign="center" w:y="1"/>
              <w:shd w:val="clear" w:color="auto" w:fill="auto"/>
              <w:spacing w:line="240" w:lineRule="auto"/>
              <w:ind w:left="720" w:firstLine="0"/>
              <w:jc w:val="left"/>
            </w:pPr>
            <w:r>
              <w:t>INCLUYE EL DESMONTAJE DEL PANEL EXISTENTE.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FEB" w:rsidRDefault="00442FE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42FEB" w:rsidRDefault="00442FEB">
      <w:pPr>
        <w:rPr>
          <w:sz w:val="2"/>
          <w:szCs w:val="2"/>
        </w:rPr>
      </w:pPr>
    </w:p>
    <w:p w:rsidR="00442FEB" w:rsidRDefault="00A727E8">
      <w:pPr>
        <w:pStyle w:val="Cuerpodeltexto60"/>
        <w:shd w:val="clear" w:color="auto" w:fill="auto"/>
        <w:spacing w:line="335" w:lineRule="exact"/>
        <w:ind w:left="360" w:right="1300" w:firstLine="560"/>
        <w:jc w:val="left"/>
      </w:pPr>
      <w:r>
        <w:t xml:space="preserve">Además del Panel, se incluye el suministro e instalación de Tablero tipo NEMA barra principal de 250 AMP con MAIN de 200 AMP, tipo intemperie; también la sustitución de alimentación trifásica eléctrica de 4 cables </w:t>
      </w:r>
      <w:r>
        <w:lastRenderedPageBreak/>
        <w:t>THHN 2 desde el tablero principal, en tube</w:t>
      </w:r>
      <w:r>
        <w:t xml:space="preserve">ría conduit de 1.1/4" y hacia el panel de control automático. </w:t>
      </w:r>
      <w:r>
        <w:rPr>
          <w:rStyle w:val="Cuerpodeltexto61"/>
        </w:rPr>
        <w:t>INCLUYE EL DESMONTATE DEL TABLERO EXISTENTE.</w:t>
      </w:r>
    </w:p>
    <w:p w:rsidR="00442FEB" w:rsidRDefault="00A727E8">
      <w:pPr>
        <w:pStyle w:val="Cuerpodeltexto60"/>
        <w:shd w:val="clear" w:color="auto" w:fill="auto"/>
        <w:spacing w:line="338" w:lineRule="exact"/>
        <w:ind w:left="360" w:right="1300" w:firstLine="0"/>
        <w:jc w:val="both"/>
      </w:pPr>
      <w:r>
        <w:t>Será responsabilidad total del contratista el montaje e instalación de los equipos que conforman todo el Sistema de Bombeo Automático a Presión constante y Flujo Variable en las instalaciones del Ministerio de Gobernación y Desarrollo Territorial.</w:t>
      </w:r>
    </w:p>
    <w:p w:rsidR="00442FEB" w:rsidRDefault="00A727E8">
      <w:pPr>
        <w:pStyle w:val="Cuerpodeltexto60"/>
        <w:shd w:val="clear" w:color="auto" w:fill="auto"/>
        <w:spacing w:after="46" w:line="160" w:lineRule="exact"/>
        <w:ind w:left="1100" w:hanging="340"/>
        <w:jc w:val="left"/>
      </w:pPr>
      <w:r>
        <w:t>^ Una ca</w:t>
      </w:r>
      <w:r>
        <w:t>pacitación con el personal técnico de la institución en fecha y horario a definir.</w:t>
      </w:r>
    </w:p>
    <w:p w:rsidR="00442FEB" w:rsidRDefault="00A727E8">
      <w:pPr>
        <w:pStyle w:val="Cuerpodeltexto60"/>
        <w:shd w:val="clear" w:color="auto" w:fill="auto"/>
        <w:spacing w:after="351" w:line="338" w:lineRule="exact"/>
        <w:ind w:left="1100" w:right="1300" w:hanging="340"/>
        <w:jc w:val="left"/>
      </w:pPr>
      <w:r>
        <w:t>^ Dos mantenimientos preventivos y los correctivos que sean necesarios en el año de garantía del sistema, sin. costo alguno para la institución.</w:t>
      </w:r>
    </w:p>
    <w:p w:rsidR="00442FEB" w:rsidRDefault="00A727E8">
      <w:pPr>
        <w:pStyle w:val="Cuerpodeltexto0"/>
        <w:shd w:val="clear" w:color="auto" w:fill="auto"/>
        <w:spacing w:before="0"/>
        <w:ind w:left="20" w:right="20"/>
      </w:pPr>
      <w:r>
        <w:t>EL CONTRATISTA responderá de</w:t>
      </w:r>
      <w:r>
        <w:t xml:space="preserve"> acuerdo a los términos y condiciones contenidas en el presente Contrato, a la Oferta Técnica y Económica y sus anexos</w:t>
      </w:r>
      <w:r>
        <w:rPr>
          <w:vertAlign w:val="subscript"/>
        </w:rPr>
        <w:t>/</w:t>
      </w:r>
      <w:r>
        <w:t xml:space="preserve"> y a las Especificaciones Técnicas y Condiciones Generales establecidas en Términos de Referencia y sus anexos, que forman parte integral</w:t>
      </w:r>
      <w:r>
        <w:t xml:space="preserve"> del presente Instrumento, especialmente por la calidad del suministro que brindará, y proporcionará todo aquello que sea necesario para la correcta prestación del mismo. Corresponderá al Administrador del Contrato, de conformidad a lo establecido en el Ar</w:t>
      </w:r>
      <w:r>
        <w:t>t. 82 Bis de la Ley de Adquisiciones y Contrataciones de la Administración Pública, velar por el fiel cumplimiento de las obligaciones emanadas del presente Contrato, debiendo informar a la Unidad de Adquisiciones y Contrataciones Institucional, las omisio</w:t>
      </w:r>
      <w:r>
        <w:t>nes o acciones incorrectas en la ejecución del mismo;</w:t>
      </w:r>
      <w:r>
        <w:rPr>
          <w:rStyle w:val="CuerpodeltextoNegrita3"/>
        </w:rPr>
        <w:t xml:space="preserve"> </w:t>
      </w:r>
      <w:r>
        <w:rPr>
          <w:rStyle w:val="CuerpodeltextoNegrita4"/>
        </w:rPr>
        <w:t>SEGUNDA: DOCUMENTOS CONTRACTUALES:</w:t>
      </w:r>
      <w:r>
        <w:t xml:space="preserve"> Los documentos a utilizar en el proceso de esta contratación se denominarán Documentos Contractuales, que formarán parte integral del Contrato, con igual fuerza obliga</w:t>
      </w:r>
      <w:r>
        <w:t>toria que éste y serán: a) Los Términos de Referencia y sus anexos; b) La Oferta Técnica y Económica de EL CONTRATISTA y sus documentos anexos; c) El Acuerdo de Administrador del Contrato número CIENTO DIEZ, emitido por el Órgano Ejecutivo en el Ramo de Go</w:t>
      </w:r>
      <w:r>
        <w:t>bernación y Desarrollo Territorial, con fecha cuatro de diciembre de dos mil diecinueve; f) La Garantía de Cumplimiento de Contrato; y e) Cualquier oteo documento que emanare del presente Instrumento; en caso de controversia en la documentación que forma p</w:t>
      </w:r>
      <w:r>
        <w:t>arte del presente Contrato, prevalecerá lo estipulado en el mismo.</w:t>
      </w:r>
      <w:r>
        <w:rPr>
          <w:rStyle w:val="CuerpodeltextoNegrita3"/>
        </w:rPr>
        <w:t xml:space="preserve"> </w:t>
      </w:r>
      <w:r>
        <w:rPr>
          <w:rStyle w:val="CuerpodeltextoNegrita4"/>
        </w:rPr>
        <w:t>TERCERA: PLAZO DEL CONTRATO:</w:t>
      </w:r>
      <w:r>
        <w:t xml:space="preserve"> El suministro se requiere en un plazo máximo de quince días hábiles después de notificada la Orden de Inicio/Pedido emitida por el Administrador de Contrato.</w:t>
      </w:r>
      <w:r>
        <w:rPr>
          <w:rStyle w:val="CuerpodeltextoNegrita5"/>
        </w:rPr>
        <w:t xml:space="preserve"> </w:t>
      </w:r>
      <w:r>
        <w:rPr>
          <w:rStyle w:val="CuerpodeltextoNegrita6"/>
        </w:rPr>
        <w:t>CU</w:t>
      </w:r>
      <w:r>
        <w:rPr>
          <w:rStyle w:val="CuerpodeltextoNegrita6"/>
        </w:rPr>
        <w:t>ARTA: PRECIO Y FORMA DE PAGO:</w:t>
      </w:r>
      <w:r>
        <w:t xml:space="preserve"> El monto total del suministro objeto de este Contrato se establece en un monto de</w:t>
      </w:r>
      <w:r>
        <w:rPr>
          <w:rStyle w:val="CuerpodeltextoNegrita5"/>
        </w:rPr>
        <w:t xml:space="preserve"> TREINTA Y SEIS MIL NOVECIENTOS OCHENTA Y OCHO DÓLARES CON DIEZ CENTAVOS DE DÓLAR DE LOS ESTADOS UNIDOS DE AMÉRCIA (US$36,988.10),</w:t>
      </w:r>
      <w:r>
        <w:t xml:space="preserve"> valor que incl</w:t>
      </w:r>
      <w:r>
        <w:t>uye el Impuesto a la Transferencia de Bienes Muebles y a la Prestación de Servicios, de acuerdo al suministro efectuado por</w:t>
      </w:r>
      <w:r>
        <w:rPr>
          <w:rStyle w:val="CuerpodeltextoNegrita5"/>
        </w:rPr>
        <w:t xml:space="preserve"> EL CONTRATANTE</w:t>
      </w:r>
      <w:r>
        <w:t xml:space="preserve"> se compromete a cancelar de conformidad al servicio recibido y los términos establecidos en los Términos de Referenci</w:t>
      </w:r>
      <w:r>
        <w:t xml:space="preserve">a, por medio de la Unidad </w:t>
      </w:r>
      <w:r>
        <w:lastRenderedPageBreak/>
        <w:t>Financiera Institucional, dichos pagos serán efectuados conforme al suministro proporcionado por parte del CONTRATISTA, con base a la facturación que será presentada por EL CONTRATISTA, la que se pagará por</w:t>
      </w:r>
      <w:r>
        <w:rPr>
          <w:rStyle w:val="CuerpodeltextoNegrita5"/>
        </w:rPr>
        <w:t xml:space="preserve"> EL CONTRATANTE</w:t>
      </w:r>
      <w:r>
        <w:t xml:space="preserve"> dentro d</w:t>
      </w:r>
      <w:r>
        <w:t>e los sesenta días posteriores al retiro del quedan, previa presentación de Comprobante de Crédito Fiscal según corresponda y del Acta de Recepción del suministro, debidamente firmada y sellada por el Administrador del Contrato correspondiente y el Represe</w:t>
      </w:r>
      <w:r>
        <w:t>ntante del Contratista, todo en conformidad a Términos de Referencia y demás documentos que forman parte de este contrato, asimismo dichos precios quedan sujetos a cualquier impuesto, relativo a la prestación de servicios y/o adquisición de bienes muebles,</w:t>
      </w:r>
      <w:r>
        <w:t xml:space="preserve"> vigente durante la ejecución contractual. Por medio de Resoluciones Números 12301-NEX-2143-2007 y 12301-NEX-2150-2007, pronunciadas por la Dirección General de Impuestos Internos del Ministerio de Hacienda, en fechas tres y cuatro de diciembre de dos mil </w:t>
      </w:r>
      <w:r>
        <w:t>siete, respectivamente, EL MINISTERIO, ha sido designado agente de retención del Impuesto a la Transferencia de Bienes Muebles y a la Prestación de Servicios, por lo que se retendrá el Uno por ciento (1.00%) como anticipo al pago de este impuesto, sobre el</w:t>
      </w:r>
      <w:r>
        <w:t xml:space="preserve"> precio de los bienes que adquiera o de los servicios que le presten todos aquellos contribuyentes de dicho Impuesto, en toda factura igual o mayor a Cien Dólares de los Estados Unidos de América que se presente al cobro, en cumplimiento a lo que dispone e</w:t>
      </w:r>
      <w:r>
        <w:t>l artículo 162 del Código Tributario. Los derechos aduanales e impuestos pagados por EL CONTRATISTA deberán ser reembolsados por EL MINISTERIO.</w:t>
      </w:r>
      <w:r>
        <w:rPr>
          <w:rStyle w:val="CuerpodeltextoNegrita5"/>
        </w:rPr>
        <w:t xml:space="preserve"> </w:t>
      </w:r>
      <w:r>
        <w:rPr>
          <w:rStyle w:val="CuerpodeltextoNegrita6"/>
        </w:rPr>
        <w:t>QUINTA: COMPROMISOS DE EL CONTRATANTE Y PLAZO DE RECLAMOS:</w:t>
      </w:r>
      <w:r>
        <w:rPr>
          <w:rStyle w:val="CuerpodeltextoNegrita5"/>
        </w:rPr>
        <w:t xml:space="preserve"> EL CONTRATANTE</w:t>
      </w:r>
      <w:r>
        <w:t xml:space="preserve"> se compromete a coordinar mecanismos d</w:t>
      </w:r>
      <w:r>
        <w:t>e trabajo para proporcionar a EL CONTRATISTA la información y el apoyo logístico necesario, que permita el normal desarrollo de las actividades producto de este Contrato. Si se observa algún vicio, deficiencia, omisiones o acciones incorrectas durante el p</w:t>
      </w:r>
      <w:r>
        <w:t>lazo de ejecución contractual, el Administrador del Contrato correspondiente, con copia a la UACI, formulará por escrito posteriormente a la verificación del incumplimiento, el reclamo respectivo y pedirá la correcta prestación del servicio, de acuerdo a l</w:t>
      </w:r>
      <w:r>
        <w:t>o pactado contractualmente, lo cual deberá realizarse en un período máximo de cinco (5) días hábiles, salvo razones de caso fortuito o fuerza mayor. En todo caso, EL CONTRATISTA se compromete a subsanar, los vicios o deficiencias comprobadas en la prestaci</w:t>
      </w:r>
      <w:r>
        <w:t>ón del suministro objeto de éste Instrumento, en el plazo de quince (15) días hábiles, caso contrario se tendrá por incumplido el Contrato y se procederá de acuerdo a lo establecido en los incisos segundo y tercero del artículo 121 de la LACAP.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t>SEXTA: PROV</w:t>
      </w:r>
      <w:r>
        <w:rPr>
          <w:rStyle w:val="CuerpodeltextoNegrita8"/>
        </w:rPr>
        <w:t>ISIÓN DE PAGO</w:t>
      </w:r>
      <w:r>
        <w:rPr>
          <w:rStyle w:val="CuerpodeltextoNegrita7"/>
        </w:rPr>
        <w:t>.</w:t>
      </w:r>
      <w:r>
        <w:t xml:space="preserve"> Los recursos paxa el cumplimiento del compromiso adquirido en este Contrato serán con cargo a la disponibilidad presupuestaria verificada la correspondiente asignación por medio de la certificación </w:t>
      </w:r>
      <w:r>
        <w:lastRenderedPageBreak/>
        <w:t>de fondos 354/2019 de fecha dieciséis de oc</w:t>
      </w:r>
      <w:r>
        <w:t>tubre de dos mil diecinueve extendida, presupuestaria certificada por la Unidad Financiera Institucional para el presente proceso.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t>SEPTIMA: OBLIGACIONES DE LAS PARTES,</w:t>
      </w:r>
      <w:r>
        <w:t xml:space="preserve"> en forma expresa y terminante se obliga a proporcionar el servicio objeto del presente C</w:t>
      </w:r>
      <w:r>
        <w:t>ontrato, de acuerdo a lo establecido en las Cláusulas Primera y Tercera, garantizando que la calidad del servicio sea de acuerdo a lo ofertado y a las especificaciones requeridas, así como de conformidad a todos los documentos contractuales.</w:t>
      </w:r>
      <w:r>
        <w:rPr>
          <w:rStyle w:val="CuerpodeltextoNegrita7"/>
        </w:rPr>
        <w:t xml:space="preserve"> </w:t>
      </w:r>
      <w:r>
        <w:rPr>
          <w:rStyle w:val="CuerpodeltextoNegrita8"/>
        </w:rPr>
        <w:t>OCTAVA: GARANT</w:t>
      </w:r>
      <w:r>
        <w:rPr>
          <w:rStyle w:val="CuerpodeltextoNegrita8"/>
        </w:rPr>
        <w:t xml:space="preserve">ÍA DE CUMPLIMIENTO DE CONTRATO. </w:t>
      </w:r>
      <w:r>
        <w:t>Dentro de los diez (10) días hábiles subsiguientes a la notificación de la respectiva suscripción del Contrato,</w:t>
      </w:r>
      <w:r>
        <w:rPr>
          <w:rStyle w:val="CuerpodeltextoNegrita7"/>
        </w:rPr>
        <w:t xml:space="preserve"> EL CONTRATANTE</w:t>
      </w:r>
      <w:r>
        <w:t xml:space="preserve"> deberá presentar a favor de</w:t>
      </w:r>
      <w:r>
        <w:rPr>
          <w:rStyle w:val="CuerpodeltextoNegrita7"/>
        </w:rPr>
        <w:t xml:space="preserve"> EL CONTRATANTE,</w:t>
      </w:r>
      <w:r>
        <w:t xml:space="preserve"> en la Unidad de Adquisiciones y Contrataciones Instit</w:t>
      </w:r>
      <w:r>
        <w:t>ucional (UACI) del Ministerio de Gobernación y Desarrollo Territorial, la Garantía de Cumplimiento de Contrato, por un valor de</w:t>
      </w:r>
      <w:r>
        <w:rPr>
          <w:rStyle w:val="CuerpodeltextoNegrita7"/>
        </w:rPr>
        <w:t xml:space="preserve"> TRES MIL SEISCIENTOS NOVENTA Y OCHO DOLARES CON OCHENTA Y UN CENTAVOS DE DÓLAR DE LOS ESTADOS UNIDOS DE AMÉRICA (US$3,698.81), </w:t>
      </w:r>
      <w:r>
        <w:t>e</w:t>
      </w:r>
      <w:r>
        <w:t>quivalente al diez por ciento (10%) del valor total del Contrato, para asegurar el cumplimiento de todas las obligaciones emanadas del mismo, la cual deberá estar vigente a partir de la fecha de su presentación hasta un mínimo de treinta (30) días calendar</w:t>
      </w:r>
      <w:r>
        <w:t xml:space="preserve">io posteriores a la fecha de la finalización del contrato y de sus prórrogas si las hubiere. </w:t>
      </w:r>
      <w:r>
        <w:rPr>
          <w:rStyle w:val="CuerpodeltextoNegrita8"/>
        </w:rPr>
        <w:t>NOVENA: ADMINISTRACIÓN DEL CONTRATO:</w:t>
      </w:r>
      <w:r>
        <w:rPr>
          <w:rStyle w:val="CuerpodeltextoNegrita7"/>
        </w:rPr>
        <w:t xml:space="preserve"> La</w:t>
      </w:r>
      <w:r>
        <w:t xml:space="preserve"> administración del presente contrato según Acuerdo número CIENTO DIEZ antes citado, estará a cargo del Ing. José Fernando M</w:t>
      </w:r>
      <w:r>
        <w:t>ontano, Director de Infraestructura y Mantenimiento, quien será el responsable de velar por la buena marcha y el estricto cumplimiento de las obligaciones emanadas del presente contrato, con base a lo establecido en el Art. 82 BIS de la Ley de Adquisicione</w:t>
      </w:r>
      <w:r>
        <w:t>s y Contrataciones de la Administración Pública, y conforme a los Documentos Contractuales y sus anexos que emanan de la presente contratación, así como a la legislación pertinente, teniendo entre otras, como principales obligaciones las siguientes: a) Ver</w:t>
      </w:r>
      <w:r>
        <w:t>ificar el cumplimiento de las cláusulas contractuales; así como en los procesos de libre gestión, el cumplimiento de lo establecido en las órdenes de compra o contratos; b) Elaborar oportunamente los informes de avance de la ejecución de los contratos e in</w:t>
      </w:r>
      <w:r>
        <w:t>formar de ello tanto a la UACI como a la Unidad responsable de efectuar los pagos o en su defecto reportar los incumplimientos; c) Informar a la UACI, a efecto de que se gestione el informe al Titular para iniciar el procedimiento de aplicación de las sanc</w:t>
      </w:r>
      <w:r>
        <w:t>iones a los contratistas, por los incumplimientos de sus obligaciones; d) Conformar y mantener actualizado el expediente del seguimiento de la ejecución del contrato de tal manera que esté conformado por el conjunto de documentos necesarios que sustenten l</w:t>
      </w:r>
      <w:r>
        <w:t xml:space="preserve">as acciones realizadas desde que se emite la orden de inicio </w:t>
      </w:r>
      <w:r>
        <w:lastRenderedPageBreak/>
        <w:t>hasta la recepción final; e) Elaborar y suscribir conjuntamente con el contratista, las actas de recepción total o parcial de las adquisiciones o contrataciones de obras, bienes y servicios, de c</w:t>
      </w:r>
      <w:r>
        <w:t xml:space="preserve">onformidad a lo establecido en el Reglamento de esta Ley; f) Remitir a la UACI en un plazo máximo de tres días hábiles posteriores a la recepción de las obras, bienes y servicios, en cuyos contratos no existan incumplimientos, el acta respectiva; a fin de </w:t>
      </w:r>
      <w:r>
        <w:t>que ésta proceda a devolver al contratista las garantías correspondientes; g) Gestionar ante la UACI las órdenes de cambio o modificaciones a los contratos, una vez identificada tal necesidad; h) Gestionar los reclamos al contratista relacionados con falla</w:t>
      </w:r>
      <w:r>
        <w:t>s o desperfectos en obras, bienes o servicios, durante el período de vigencia de las garantías de servicio, e informar a la UACI de los incumplimientos en caso de no ser atendidos en los términos pactados; así como informar a la UACI sobre el vencimiento d</w:t>
      </w:r>
      <w:r>
        <w:t>e las misma para que ésta proceda a su devolución en un período no mayor de ocho días hábiles; i) Cualquier otra responsabilidad que establezca la Ley, su Reglamento y el Contrato.</w:t>
      </w:r>
      <w:r>
        <w:rPr>
          <w:rStyle w:val="CuerpodeltextoNegrita9"/>
        </w:rPr>
        <w:t xml:space="preserve"> </w:t>
      </w:r>
      <w:r>
        <w:rPr>
          <w:rStyle w:val="CuerpodeltextoNegritaa"/>
        </w:rPr>
        <w:t>DECIMA: TURISDICCIÓN Y LEGISLACIÓN APLICABLE.</w:t>
      </w:r>
      <w:r>
        <w:t xml:space="preserve"> Las Partes se someten, para l</w:t>
      </w:r>
      <w:r>
        <w:t>os efectos legales de este Contrato, a la legislación vigente de la República de El Salvador y en caso de acción judicial, señalan como su domicilio especial el de esta ciudad, a la jurisdicción de cuyos tribunales se someten.</w:t>
      </w:r>
      <w:r>
        <w:rPr>
          <w:rStyle w:val="CuerpodeltextoNegrita9"/>
        </w:rPr>
        <w:t xml:space="preserve"> </w:t>
      </w:r>
      <w:r>
        <w:rPr>
          <w:rStyle w:val="CuerpodeltextoNegritaa"/>
        </w:rPr>
        <w:t>DECIMA PRIMERA: SOLUCIÓN DE C</w:t>
      </w:r>
      <w:r>
        <w:rPr>
          <w:rStyle w:val="CuerpodeltextoNegritaa"/>
        </w:rPr>
        <w:t>ONFLICTOS.</w:t>
      </w:r>
      <w:r>
        <w:t xml:space="preserve"> Toda duda, discrepancia o conflicto que surgiere entre las partes durante la ejecución de este Contrato se resolverá de acuerdo a lo establecido en el Título VIII LACAP y en su caso, a la Ley de Mediación, Conciliación y Arbitraje.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DÉCIMA SEGUND</w:t>
      </w:r>
      <w:r>
        <w:rPr>
          <w:rStyle w:val="CuerpodeltextoNegritac"/>
        </w:rPr>
        <w:t>A: TERMINACIÓN DEL CONTRATO.</w:t>
      </w:r>
      <w:r>
        <w:t xml:space="preserve"> Ambas partes podrán dar por terminado el Contrato sin responsabilidad alguna de su parte por las siguientes razones: a) Por el vencimiento de su plazo; b) Por las causales establecidas en LACAP; c) Por incumplimiento de alguna </w:t>
      </w:r>
      <w:r>
        <w:t>de las partes de cualquiera de las obligaciones consignadas en este Contrato, siempre y cuando la contraparte le hubiere notificado su mcumplimiento y ésta no lo subsanase en el plazo de quince (15) días luego de recibida la notificación del mismo; y d) Po</w:t>
      </w:r>
      <w:r>
        <w:t>r común acuerdo entre las partes. Sin perjuicio de lo anterior, cualquiera de las partes podrá darlo por terminado, sin que medie causa alguna y sin derecho a indemnización o penalidad alguna, previa notificación por escrito a la otra parte con treinta (30</w:t>
      </w:r>
      <w:r>
        <w:t xml:space="preserve">) días de anticipación a la fecha efectiva de terminación. En este caso, a la fecha de terminación </w:t>
      </w:r>
      <w:r>
        <w:rPr>
          <w:rStyle w:val="CuerpodeltextoEspaciado-1pto"/>
        </w:rPr>
        <w:t>110</w:t>
      </w:r>
      <w:r>
        <w:t xml:space="preserve"> deberán existir saldos pendientes de cancelar por servicios previamente facturados;</w:t>
      </w:r>
      <w:r>
        <w:rPr>
          <w:rStyle w:val="CuerpodeltextoNegritab"/>
        </w:rPr>
        <w:t xml:space="preserve"> EL CONTRATANTE</w:t>
      </w:r>
      <w:r>
        <w:t xml:space="preserve"> se obliga a cancelar los servicios que EL CONTRATISTA </w:t>
      </w:r>
      <w:r>
        <w:t xml:space="preserve">le preste hasta el último día de vigencia del presente Contrato, y que posteriormente le sean facturados en el plazo y bajo las condiciones establecidas en este </w:t>
      </w:r>
      <w:r>
        <w:rPr>
          <w:rStyle w:val="CuerpodeltextoNegritab"/>
        </w:rPr>
        <w:t xml:space="preserve">Contrato. </w:t>
      </w:r>
      <w:r>
        <w:rPr>
          <w:rStyle w:val="CuerpodeltextoNegritac"/>
        </w:rPr>
        <w:t>DÉCIMA TERCERA: CESIÓN.</w:t>
      </w:r>
      <w:r>
        <w:t xml:space="preserve"> Queda expresamente prohibido a las partes contratantes traspa</w:t>
      </w:r>
      <w:r>
        <w:t xml:space="preserve">sar </w:t>
      </w:r>
      <w:r>
        <w:lastRenderedPageBreak/>
        <w:t xml:space="preserve">o ceder a cualquier título los derechos y obligaciones que emanan del presente Contrato. La trasgresión de esta disposición dará lugar a la caducidad del Contrato. </w:t>
      </w:r>
      <w:r>
        <w:rPr>
          <w:rStyle w:val="CuerpodeltextoNegritac"/>
        </w:rPr>
        <w:t>DÉCIMA CUARTA: CASO FORTUITO O FUERZA MAYOR.</w:t>
      </w:r>
      <w:r>
        <w:t xml:space="preserve"> EL CONTRATISTA se exime de la responsabilid</w:t>
      </w:r>
      <w:r>
        <w:t>ad de responder por cualquier atraso o incumplimiento en la operación debido a causa fuera de su control razonable, incluyendo caso fortuito, acciones gubernamentales, condiciones climáticas, huelgas o cualquier otra disputa laboral, motines, actos similar</w:t>
      </w:r>
      <w:r>
        <w:t>es.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DECIMA QUINTA: SANCIONES.</w:t>
      </w:r>
      <w:r>
        <w:t xml:space="preserve"> En caso de incumplimiento de las obligaciones emanadas del presente Contrato, las partes expresamente se someten a las sanciones que la Ley o el presente Contrato señale.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DÉCIMA SEXTA: MODIFICACIÓN Y PRORROGA.</w:t>
      </w:r>
      <w:r>
        <w:t xml:space="preserve"> El presente Cont</w:t>
      </w:r>
      <w:r>
        <w:t>rato podrá modificarse únicamente de común acuerdo entre las partes, especialmente por causas no imputables a EL CONTRATISTA por medio de una Resolución Modificativa, la cual formará parte integral de este Instrumento. Asimismo, podrá prorrogarse, previo a</w:t>
      </w:r>
      <w:r>
        <w:t>cuerdo escrito entre las partes.</w:t>
      </w:r>
      <w:r>
        <w:rPr>
          <w:rStyle w:val="CuerpodeltextoNegritab"/>
        </w:rPr>
        <w:t xml:space="preserve"> </w:t>
      </w:r>
      <w:r>
        <w:rPr>
          <w:rStyle w:val="CuerpodeltextoNegritac"/>
        </w:rPr>
        <w:t>DÉCIMA SEPTIMA: CONDICIONES DE PREVENCION Y ERRADICACION DEL TRABATO INFANTIL</w:t>
      </w:r>
      <w:r>
        <w:rPr>
          <w:rStyle w:val="CuerpodeltextoNegritab"/>
        </w:rPr>
        <w:t>:</w:t>
      </w:r>
      <w:r>
        <w:t xml:space="preserve"> Si durante la ejecución del contrato se comprobare por la Dirección General de Inspección de Trabajo del Ministerio</w:t>
      </w:r>
      <w:r>
        <w:br w:type="page"/>
      </w:r>
    </w:p>
    <w:p w:rsidR="00442FEB" w:rsidRDefault="00442FEB">
      <w:pPr>
        <w:framePr w:w="1116" w:h="1217" w:wrap="around" w:vAnchor="text" w:hAnchor="margin" w:x="2319" w:y="8519"/>
        <w:jc w:val="center"/>
        <w:rPr>
          <w:sz w:val="0"/>
          <w:szCs w:val="0"/>
        </w:rPr>
      </w:pPr>
    </w:p>
    <w:p w:rsidR="00442FEB" w:rsidRDefault="00A727E8">
      <w:pPr>
        <w:pStyle w:val="Cuerpodeltexto0"/>
        <w:shd w:val="clear" w:color="auto" w:fill="auto"/>
        <w:spacing w:before="0" w:after="95"/>
        <w:ind w:left="20" w:right="180"/>
      </w:pPr>
      <w:r>
        <w:t>de Trabajo y Previsión Social, incumplimiento por parte del contratista a la normativa que prohibe el trabajo infantil y de protección de l</w:t>
      </w:r>
      <w:r>
        <w:t>a persona adolescente trabajadora, se deberá tramitar el procedimiento sancionatorio que dispone el artículo 160 de la LACAP para determinar el cometimiento o no durante la ejecución del contrato de la conducta tipificada como causal de inhabilitación en e</w:t>
      </w:r>
      <w:r>
        <w:t>l artículo 158 Romano V literal b) de la LACAP relativa a la invocación de hechos falsos para oblener la adjudicación de la contratación. Se entenderá por comprobado el incumplimiento a la normativa por parte de la Dirección General de Inspección de Trabaj</w:t>
      </w:r>
      <w:r>
        <w:t>o, si durante el trámite de re inspección se determina que hubo subsanación por haber cometido una infracción, o por el contrario si se remitiere a procedimiento sancionatorio y en éste último caso deberá finalizar el procedimiento para conocer la resoluci</w:t>
      </w:r>
      <w:r>
        <w:t>ón final.</w:t>
      </w:r>
      <w:r>
        <w:rPr>
          <w:rStyle w:val="CuerpodeltextoNegritad"/>
        </w:rPr>
        <w:t xml:space="preserve"> </w:t>
      </w:r>
      <w:r>
        <w:rPr>
          <w:rStyle w:val="CuerpodeltextoNegritae"/>
        </w:rPr>
        <w:t>DECIMA OCTAVA: NOTIFICACIONES.</w:t>
      </w:r>
      <w:r>
        <w:t xml:space="preserve"> Todas las notificaciones entre las partes referentes a la ejecución de este Contrato, deberán hacerse por escrito y tendrán efecto a partir de su recepción en las direcciones que a continuación se indican: para EL M</w:t>
      </w:r>
      <w:r>
        <w:t xml:space="preserve">INISTERIO, Edificio Ministerio de Gobernación, Novena Calle Poniente y Quince Avenida Norte, Centro de Gobierno, San Salvador y para EL CONTRATISTA, en </w:t>
      </w:r>
      <w:r w:rsidR="00F24573" w:rsidRPr="00F24573">
        <w:rPr>
          <w:highlight w:val="red"/>
        </w:rPr>
        <w:t>DATOS CONFIDENCIALES SUPRIMIDOS</w:t>
      </w:r>
      <w:r w:rsidR="00F24573">
        <w:t xml:space="preserve"> </w:t>
      </w:r>
      <w:r>
        <w:t>San Salvador. En fe de lo cual firmamos el p</w:t>
      </w:r>
      <w:r>
        <w:t>resente contrato en la ciudad de San Salvador, a los seis días del mes de diciembre de dos mil diecinueve.</w:t>
      </w:r>
    </w:p>
    <w:p w:rsidR="00442FEB" w:rsidRDefault="00442FEB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</w:pPr>
    </w:p>
    <w:p w:rsidR="00F24573" w:rsidRDefault="00F24573">
      <w:pPr>
        <w:rPr>
          <w:sz w:val="2"/>
          <w:szCs w:val="2"/>
        </w:rPr>
        <w:sectPr w:rsidR="00F24573">
          <w:headerReference w:type="even" r:id="rId16"/>
          <w:headerReference w:type="default" r:id="rId17"/>
          <w:footerReference w:type="default" r:id="rId18"/>
          <w:headerReference w:type="first" r:id="rId19"/>
          <w:pgSz w:w="11905" w:h="16837"/>
          <w:pgMar w:top="1341" w:right="658" w:bottom="1496" w:left="1440" w:header="0" w:footer="3" w:gutter="0"/>
          <w:cols w:space="720"/>
          <w:noEndnote/>
          <w:titlePg/>
          <w:docGrid w:linePitch="360"/>
        </w:sectPr>
      </w:pPr>
    </w:p>
    <w:p w:rsidR="00F24573" w:rsidRDefault="00A727E8">
      <w:pPr>
        <w:pStyle w:val="Cuerpodeltexto20"/>
        <w:shd w:val="clear" w:color="auto" w:fill="auto"/>
        <w:spacing w:before="0" w:line="259" w:lineRule="exact"/>
        <w:jc w:val="center"/>
      </w:pPr>
      <w:r>
        <w:t xml:space="preserve"> MINISTERIO DE GOBERNACIÓN Y DESARROLLO TERRITORIAL.</w:t>
      </w: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F24573" w:rsidRDefault="00F24573">
      <w:pPr>
        <w:pStyle w:val="Cuerpodeltexto20"/>
        <w:shd w:val="clear" w:color="auto" w:fill="auto"/>
        <w:spacing w:before="0" w:line="259" w:lineRule="exact"/>
        <w:jc w:val="center"/>
      </w:pPr>
    </w:p>
    <w:p w:rsidR="00442FEB" w:rsidRDefault="00A727E8">
      <w:pPr>
        <w:pStyle w:val="Cuerpodeltexto20"/>
        <w:shd w:val="clear" w:color="auto" w:fill="auto"/>
        <w:spacing w:before="0" w:line="259" w:lineRule="exact"/>
        <w:jc w:val="center"/>
      </w:pPr>
      <w:r>
        <w:t xml:space="preserve"> EL CONTRATANTE</w:t>
      </w:r>
    </w:p>
    <w:p w:rsidR="00442FEB" w:rsidRDefault="00A727E8">
      <w:pPr>
        <w:pStyle w:val="Cuerpodeltexto20"/>
        <w:shd w:val="clear" w:color="auto" w:fill="auto"/>
        <w:spacing w:before="0" w:line="310" w:lineRule="exact"/>
        <w:jc w:val="center"/>
      </w:pPr>
      <w:r>
        <w:t>INVERSIONES, LTDA. DE C.V. EL CONTRATISTA</w:t>
      </w:r>
    </w:p>
    <w:sectPr w:rsidR="00442FEB">
      <w:type w:val="continuous"/>
      <w:pgSz w:w="11905" w:h="16837"/>
      <w:pgMar w:top="1600" w:right="845" w:bottom="4473" w:left="1579" w:header="0" w:footer="3" w:gutter="0"/>
      <w:cols w:num="2" w:space="720" w:equalWidth="0">
        <w:col w:w="4788" w:space="425"/>
        <w:col w:w="427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573" w:rsidRDefault="00F24573">
      <w:r>
        <w:separator/>
      </w:r>
    </w:p>
  </w:endnote>
  <w:endnote w:type="continuationSeparator" w:id="0">
    <w:p w:rsidR="00F24573" w:rsidRDefault="00F2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EB" w:rsidRDefault="00A727E8">
    <w:pPr>
      <w:pStyle w:val="Encabezamientoopiedepgina0"/>
      <w:framePr w:w="12182" w:h="144" w:wrap="none" w:vAnchor="text" w:hAnchor="page" w:x="-137" w:y="-1230"/>
      <w:shd w:val="clear" w:color="auto" w:fill="auto"/>
      <w:ind w:left="10861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BookAntiqua95pto"/>
      </w:rPr>
      <w:t>1</w:t>
    </w:r>
    <w:r>
      <w:rPr>
        <w:rStyle w:val="EncabezamientoopiedepginaBookAntiqua95p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EB" w:rsidRDefault="00A727E8">
    <w:pPr>
      <w:pStyle w:val="Encabezamientoopiedepgina0"/>
      <w:framePr w:w="12182" w:h="144" w:wrap="none" w:vAnchor="text" w:hAnchor="page" w:x="-137" w:y="-1230"/>
      <w:shd w:val="clear" w:color="auto" w:fill="auto"/>
      <w:ind w:left="10861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EncabezamientoopiedepginaBookAntiqua95pto"/>
      </w:rPr>
      <w:t>1</w:t>
    </w:r>
    <w:r>
      <w:rPr>
        <w:rStyle w:val="EncabezamientoopiedepginaBookAntiqua95p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573" w:rsidRDefault="00F24573"/>
  </w:footnote>
  <w:footnote w:type="continuationSeparator" w:id="0">
    <w:p w:rsidR="00F24573" w:rsidRDefault="00F24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31626" o:spid="_x0000_s2050" type="#_x0000_t136" style="position:absolute;margin-left:0;margin-top:0;width:699.95pt;height:82.35pt;rotation:315;z-index:-251655168;mso-position-horizontal:center;mso-position-horizontal-relative:margin;mso-position-vertical:center;mso-position-vertical-relative:margin" o:allowincell="f" fillcolor="#4472c4 [3204]" stroked="f">
          <v:fill opacity=".5"/>
          <v:textpath style="font-family:&quot;Microsoft Sans Serif&quot;;font-size:1pt" string="VERSION PUBLICA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31627" o:spid="_x0000_s2051" type="#_x0000_t136" style="position:absolute;margin-left:0;margin-top:0;width:699.95pt;height:82.35pt;rotation:315;z-index:-251653120;mso-position-horizontal:center;mso-position-horizontal-relative:margin;mso-position-vertical:center;mso-position-vertical-relative:margin" o:allowincell="f" fillcolor="#4472c4 [3204]" stroked="f">
          <v:fill opacity=".5"/>
          <v:textpath style="font-family:&quot;Microsoft Sans Serif&quot;;font-size:1pt" string="VERSION PUBLICA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31625" o:spid="_x0000_s2049" type="#_x0000_t136" style="position:absolute;margin-left:0;margin-top:0;width:699.95pt;height:82.35pt;rotation:315;z-index:-251657216;mso-position-horizontal:center;mso-position-horizontal-relative:margin;mso-position-vertical:center;mso-position-vertical-relative:margin" o:allowincell="f" fillcolor="#4472c4 [3204]" stroked="f">
          <v:fill opacity=".5"/>
          <v:textpath style="font-family:&quot;Microsoft Sans Serif&quot;;font-size:1pt" string="VERSION PUBLICA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31629" o:spid="_x0000_s2053" type="#_x0000_t136" style="position:absolute;margin-left:0;margin-top:0;width:699.95pt;height:82.35pt;rotation:315;z-index:-251649024;mso-position-horizontal:center;mso-position-horizontal-relative:margin;mso-position-vertical:center;mso-position-vertical-relative:margin" o:allowincell="f" fillcolor="#4472c4 [3204]" stroked="f">
          <v:fill opacity=".5"/>
          <v:textpath style="font-family:&quot;Microsoft Sans Serif&quot;;font-size:1pt" string="VERSION PUBLICA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31630" o:spid="_x0000_s2054" type="#_x0000_t136" style="position:absolute;margin-left:0;margin-top:0;width:699.95pt;height:82.35pt;rotation:315;z-index:-251646976;mso-position-horizontal:center;mso-position-horizontal-relative:margin;mso-position-vertical:center;mso-position-vertical-relative:margin" o:allowincell="f" fillcolor="#4472c4 [3204]" stroked="f">
          <v:fill opacity=".5"/>
          <v:textpath style="font-family:&quot;Microsoft Sans Serif&quot;;font-size:1pt" string="VERSION PUBLICA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573" w:rsidRDefault="00F2457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2731628" o:spid="_x0000_s2052" type="#_x0000_t136" style="position:absolute;margin-left:0;margin-top:0;width:699.95pt;height:82.35pt;rotation:315;z-index:-251651072;mso-position-horizontal:center;mso-position-horizontal-relative:margin;mso-position-vertical:center;mso-position-vertical-relative:margin" o:allowincell="f" fillcolor="#4472c4 [3204]" stroked="f">
          <v:fill opacity=".5"/>
          <v:textpath style="font-family:&quot;Microsoft Sans Serif&quot;;font-size:1pt" string="VERSION PUBLICA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F7F1F"/>
    <w:multiLevelType w:val="multilevel"/>
    <w:tmpl w:val="36AA7846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EB"/>
    <w:rsid w:val="00442FEB"/>
    <w:rsid w:val="00A727E8"/>
    <w:rsid w:val="00F2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4771F656"/>
  <w15:docId w15:val="{B7BEF0FA-CBE1-4C1A-815A-E86AF4AF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">
    <w:name w:val="Cuerpo del texto (4)_"/>
    <w:basedOn w:val="Fuentedeprrafopredeter"/>
    <w:link w:val="Cuerpodeltexto40"/>
    <w:rPr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EncabezamientoopiedepginaBookAntiqua95pto">
    <w:name w:val="Encabezamiento o pie de página + Book Antiqua;9.5 pto"/>
    <w:basedOn w:val="Encabezamientoopiedepgin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4BookAntiqua8ptoSincursiva">
    <w:name w:val="Cuerpo del texto (4) + Book Antiqua;8 pto;Sin cursiva"/>
    <w:basedOn w:val="Cuerpodeltexto4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Cuerpodeltexto4Espaciado2pto">
    <w:name w:val="Cuerpo del texto (4) + Espaciado 2 pto"/>
    <w:basedOn w:val="Cuerpodeltexto4"/>
    <w:rPr>
      <w:b w:val="0"/>
      <w:bCs w:val="0"/>
      <w:i w:val="0"/>
      <w:iCs w:val="0"/>
      <w:smallCaps w:val="0"/>
      <w:strike w:val="0"/>
      <w:spacing w:val="50"/>
      <w:sz w:val="13"/>
      <w:szCs w:val="13"/>
    </w:rPr>
  </w:style>
  <w:style w:type="character" w:customStyle="1" w:styleId="Cuerpodeltexto2Espaciado1pto">
    <w:name w:val="Cuerpo del texto (2) + Espaciado 1 pto"/>
    <w:basedOn w:val="Cuerpodeltexto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Cuerpodeltexto5">
    <w:name w:val="Cuerpo del texto (5)_"/>
    <w:basedOn w:val="Fuentedeprrafopredeter"/>
    <w:link w:val="Cuerpodeltexto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Cuerpodeltexto5MicrosoftSansSerif65ptoCursiva">
    <w:name w:val="Cuerpo del texto (5) + Microsoft Sans Serif;6.5 pto;Cursiva"/>
    <w:basedOn w:val="Cuerpodeltexto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CuerpodeltextoNegrita0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1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2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6">
    <w:name w:val="Cuerpo del texto (6)_"/>
    <w:basedOn w:val="Fuentedeprrafopredeter"/>
    <w:link w:val="Cuerpodeltexto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uerpodeltexto7">
    <w:name w:val="Cuerpo del texto (7)_"/>
    <w:basedOn w:val="Fuentedeprrafopredeter"/>
    <w:link w:val="Cuerpodeltexto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uerpodeltexto6MicrosoftSansSerif65ptoCursiva">
    <w:name w:val="Cuerpo del texto (6) + Microsoft Sans Serif;6.5 pto;Cursiva"/>
    <w:basedOn w:val="Cuerpodeltexto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Cuerpodeltexto61">
    <w:name w:val="Cuerpo del texto (6)"/>
    <w:basedOn w:val="Cuerpodeltexto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customStyle="1" w:styleId="CuerpodeltextoNegrita3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4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5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6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7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8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9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a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Negritab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c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CuerpodeltextoEspaciado-1pto">
    <w:name w:val="Cuerpo del texto + Espaciado -1 pto"/>
    <w:basedOn w:val="Cuerpodeltexto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CuerpodeltextoNegritad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e">
    <w:name w:val="Cuerpo del texto + Negrita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60" w:line="0" w:lineRule="atLeast"/>
    </w:pPr>
    <w:rPr>
      <w:i/>
      <w:iCs/>
      <w:sz w:val="13"/>
      <w:szCs w:val="13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60" w:line="277" w:lineRule="exact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960" w:line="0" w:lineRule="atLeast"/>
      <w:jc w:val="right"/>
    </w:pPr>
    <w:rPr>
      <w:rFonts w:ascii="Book Antiqua" w:eastAsia="Book Antiqua" w:hAnsi="Book Antiqua" w:cs="Book Antiqua"/>
      <w:i/>
      <w:iCs/>
      <w:sz w:val="12"/>
      <w:szCs w:val="12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before="960" w:line="425" w:lineRule="exact"/>
      <w:jc w:val="both"/>
    </w:pPr>
    <w:rPr>
      <w:rFonts w:ascii="Book Antiqua" w:eastAsia="Book Antiqua" w:hAnsi="Book Antiqua" w:cs="Book Antiqua"/>
      <w:sz w:val="22"/>
      <w:szCs w:val="2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60" w:after="60" w:line="0" w:lineRule="atLeast"/>
    </w:pPr>
    <w:rPr>
      <w:rFonts w:ascii="Book Antiqua" w:eastAsia="Book Antiqua" w:hAnsi="Book Antiqua" w:cs="Book Antiqua"/>
      <w:sz w:val="17"/>
      <w:szCs w:val="17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16" w:lineRule="exact"/>
      <w:ind w:hanging="360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245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4573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2457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5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3662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Q</dc:creator>
  <cp:lastModifiedBy>Vanessa Q</cp:lastModifiedBy>
  <cp:revision>1</cp:revision>
  <dcterms:created xsi:type="dcterms:W3CDTF">2020-05-02T21:46:00Z</dcterms:created>
  <dcterms:modified xsi:type="dcterms:W3CDTF">2020-05-02T22:05:00Z</dcterms:modified>
</cp:coreProperties>
</file>