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57F" w:rsidRDefault="00EC2FF1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3848100" cy="10191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7F" w:rsidRDefault="00EC2FF1">
      <w:pPr>
        <w:rPr>
          <w:color w:val="4472C4"/>
          <w:shd w:val="clear" w:color="auto" w:fill="FFFFFF"/>
        </w:rPr>
      </w:pPr>
      <w:r>
        <w:rPr>
          <w:b/>
          <w:bCs/>
          <w:color w:val="4472C4"/>
          <w:u w:val="single"/>
          <w:shd w:val="clear" w:color="auto" w:fill="FFFFFF"/>
        </w:rPr>
        <w:t>ADVERTENCIA:</w:t>
      </w:r>
      <w:r>
        <w:rPr>
          <w:color w:val="4472C4"/>
          <w:shd w:val="clear" w:color="auto" w:fill="FFFFFF"/>
        </w:rPr>
        <w:t>  el presente documento se encuentra editado, siendo una versión pública de su original, es decir, se han suprimido datos personales y confidenciales, tales como: número de identificación, domicilio, edad, estado familiar y otros detalles. en virtud del Art. 2 de la Constitución de la Republica, Arts. 6 lit. a y b, 24 y 30 de la Ley de Acceso a la Información Pública</w:t>
      </w:r>
    </w:p>
    <w:p w:rsidR="00EC2FF1" w:rsidRDefault="00EC2FF1">
      <w:pPr>
        <w:rPr>
          <w:color w:val="4472C4"/>
          <w:shd w:val="clear" w:color="auto" w:fill="FFFFFF"/>
        </w:rPr>
      </w:pPr>
    </w:p>
    <w:p w:rsidR="00EC2FF1" w:rsidRDefault="00EC2FF1">
      <w:pPr>
        <w:rPr>
          <w:color w:val="4472C4"/>
          <w:shd w:val="clear" w:color="auto" w:fill="FFFFFF"/>
        </w:rPr>
      </w:pPr>
    </w:p>
    <w:p w:rsidR="00EC2FF1" w:rsidRDefault="00EC2FF1">
      <w:pPr>
        <w:rPr>
          <w:color w:val="4472C4"/>
          <w:shd w:val="clear" w:color="auto" w:fill="FFFFFF"/>
        </w:rPr>
      </w:pPr>
    </w:p>
    <w:p w:rsidR="00EC2FF1" w:rsidRDefault="00EC2FF1">
      <w:pPr>
        <w:rPr>
          <w:sz w:val="2"/>
          <w:szCs w:val="2"/>
        </w:rPr>
      </w:pPr>
    </w:p>
    <w:p w:rsidR="00E7757F" w:rsidRDefault="00EC2FF1">
      <w:pPr>
        <w:pStyle w:val="Ttulo30"/>
        <w:keepNext/>
        <w:keepLines/>
        <w:shd w:val="clear" w:color="auto" w:fill="auto"/>
        <w:spacing w:before="60"/>
        <w:ind w:left="2100" w:right="1180" w:firstLine="0"/>
      </w:pPr>
      <w:bookmarkStart w:id="0" w:name="bookmark0"/>
      <w:r>
        <w:t>"CONTRATO DE SUMINISTRO DE REPETIDORAS TRONCALIZABLES Y LICENCIAS XPT SMART ONE PARA EL CUERPO DE BOMBEROS DE EL SALVADOR, DEPENDENCIA DEL MINISTERIO DE GOBERNACIÓN Y</w:t>
      </w:r>
      <w:bookmarkEnd w:id="0"/>
    </w:p>
    <w:p w:rsidR="00E7757F" w:rsidRDefault="00EC2FF1">
      <w:pPr>
        <w:pStyle w:val="Ttulo30"/>
        <w:keepNext/>
        <w:keepLines/>
        <w:shd w:val="clear" w:color="auto" w:fill="auto"/>
        <w:spacing w:before="0" w:after="362"/>
        <w:ind w:left="5100" w:right="3620"/>
      </w:pPr>
      <w:bookmarkStart w:id="1" w:name="bookmark1"/>
      <w:r>
        <w:t>DESARROLLO TERRITORIAL" No. MG-090/2019</w:t>
      </w:r>
      <w:bookmarkEnd w:id="1"/>
    </w:p>
    <w:p w:rsidR="00E7757F" w:rsidRDefault="00EC2FF1" w:rsidP="00EC2FF1">
      <w:pPr>
        <w:pStyle w:val="Cuerpodeltexto0"/>
        <w:shd w:val="clear" w:color="auto" w:fill="auto"/>
        <w:spacing w:before="0"/>
        <w:ind w:left="1100" w:right="660" w:firstLine="0"/>
        <w:rPr>
          <w:sz w:val="0"/>
          <w:szCs w:val="0"/>
        </w:rPr>
      </w:pPr>
      <w:r>
        <w:t>Nosotros,</w:t>
      </w:r>
      <w:r>
        <w:rPr>
          <w:rStyle w:val="CuerpodeltextoNegrita"/>
        </w:rPr>
        <w:t xml:space="preserve"> JORGE ARMANDO ALFARO QUINTANILLA,</w:t>
      </w:r>
      <w:r>
        <w:t xml:space="preserve"> </w:t>
      </w:r>
      <w:r>
        <w:rPr>
          <w:color w:val="FF0000"/>
          <w:lang w:val="es-ES"/>
        </w:rPr>
        <w:t>INFORMACION CONFIDENCIAL</w:t>
      </w:r>
      <w:r>
        <w:t xml:space="preserve">, con Documento Único de Identidad número: </w:t>
      </w:r>
      <w:r>
        <w:rPr>
          <w:color w:val="FF0000"/>
          <w:lang w:val="es-ES"/>
        </w:rPr>
        <w:t>INFORMACION CONFIDENCIAL</w:t>
      </w:r>
      <w:r>
        <w:t>; actuando por delegación en nombre del MINISTERIO</w:t>
      </w:r>
      <w:r>
        <w:t xml:space="preserve"> DE GOBERNACIÓN</w:t>
      </w:r>
      <w:r>
        <w:rPr>
          <w:rStyle w:val="CuerpodeltextoNegrita"/>
        </w:rPr>
        <w:t xml:space="preserve"> Y </w:t>
      </w:r>
      <w:r>
        <w:t>DESARROLLO TERRITORIAL, con base al Acuerdo Número</w:t>
      </w:r>
      <w:r>
        <w:rPr>
          <w:rStyle w:val="CuerpodeltextoNegrita"/>
        </w:rPr>
        <w:t xml:space="preserve"> NOVENTA Y OCHO,</w:t>
      </w:r>
      <w:r>
        <w:t xml:space="preserve"> emitido por el Órgano Ejecutivo en el Ramo de Gobernación y Desarrollo Territorial, en fecha dieciocho de noviembre de dos mil diecinueve, por el señor Ministro de Goberna</w:t>
      </w:r>
      <w:r>
        <w:t>ción y Desarrollo Territorial,</w:t>
      </w:r>
      <w:r>
        <w:rPr>
          <w:rStyle w:val="CuerpodeltextoNegrita"/>
        </w:rPr>
        <w:t xml:space="preserve"> MARIO EDGARDO DURÁN GAVIDIA,</w:t>
      </w:r>
      <w:r>
        <w:t xml:space="preserve"> mediante el cual acordó designarme, para que firme los contratos resultantes de los procesos de adquisición realizados por la Unidad de Adquisiciones y Contrataciones Institucional, independientem</w:t>
      </w:r>
      <w:r>
        <w:t>ente de la modalidad de adquisición que se haya seguido, siempre y cuando sea de las que regula la Ley de Adquisiciones y Contrataciones de la Administración Pública en lo sucesivo también denominada LACAP, y no sean de los contratos que debe firmar el Fis</w:t>
      </w:r>
      <w:r>
        <w:t>cal General; por lo que comparezco a otorgar el presente Instrumento, que en el transcurso del mismo me denominaré:</w:t>
      </w:r>
      <w:r>
        <w:rPr>
          <w:rStyle w:val="CuerpodeltextoNegrita"/>
        </w:rPr>
        <w:t xml:space="preserve"> "EL CONTRATANTE"</w:t>
      </w:r>
      <w:r>
        <w:t xml:space="preserve"> y por otra parte</w:t>
      </w:r>
      <w:r>
        <w:rPr>
          <w:rStyle w:val="CuerpodeltextoNegrita"/>
        </w:rPr>
        <w:t xml:space="preserve"> </w:t>
      </w:r>
      <w:r>
        <w:rPr>
          <w:color w:val="FF0000"/>
          <w:lang w:val="es-ES"/>
        </w:rPr>
        <w:t>INFORMACION CONFIDENCIAL</w:t>
      </w:r>
      <w:r>
        <w:t>, actuando en calidad de Presidente y Representante Legal, de la Sociedad</w:t>
      </w:r>
      <w:r>
        <w:rPr>
          <w:rStyle w:val="CuerpodeltextoNegrita"/>
        </w:rPr>
        <w:t xml:space="preserve"> RADIO COMUNICACIONES, SOCIEDAD ANONIMA DE CAPITAL VARIABLE,</w:t>
      </w:r>
      <w:r>
        <w:t xml:space="preserve"> que puede abreviarse</w:t>
      </w:r>
      <w:r>
        <w:rPr>
          <w:rStyle w:val="CuerpodeltextoNegrita"/>
        </w:rPr>
        <w:t xml:space="preserve"> RADIOCOM, S.A. DE C.V.,</w:t>
      </w:r>
      <w:r>
        <w:t xml:space="preserve"> del domicilio de S</w:t>
      </w:r>
      <w:r>
        <w:t xml:space="preserve">an Salvador, Departamento de San Salvador, con Número de Identificación Tributaria </w:t>
      </w:r>
      <w:r>
        <w:rPr>
          <w:color w:val="FF0000"/>
          <w:lang w:val="es-ES"/>
        </w:rPr>
        <w:t>INFORMACION CONFIDENCIAL</w:t>
      </w:r>
      <w:r>
        <w:rPr>
          <w:noProof/>
        </w:rPr>
        <w:drawing>
          <wp:inline distT="0" distB="0" distL="0" distR="0">
            <wp:extent cx="6934200" cy="10191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7F" w:rsidRDefault="00E7757F">
      <w:pPr>
        <w:rPr>
          <w:sz w:val="2"/>
          <w:szCs w:val="2"/>
        </w:rPr>
        <w:sectPr w:rsidR="00E7757F">
          <w:footerReference w:type="default" r:id="rId9"/>
          <w:type w:val="continuous"/>
          <w:pgSz w:w="11905" w:h="16837"/>
          <w:pgMar w:top="828" w:right="466" w:bottom="655" w:left="38" w:header="0" w:footer="3" w:gutter="0"/>
          <w:cols w:space="720"/>
          <w:noEndnote/>
          <w:titlePg/>
          <w:docGrid w:linePitch="360"/>
        </w:sectPr>
      </w:pPr>
    </w:p>
    <w:p w:rsidR="00E7757F" w:rsidRDefault="00EC2FF1">
      <w:pPr>
        <w:pStyle w:val="Cuerpodeltexto0"/>
        <w:shd w:val="clear" w:color="auto" w:fill="auto"/>
        <w:spacing w:before="0"/>
        <w:ind w:left="20" w:right="20" w:firstLine="0"/>
      </w:pPr>
      <w:r>
        <w:lastRenderedPageBreak/>
        <w:t>personería que acredito por medio de:</w:t>
      </w:r>
      <w:r>
        <w:rPr>
          <w:rStyle w:val="CuerpodeltextoNegrita2"/>
        </w:rPr>
        <w:t xml:space="preserve"> a)</w:t>
      </w:r>
      <w:r>
        <w:t xml:space="preserve"> Fotocopia certificada por Notario de Escritura Publica de Constitución de la Sociedad</w:t>
      </w:r>
      <w:r>
        <w:rPr>
          <w:rStyle w:val="CuerpodeltextoNegrita2"/>
        </w:rPr>
        <w:t xml:space="preserve"> RADIO COMUNICACIONES, SOCIEDAD ANONIMA DE CAPITAL VARIABLE,</w:t>
      </w:r>
      <w:r>
        <w:t xml:space="preserve"> que puede abreviarse</w:t>
      </w:r>
      <w:r>
        <w:rPr>
          <w:rStyle w:val="CuerpodeltextoNegrita2"/>
        </w:rPr>
        <w:t xml:space="preserve"> RADIOCOM, S.A. DE C.V</w:t>
      </w:r>
      <w:r>
        <w:rPr>
          <w:rStyle w:val="CuerpodeltextoNegrita2"/>
          <w:vertAlign w:val="subscript"/>
        </w:rPr>
        <w:t xml:space="preserve">v </w:t>
      </w:r>
      <w:r>
        <w:t>otorgada en la ciudad de San Salvador, a las once horas del día v</w:t>
      </w:r>
      <w:r>
        <w:t xml:space="preserve">eintiocho de marzo del año mil novecientos ochenta y nueve, ate los oficios notariales del licenciado </w:t>
      </w:r>
      <w:r>
        <w:rPr>
          <w:color w:val="FF0000"/>
          <w:lang w:val="es-ES"/>
        </w:rPr>
        <w:t>INFORMACION CONFIDENCIAL</w:t>
      </w:r>
      <w:r>
        <w:t>, inscrita al Número DIECISÉIS, del Libro SEISCIENTOS SESENTA, del Registro de Sociedades, en fecha doce de mayo de mil novecientos o</w:t>
      </w:r>
      <w:r>
        <w:t xml:space="preserve">chenta y nueve b) Fotocopia Certificada por Notario de Testimonio de Escritura Pública de Modificación de Pacto Social de </w:t>
      </w:r>
      <w:r>
        <w:rPr>
          <w:rStyle w:val="CuerpodeltextoNegrita2"/>
        </w:rPr>
        <w:t>RADIO COMUNICACIONES, SOCIEDAD ANONIMA DE CAPITAL VARIABLE,</w:t>
      </w:r>
      <w:r>
        <w:t xml:space="preserve"> que puede abreviarse</w:t>
      </w:r>
      <w:r>
        <w:rPr>
          <w:rStyle w:val="CuerpodeltextoNegrita2"/>
        </w:rPr>
        <w:t xml:space="preserve"> RADIOCOM, S.A. DE C.V.,</w:t>
      </w:r>
      <w:r>
        <w:t xml:space="preserve"> otorgada en la ciudad de San </w:t>
      </w:r>
      <w:r>
        <w:t xml:space="preserve">Salvador, a las diecinueve horas del día tres de diciembre de dos mil nueve, ante los oficios notariales de </w:t>
      </w:r>
      <w:r>
        <w:rPr>
          <w:color w:val="FF0000"/>
          <w:lang w:val="es-ES"/>
        </w:rPr>
        <w:t>INFORMACION CONFIDENCIAL</w:t>
      </w:r>
      <w:r>
        <w:t>, de la que consta que su naturaleza y Denominación son las que se han indicado, que su Domicilio es el de San Salvador</w:t>
      </w:r>
      <w:r>
        <w:t>, departamento de San Salvador, que su plazo es indefinido; que dentro de su finalidad se encuentra la explotación del ramo de radio comunicaciones y el establecimiento de talleres de reparación de aparatos de comunicación, que la Representación Judicial y</w:t>
      </w:r>
      <w:r>
        <w:t xml:space="preserve"> Extrajudicial y el uso de la Firma Social corresponde al Presidente de la Junta Directiva, actuando con amplias atribuciones para celebrar toda clase de actos y contratos además de contraer toda clase de obligaciones; inscrita en el Registro de Comercio b</w:t>
      </w:r>
      <w:r>
        <w:t xml:space="preserve">ajo el Número </w:t>
      </w:r>
      <w:r>
        <w:rPr>
          <w:color w:val="FF0000"/>
          <w:lang w:val="es-ES"/>
        </w:rPr>
        <w:t>INFORMACION CONFIDENCIAL</w:t>
      </w:r>
      <w:r>
        <w:t>;</w:t>
      </w:r>
      <w:r>
        <w:rPr>
          <w:rStyle w:val="CuerpodeltextoNegrita2"/>
        </w:rPr>
        <w:t xml:space="preserve"> c)</w:t>
      </w:r>
      <w:r>
        <w:t xml:space="preserve"> Copia Certificada por Notario de la Certificación de Credencial de elección de Junta Directiva de la Sociedad </w:t>
      </w:r>
      <w:r>
        <w:rPr>
          <w:rStyle w:val="CuerpodeltextoNegrita2"/>
        </w:rPr>
        <w:t xml:space="preserve">RADIOCOM, </w:t>
      </w:r>
      <w:r>
        <w:rPr>
          <w:rStyle w:val="CuerpodeltextoNegrita2"/>
        </w:rPr>
        <w:t>S.A. DE C.V.,</w:t>
      </w:r>
      <w:r>
        <w:t xml:space="preserve"> expedida por el Lic. </w:t>
      </w:r>
      <w:r>
        <w:rPr>
          <w:color w:val="FF0000"/>
          <w:lang w:val="es-ES"/>
        </w:rPr>
        <w:t>INFORMACION CONFIDENCIAL</w:t>
      </w:r>
      <w:r>
        <w:t>, en su calidad, de Secretario de la Junta General Ordinaria de Accionistas, de la que consta que el señor Víctor Adán Quijada Martínez resulto electo como Presidente de la Junta Directiva para un período d</w:t>
      </w:r>
      <w:r>
        <w:t>e SIETE años contados a partir de la fecha de inscripción en el Registro de Comercio, inscrita bajo el Número QUINCE del Libro TRES MIL SESENTA Y CINCO del Registro de Sociedades, el día cuatro de marzo de dos mil trece; Encontrando en la documentación ant</w:t>
      </w:r>
      <w:r>
        <w:t>es relacionada debidamente acreditada la existencia legal de la Sociedad y a través de la misma, se me confieren las suficientes facultades para comparecer a otorgar actos como el que ampara este instrumento, y que en lo sucesivo me denominare</w:t>
      </w:r>
      <w:r>
        <w:rPr>
          <w:rStyle w:val="CuerpodeltextoNegrita2"/>
        </w:rPr>
        <w:t xml:space="preserve"> "EL CONTRATI</w:t>
      </w:r>
      <w:r>
        <w:rPr>
          <w:rStyle w:val="CuerpodeltextoNegrita2"/>
        </w:rPr>
        <w:t>STA";</w:t>
      </w:r>
      <w:r>
        <w:t xml:space="preserve"> por lo que </w:t>
      </w:r>
      <w:r>
        <w:rPr>
          <w:rStyle w:val="CuerpodeltextoNegrita2"/>
        </w:rPr>
        <w:t>CONVENIMOS</w:t>
      </w:r>
      <w:r>
        <w:t xml:space="preserve"> en celebrar y al efecto así lo hacemos, con base en el proceso de</w:t>
      </w:r>
      <w:r>
        <w:br w:type="page"/>
      </w:r>
    </w:p>
    <w:p w:rsidR="00E7757F" w:rsidRDefault="00EC2FF1">
      <w:pPr>
        <w:framePr w:w="1472" w:h="385" w:hSpace="76" w:wrap="around" w:vAnchor="text" w:hAnchor="margin" w:x="8922" w:y="11345"/>
        <w:jc w:val="center"/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942975" cy="2381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7F" w:rsidRDefault="00EC2FF1">
      <w:pPr>
        <w:pStyle w:val="Cuerpodeltexto0"/>
        <w:shd w:val="clear" w:color="auto" w:fill="auto"/>
        <w:spacing w:before="0" w:after="275"/>
        <w:ind w:left="20" w:right="40" w:firstLine="0"/>
      </w:pPr>
      <w:r>
        <w:rPr>
          <w:rStyle w:val="CuerpodeltextoNegrita3"/>
        </w:rPr>
        <w:t>CONTRATACIÓN DIRECTA No. CD-MG-04/2019</w:t>
      </w:r>
      <w:r>
        <w:t xml:space="preserve"> denominada</w:t>
      </w:r>
      <w:r>
        <w:rPr>
          <w:rStyle w:val="CuerpodeltextoNegrita3"/>
        </w:rPr>
        <w:t xml:space="preserve"> "ADQUISICIÓN DE REPETIDORAS TRONCALIZABLES Y LICENCIAS XPT SMART ONE PARA EL CUERPO DE BOMBEROS DE EL SALVADOR, DEPENDENCIA DEL MINISTERIO DE GOBERNACIÓN Y DESARROLLO TERRITORIAL",</w:t>
      </w:r>
      <w:r>
        <w:t xml:space="preserve"> la Resolución número DIECINUEVE de autorización de Proceso Cont</w:t>
      </w:r>
      <w:r>
        <w:t>ratación Directa de fecha veintiséis de septiembre de dos mil diecinueve, mediante la cual el Titular del Ramo Autorizó el proceso de Contratación Directa del suministro a que se refiere el presente contrato por medio de la Resolución número TREINTA Y OCHO</w:t>
      </w:r>
      <w:r>
        <w:t xml:space="preserve"> de Adjudicación de fecha siete de noviembre de dos mil diecinueve, emitida por el Órgano Ejecutivo en el Ramo de Gobernación y Desarrollo Territorial, adjudicando en forma total a la Sociedad</w:t>
      </w:r>
      <w:r>
        <w:rPr>
          <w:rStyle w:val="CuerpodeltextoNegrita3"/>
        </w:rPr>
        <w:t xml:space="preserve"> RADIOCOM, S.A. DE C.V.,</w:t>
      </w:r>
      <w:r>
        <w:t xml:space="preserve"> el siguiente </w:t>
      </w:r>
      <w:r>
        <w:rPr>
          <w:rStyle w:val="CuerpodeltextoNegrita3"/>
        </w:rPr>
        <w:t>"CONTRATO DE SUMINISTRO DE</w:t>
      </w:r>
      <w:r>
        <w:rPr>
          <w:rStyle w:val="CuerpodeltextoNegrita3"/>
        </w:rPr>
        <w:t xml:space="preserve"> REPETIDORAS TRONCALIZABLES Y LICENCIAS XPT SMART ONE PARA EL CUERPO DE BOMBEROS DE EL SALVADOR, DEPENDENCIA DEL MINISTERIO DE GOBERNACIÓN Y DESARROLLO TERRITORIAL",</w:t>
      </w:r>
      <w:r>
        <w:t xml:space="preserve"> de conformidad a la Ley de Adquisiciones y Contrataciones de la Administración Pública en </w:t>
      </w:r>
      <w:r>
        <w:t>lo sucesivo también denominada, LACAP, a su Reglamento y en especial a las obligaciones, condiciones, pactos y renuncias siguientes:</w:t>
      </w:r>
      <w:r>
        <w:rPr>
          <w:rStyle w:val="CuerpodeltextoNegrita3"/>
        </w:rPr>
        <w:t xml:space="preserve"> </w:t>
      </w:r>
      <w:r>
        <w:rPr>
          <w:rStyle w:val="CuerpodeltextoNegrita4"/>
        </w:rPr>
        <w:t>PRIMERA: OBIETO Y ALCANCE DEL CONTRATO.</w:t>
      </w:r>
      <w:r>
        <w:t xml:space="preserve"> EL CONTRATISTA se compromete a proporcionar el. suministro de repetidoras troncaliz</w:t>
      </w:r>
      <w:r>
        <w:t>ables y licencias XPT SMART ONE para el Cuerpo de Bomberos de El Salvador, Dependencia del Ministerio de Gobernación y Desarrollo Territorial, de conformidad a su Oferta Técnica y Económica y a lo requerido en Términos de Referencia de Contratación Directa</w:t>
      </w:r>
      <w:r>
        <w:t>; según detalle siguiente: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2"/>
        <w:gridCol w:w="6214"/>
        <w:gridCol w:w="1487"/>
      </w:tblGrid>
      <w:tr w:rsidR="00E7757F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57F" w:rsidRDefault="00EC2FF1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right="400"/>
            </w:pPr>
            <w:r>
              <w:t>ITEM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57F" w:rsidRDefault="00EC2FF1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1700"/>
              <w:jc w:val="left"/>
            </w:pPr>
            <w:r>
              <w:t>DESCRIPCIÓN DEL BIEN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57F" w:rsidRDefault="00EC2FF1">
            <w:pPr>
              <w:pStyle w:val="Cuerpodeltexto30"/>
              <w:framePr w:wrap="notBeside" w:vAnchor="text" w:hAnchor="text" w:xAlign="center" w:y="1"/>
              <w:shd w:val="clear" w:color="auto" w:fill="auto"/>
              <w:spacing w:line="328" w:lineRule="exact"/>
              <w:jc w:val="center"/>
            </w:pPr>
            <w:r>
              <w:t>CANTIDA D</w:t>
            </w:r>
          </w:p>
        </w:tc>
      </w:tr>
      <w:tr w:rsidR="00E7757F">
        <w:tblPrEx>
          <w:tblCellMar>
            <w:top w:w="0" w:type="dxa"/>
            <w:bottom w:w="0" w:type="dxa"/>
          </w:tblCellMar>
        </w:tblPrEx>
        <w:trPr>
          <w:trHeight w:val="3524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57F" w:rsidRDefault="00EC2FF1">
            <w:pPr>
              <w:pStyle w:val="Cuerpodeltexto20"/>
              <w:framePr w:wrap="notBeside" w:vAnchor="text" w:hAnchor="text" w:xAlign="center" w:y="1"/>
              <w:shd w:val="clear" w:color="auto" w:fill="auto"/>
              <w:ind w:right="400"/>
            </w:pPr>
            <w:r>
              <w:rPr>
                <w:rStyle w:val="Cuerpodeltexto2Espaciado1pto"/>
              </w:rPr>
              <w:t xml:space="preserve">fiíOZ </w:t>
            </w:r>
            <w:r>
              <w:rPr>
                <w:rStyle w:val="Cuerpodeltexto211ptoSincursiva"/>
              </w:rPr>
              <w:t>1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57F" w:rsidRDefault="00EC2FF1">
            <w:pPr>
              <w:pStyle w:val="Cuerpodeltexto0"/>
              <w:framePr w:wrap="notBeside" w:vAnchor="text" w:hAnchor="text" w:xAlign="center" w:y="1"/>
              <w:shd w:val="clear" w:color="auto" w:fill="auto"/>
              <w:spacing w:before="0" w:line="349" w:lineRule="exact"/>
              <w:ind w:firstLine="0"/>
            </w:pPr>
            <w:r>
              <w:t>Repetidora Analoga/Digital marca HYTERA, modelo RD982Í-S, 16 canales 400-470 Mhz.</w:t>
            </w:r>
          </w:p>
          <w:p w:rsidR="00E7757F" w:rsidRDefault="00EC2FF1">
            <w:pPr>
              <w:pStyle w:val="Cuerpodeltexto0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846"/>
              </w:tabs>
              <w:spacing w:before="0" w:line="349" w:lineRule="exact"/>
              <w:ind w:left="500" w:firstLine="0"/>
              <w:jc w:val="left"/>
            </w:pPr>
            <w:r>
              <w:t>Frecuencia UHF 400-470 Mhz</w:t>
            </w:r>
          </w:p>
          <w:p w:rsidR="00E7757F" w:rsidRDefault="00EC2FF1">
            <w:pPr>
              <w:pStyle w:val="Cuerpodeltexto0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849"/>
              </w:tabs>
              <w:spacing w:before="0" w:line="349" w:lineRule="exact"/>
              <w:ind w:left="500" w:firstLine="0"/>
              <w:jc w:val="left"/>
            </w:pPr>
            <w:r>
              <w:t>Soporte para conexiones Back to Back ® Certificación IP54</w:t>
            </w:r>
          </w:p>
          <w:p w:rsidR="00E7757F" w:rsidRDefault="00EC2FF1">
            <w:pPr>
              <w:pStyle w:val="Cuerpodeltexto0"/>
              <w:framePr w:wrap="notBeside" w:vAnchor="text" w:hAnchor="text" w:xAlign="center" w:y="1"/>
              <w:shd w:val="clear" w:color="auto" w:fill="auto"/>
              <w:spacing w:before="0" w:line="349" w:lineRule="exact"/>
              <w:ind w:left="500" w:firstLine="0"/>
              <w:jc w:val="left"/>
            </w:pPr>
            <w:r>
              <w:t>® Potencia de 50 Watts continuos © Panel frontal integrado con control de repetidor ® Rápida auto detección entre análoga y digital</w:t>
            </w:r>
          </w:p>
          <w:p w:rsidR="00E7757F" w:rsidRDefault="00EC2FF1">
            <w:pPr>
              <w:pStyle w:val="Cuerpodeltexto0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846"/>
              </w:tabs>
              <w:spacing w:before="0" w:line="349" w:lineRule="exact"/>
              <w:ind w:left="500" w:firstLine="0"/>
              <w:jc w:val="left"/>
            </w:pPr>
            <w:r>
              <w:t>Encriptación avanzada de 128 Bits</w:t>
            </w:r>
          </w:p>
          <w:p w:rsidR="00E7757F" w:rsidRDefault="00EC2FF1">
            <w:pPr>
              <w:pStyle w:val="Cuerpodeltexto0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853"/>
              </w:tabs>
              <w:spacing w:before="0" w:line="349" w:lineRule="exact"/>
              <w:ind w:left="500" w:firstLine="0"/>
              <w:jc w:val="left"/>
            </w:pPr>
            <w:r>
              <w:t>Botones frontales programables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57F" w:rsidRDefault="00EC2FF1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jc w:val="left"/>
            </w:pPr>
            <w:r>
              <w:rPr>
                <w:rStyle w:val="Cuerpodeltexto211ptoSincursiva"/>
              </w:rPr>
              <w:t>3</w:t>
            </w:r>
            <w:r>
              <w:t xml:space="preserve"> Í</w:t>
            </w:r>
          </w:p>
        </w:tc>
      </w:tr>
    </w:tbl>
    <w:p w:rsidR="00E7757F" w:rsidRDefault="00EC2FF1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6199"/>
        <w:gridCol w:w="1472"/>
      </w:tblGrid>
      <w:tr w:rsidR="00E7757F">
        <w:tblPrEx>
          <w:tblCellMar>
            <w:top w:w="0" w:type="dxa"/>
            <w:bottom w:w="0" w:type="dxa"/>
          </w:tblCellMar>
        </w:tblPrEx>
        <w:trPr>
          <w:trHeight w:val="209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57F" w:rsidRDefault="00EC2FF1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lastRenderedPageBreak/>
              <w:t>,J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57F" w:rsidRDefault="00EC2FF1">
            <w:pPr>
              <w:pStyle w:val="Cuerpodeltexto0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33"/>
              </w:tabs>
              <w:spacing w:before="0" w:line="346" w:lineRule="exact"/>
            </w:pPr>
            <w:r>
              <w:t>Soporte para aplicaciones a terceros</w:t>
            </w:r>
          </w:p>
          <w:p w:rsidR="00E7757F" w:rsidRDefault="00EC2FF1">
            <w:pPr>
              <w:pStyle w:val="Cuerpodeltexto0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29"/>
              </w:tabs>
              <w:spacing w:before="0" w:line="346" w:lineRule="exact"/>
              <w:ind w:left="820"/>
              <w:jc w:val="left"/>
            </w:pPr>
            <w:r>
              <w:t>Pantalla digital de 2" TFT a color de alto desempeño</w:t>
            </w:r>
          </w:p>
          <w:p w:rsidR="00E7757F" w:rsidRDefault="00EC2FF1">
            <w:pPr>
              <w:pStyle w:val="Cuerpodeltexto0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58"/>
              </w:tabs>
              <w:spacing w:before="0" w:line="346" w:lineRule="exact"/>
              <w:ind w:left="80" w:firstLine="400"/>
              <w:jc w:val="left"/>
            </w:pPr>
            <w:r>
              <w:t>Bocina integrada de 1 Watt Interconectividad IP integrada y preparada para conectarse.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57F" w:rsidRDefault="00E7757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757F">
        <w:tblPrEx>
          <w:tblCellMar>
            <w:top w:w="0" w:type="dxa"/>
            <w:bottom w:w="0" w:type="dxa"/>
          </w:tblCellMar>
        </w:tblPrEx>
        <w:trPr>
          <w:trHeight w:val="104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57F" w:rsidRDefault="00EC2FF1">
            <w:pPr>
              <w:pStyle w:val="Cuerpodeltexto0"/>
              <w:framePr w:wrap="notBeside" w:vAnchor="text" w:hAnchor="text" w:xAlign="center" w:y="1"/>
              <w:shd w:val="clear" w:color="auto" w:fill="auto"/>
              <w:spacing w:before="0" w:after="120" w:line="240" w:lineRule="auto"/>
              <w:ind w:left="580" w:firstLine="0"/>
              <w:jc w:val="left"/>
            </w:pPr>
            <w:r>
              <w:t>2</w:t>
            </w:r>
          </w:p>
          <w:p w:rsidR="00E7757F" w:rsidRDefault="00EC2FF1">
            <w:pPr>
              <w:pStyle w:val="Cuerpodeltexto20"/>
              <w:framePr w:wrap="notBeside" w:vAnchor="text" w:hAnchor="text" w:xAlign="center" w:y="1"/>
              <w:shd w:val="clear" w:color="auto" w:fill="auto"/>
              <w:spacing w:before="120" w:line="240" w:lineRule="auto"/>
              <w:ind w:left="580"/>
              <w:jc w:val="left"/>
            </w:pPr>
            <w:r>
              <w:t>i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57F" w:rsidRDefault="00EC2FF1">
            <w:pPr>
              <w:pStyle w:val="Cuerpodeltexto0"/>
              <w:framePr w:wrap="notBeside" w:vAnchor="text" w:hAnchor="text" w:xAlign="center" w:y="1"/>
              <w:shd w:val="clear" w:color="auto" w:fill="auto"/>
              <w:spacing w:before="0" w:line="346" w:lineRule="exact"/>
              <w:ind w:firstLine="0"/>
            </w:pPr>
            <w:r>
              <w:t>Licencias xpt Trunking para mejora de repetidoras convencionales para ser utilizables en sistemas Smart One XPT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57F" w:rsidRDefault="00EC2FF1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rPr>
                <w:rStyle w:val="Cuerpodeltexto210ptoSincursiva"/>
                <w:vertAlign w:val="superscript"/>
              </w:rPr>
              <w:t>8</w:t>
            </w:r>
            <w:r>
              <w:t xml:space="preserve"> i &amp;</w:t>
            </w:r>
          </w:p>
        </w:tc>
      </w:tr>
      <w:tr w:rsidR="00E7757F">
        <w:tblPrEx>
          <w:tblCellMar>
            <w:top w:w="0" w:type="dxa"/>
            <w:bottom w:w="0" w:type="dxa"/>
          </w:tblCellMar>
        </w:tblPrEx>
        <w:trPr>
          <w:trHeight w:val="312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57F" w:rsidRDefault="00EC2FF1">
            <w:pPr>
              <w:pStyle w:val="Cuerpodeltexto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 w:firstLine="0"/>
              <w:jc w:val="left"/>
            </w:pPr>
            <w:r>
              <w:t>3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57F" w:rsidRDefault="00EC2FF1">
            <w:pPr>
              <w:pStyle w:val="Cuerpodeltexto0"/>
              <w:framePr w:wrap="notBeside" w:vAnchor="text" w:hAnchor="text" w:xAlign="center" w:y="1"/>
              <w:shd w:val="clear" w:color="auto" w:fill="auto"/>
              <w:spacing w:before="0" w:line="346" w:lineRule="exact"/>
              <w:ind w:firstLine="0"/>
            </w:pPr>
            <w:r>
              <w:t>Sistema de despacho HYTERA Smart One:</w:t>
            </w:r>
          </w:p>
          <w:p w:rsidR="00E7757F" w:rsidRDefault="00EC2FF1">
            <w:pPr>
              <w:pStyle w:val="Cuerpodeltexto0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833"/>
              </w:tabs>
              <w:spacing w:before="0" w:line="346" w:lineRule="exact"/>
            </w:pPr>
            <w:r>
              <w:t>Mejora de licencia del sistema actual SMART DISPATCH que posee la institución a SMART ONE XPT</w:t>
            </w:r>
          </w:p>
          <w:p w:rsidR="00E7757F" w:rsidRDefault="00EC2FF1">
            <w:pPr>
              <w:pStyle w:val="Cuerpodeltexto0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826"/>
              </w:tabs>
              <w:spacing w:before="0" w:line="346" w:lineRule="exact"/>
            </w:pPr>
            <w:r>
              <w:t>Tres licencias adicionales de despachador (para tener al final 4 despachadores operando simultáneamente)</w:t>
            </w:r>
          </w:p>
          <w:p w:rsidR="00E7757F" w:rsidRDefault="00EC2FF1">
            <w:pPr>
              <w:pStyle w:val="Cuerpodeltexto0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833"/>
              </w:tabs>
              <w:spacing w:before="0" w:line="346" w:lineRule="exact"/>
              <w:ind w:left="820"/>
              <w:jc w:val="left"/>
            </w:pPr>
            <w:r>
              <w:t>Incluye instalación, configuración y puesta en funcionamiento del sistema.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57F" w:rsidRDefault="00EC2FF1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jc w:val="left"/>
            </w:pPr>
            <w:r>
              <w:rPr>
                <w:rStyle w:val="Cuerpodeltexto211ptoSincursiva0"/>
              </w:rPr>
              <w:t>i</w:t>
            </w:r>
            <w:r>
              <w:t xml:space="preserve"> fo y-</w:t>
            </w:r>
          </w:p>
        </w:tc>
      </w:tr>
    </w:tbl>
    <w:p w:rsidR="00E7757F" w:rsidRDefault="00EC2FF1">
      <w:pPr>
        <w:framePr w:w="1422" w:h="320" w:wrap="around" w:hAnchor="margin" w:x="8942" w:y="2598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904875" cy="2000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7F" w:rsidRDefault="00EC2FF1">
      <w:pPr>
        <w:framePr w:w="1498" w:h="371" w:wrap="around" w:hAnchor="margin" w:x="8945" w:y="4394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952500" cy="2381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7F" w:rsidRDefault="00EC2FF1">
      <w:pPr>
        <w:pStyle w:val="Cuerpodeltexto0"/>
        <w:framePr w:w="9360" w:h="6395" w:wrap="notBeside" w:hAnchor="margin" w:x="-37" w:y="6610"/>
        <w:shd w:val="clear" w:color="auto" w:fill="auto"/>
        <w:spacing w:before="0"/>
        <w:ind w:left="20" w:right="20" w:firstLine="0"/>
      </w:pPr>
      <w:r>
        <w:t>EL CONTRATISTA responderá de acuerdo a los términos y condiciones contenidas en el presente Contrato, a la Oferta Técnica y Económica y sus</w:t>
      </w:r>
      <w:r>
        <w:t xml:space="preserve"> anexos, y a las Especificaciones Técnicas y Condiciones Generales establecidas en Términos de Referencia y sus anexos, que forman parte integral del presente Instrumento, especialmente por la calidad del suministro que brindará, y proporcionará todo aquel</w:t>
      </w:r>
      <w:r>
        <w:t>lo que sea necesario para la correcta prestación del mismo. Corresponderá al Administrador del Contrato, de conformidad a lo establecido en el Art. 82 Bis de la Ley de Adquisiciones y Contrataciones de la Administración Publica, velar por el fiel cumplimie</w:t>
      </w:r>
      <w:r>
        <w:t>nto de las obligaciones emanadas del presente Contrato, debiendo informar a la Unidad de Adquisiciones y Contrataciones Institucional, las omisiones o acciones incorrectas en la ejecución del mismo;</w:t>
      </w:r>
      <w:r>
        <w:rPr>
          <w:rStyle w:val="CuerpodeltextoNegrita0"/>
        </w:rPr>
        <w:t xml:space="preserve"> </w:t>
      </w:r>
      <w:r>
        <w:rPr>
          <w:rStyle w:val="CuerpodeltextoNegrita1"/>
        </w:rPr>
        <w:t>SEGUNDA: DOCUMENTOS CONTRACTUALES:</w:t>
      </w:r>
      <w:r>
        <w:t xml:space="preserve"> Los documentos a utili</w:t>
      </w:r>
      <w:r>
        <w:t>zar en el proceso de esta contratación se denominarán Documentos Contractuales, que formarán parte integral del Contrato, con igual fuerza obligatoria que éste y serán: a) Resoluciones número DIECINUEVE y TREINTA Y DOS antes citadas, b) Los Términos de Ref</w:t>
      </w:r>
      <w:r>
        <w:t>erencia y sus anexos; c) La Oferta Técnica y Económica de EL CONTRATISTA y sus documentos anexos; d) El Acuerdo de</w:t>
      </w:r>
    </w:p>
    <w:p w:rsidR="00E7757F" w:rsidRDefault="00EC2FF1">
      <w:pPr>
        <w:rPr>
          <w:sz w:val="2"/>
          <w:szCs w:val="2"/>
        </w:rPr>
      </w:pPr>
      <w:r>
        <w:br w:type="page"/>
      </w:r>
    </w:p>
    <w:p w:rsidR="00E7757F" w:rsidRDefault="00EC2FF1">
      <w:pPr>
        <w:pStyle w:val="Cuerpodeltexto0"/>
        <w:shd w:val="clear" w:color="auto" w:fill="auto"/>
        <w:spacing w:before="0"/>
        <w:ind w:left="20" w:right="20" w:firstLine="0"/>
      </w:pPr>
      <w:r>
        <w:lastRenderedPageBreak/>
        <w:t>Administrador del Contrato número CIENTO CUATRO , emitido por el Órgano Ejecutivo en el Ramo de Gobernación y Desarrollo Territorial, con f</w:t>
      </w:r>
      <w:r>
        <w:t>echa veintiséis de noviembre de dos mil diecinueve; e) La Garantía de Cumplimiento de Contrato; y f) Cualquier otro documento que emanare del presente Instrumento; en caso de controversia en la documentación que forma parte del presente Contrato, prevalece</w:t>
      </w:r>
      <w:r>
        <w:t>rá lo estipulado en el mismo.</w:t>
      </w:r>
      <w:r>
        <w:rPr>
          <w:rStyle w:val="CuerpodeltextoNegrita5"/>
        </w:rPr>
        <w:t xml:space="preserve"> </w:t>
      </w:r>
      <w:r>
        <w:rPr>
          <w:rStyle w:val="CuerpodeltextoNegrita6"/>
        </w:rPr>
        <w:t>TERCERA: PLAZO DEL CONTRATO:</w:t>
      </w:r>
      <w:r>
        <w:t xml:space="preserve"> El suministro del sistema de despacho, la configuración e instalación de las repetidoras en el sitio se realizará en el plazo máximo de sesenta días después de recibida la orden de inicio girada po</w:t>
      </w:r>
      <w:r>
        <w:t>r el Administrador de Contrato.</w:t>
      </w:r>
      <w:r>
        <w:rPr>
          <w:rStyle w:val="CuerpodeltextoNegrita5"/>
        </w:rPr>
        <w:t xml:space="preserve"> </w:t>
      </w:r>
      <w:r>
        <w:rPr>
          <w:rStyle w:val="CuerpodeltextoNegrita6"/>
        </w:rPr>
        <w:t>CUARTA: PRECIO Y FORMA DE PAGO:</w:t>
      </w:r>
      <w:r>
        <w:t xml:space="preserve"> El monto total del servicio objeto de este Contrato se establece en un monto de hasta</w:t>
      </w:r>
      <w:r>
        <w:rPr>
          <w:rStyle w:val="CuerpodeltextoNegrita5"/>
        </w:rPr>
        <w:t xml:space="preserve"> CINCUENTA Y SIETE MIL CUATROCIENTOS CINCUENTA Y CUATRO DÓLARES CON TREINTA Y TRES CENTAVOS DE DÓLAR DE LOS</w:t>
      </w:r>
      <w:r>
        <w:rPr>
          <w:rStyle w:val="CuerpodeltextoNegrita5"/>
        </w:rPr>
        <w:t xml:space="preserve"> ESTADOS UNIDOS DE AMÉRICA, (US$57,454.33), </w:t>
      </w:r>
      <w:r>
        <w:t>valor que incluye el Impuesto a la Transferencia de Bienes Muebles y a la Prestación de Servicios, de acuerdo al suministro efectuado por</w:t>
      </w:r>
      <w:r>
        <w:rPr>
          <w:rStyle w:val="CuerpodeltextoNegrita5"/>
        </w:rPr>
        <w:t xml:space="preserve"> EL CONTRATANTE</w:t>
      </w:r>
      <w:r>
        <w:t xml:space="preserve"> se compromete a cancelar de conformidad al servicio recibid</w:t>
      </w:r>
      <w:r>
        <w:t>o y los términos establecidos en los Términos de Referencia, por medio de la Unidad Financiera Institucional, dichos pagos serán efectuados conforme al suministro proporcionado por parte del CONTRATISTA, con base a la facturación que será presentada por EL</w:t>
      </w:r>
      <w:r>
        <w:t xml:space="preserve"> CONTRATISTA, la que se pagará por</w:t>
      </w:r>
      <w:r>
        <w:rPr>
          <w:rStyle w:val="CuerpodeltextoNegrita5"/>
        </w:rPr>
        <w:t xml:space="preserve"> EL CONTRATANTE</w:t>
      </w:r>
      <w:r>
        <w:t xml:space="preserve"> dentro de los sesenta días posteriores al retiro del quedan, previa presentación de Comprobante de Crédito Fiscal según corresponda y del Acta de Recepción del suministro, debidamente firmada y sellada por </w:t>
      </w:r>
      <w:r>
        <w:t xml:space="preserve">el Administrador del Contrato correspondiente y el Representante del Contratista, todo en conformidad a Términos de Referencia y demás documentos que forman parte de este contrato, asimismo dichos precios quedan sujetos a cualquier impuesto, relativo a la </w:t>
      </w:r>
      <w:r>
        <w:t xml:space="preserve">prestación de servicios y/o adquisición de bienes muebles, vigente durante la ejecución contractual. Por medio de Resoluciones Números 12301-NEX-2143-2007 y 12301-NEX-2150-2007, pronunciadas por la Dirección General de Impuestos Internos del Ministerio de </w:t>
      </w:r>
      <w:r>
        <w:t>Hacienda, en fechas tres y cuatro de diciembre de dos mil siete, respectivamente, EL MINISTERIO, ha sido designado agente de retención del Impuesto a la Transferencia de Bienes Muebles y a la Prestación de Servicios, por lo que se retendrá el Uno por cient</w:t>
      </w:r>
      <w:r>
        <w:t>o (1.00%) como anticipo al pago de este impuesto, sobre el precio de los bienes que adquiera o de los servicios que le presten todos aquellos contribuyentes de dicho Impuesto, en toda factura igual o mayor a Cien Dólares de los Estados Unidos de América qu</w:t>
      </w:r>
      <w:r>
        <w:t>e se presente al cobro, en cumplimiento a lo que dispone el artículo 162 del Código Tributario. Los derechos aduanales e impuestos pagados por EL CONTRATISTA deberán ser reembolsados por EL MINISTERIO.</w:t>
      </w:r>
      <w:r>
        <w:rPr>
          <w:rStyle w:val="CuerpodeltextoNegrita7"/>
        </w:rPr>
        <w:t xml:space="preserve"> </w:t>
      </w:r>
      <w:r>
        <w:rPr>
          <w:rStyle w:val="CuerpodeltextoNegrita8"/>
        </w:rPr>
        <w:lastRenderedPageBreak/>
        <w:t>QUINTA: COMPROMISOS DE EL CONTRATANTE Y PLAZO DE RECLA</w:t>
      </w:r>
      <w:r>
        <w:rPr>
          <w:rStyle w:val="CuerpodeltextoNegrita8"/>
        </w:rPr>
        <w:t>MOS:</w:t>
      </w:r>
      <w:r>
        <w:rPr>
          <w:rStyle w:val="CuerpodeltextoNegrita7"/>
        </w:rPr>
        <w:t xml:space="preserve"> EL CONTRATANTE</w:t>
      </w:r>
      <w:r>
        <w:t xml:space="preserve"> se compromete a coordinar mecanismos de trabajo para proporcionar a EL CONTRATISTA la información y el apoyo logístico necesario, que permita el normal desarrollo de las actividades producto de este Contrato. Si se observa algún vicio, </w:t>
      </w:r>
      <w:r>
        <w:t xml:space="preserve">deficiencia, omisiones o acciones incorrectas durante el plazo de ejecución contractual, el Administrador del Contrato correspondiente, con copia a la UACI, formulará por escrito posteriormente a la verificación del incumplimiento, el reclamo respectivo y </w:t>
      </w:r>
      <w:r>
        <w:t>pedirá la correcta prestación del servicio, de acuerdo a lo pactado contractualmente, lo cual deberá realizarse en un periodo máximo de cinco (5) días hábiles, salvo razones de caso fortuito o fuerza mayor. En todo caso, EL CONTRATISTA se compromete a subs</w:t>
      </w:r>
      <w:r>
        <w:t>anar, los vicios o deficiencias comprobadas en la prestación del suministro objeto de éste Instrumento, en el plazo de quince (15) días hábiles, caso contrario se tendrá por incumplido el Contrato y se procederá de acuerdo a lo establecido en los incisos s</w:t>
      </w:r>
      <w:r>
        <w:t>egundo y tercero del artículo 121 de la LACAP.</w:t>
      </w:r>
      <w:r>
        <w:rPr>
          <w:rStyle w:val="CuerpodeltextoNegrita7"/>
        </w:rPr>
        <w:t xml:space="preserve"> </w:t>
      </w:r>
      <w:r>
        <w:rPr>
          <w:rStyle w:val="CuerpodeltextoNegrita8"/>
        </w:rPr>
        <w:t>SEXTA: PROVISIÓN DE PAGO</w:t>
      </w:r>
      <w:r>
        <w:rPr>
          <w:rStyle w:val="CuerpodeltextoNegrita7"/>
        </w:rPr>
        <w:t>.</w:t>
      </w:r>
      <w:r>
        <w:t xml:space="preserve"> Los recursos para el cumplimiento del compromiso adquirido en este Contrato serán con cargo a la disponibilidad presupuestaria verificada la correspondiente asignación por medio de la</w:t>
      </w:r>
      <w:r>
        <w:t xml:space="preserve"> certificación de fondos 259/2019 de fecha veintinueve de julio de dos mil diecinueve extendida, presupuestaria certificada por la Unidad Financiera Institucional para el presente proceso.</w:t>
      </w:r>
      <w:r>
        <w:rPr>
          <w:rStyle w:val="CuerpodeltextoNegrita7"/>
        </w:rPr>
        <w:t xml:space="preserve"> </w:t>
      </w:r>
      <w:r>
        <w:rPr>
          <w:rStyle w:val="CuerpodeltextoNegrita8"/>
        </w:rPr>
        <w:t>SEPTIMA: OBLIGACIONES DE LAS PARTES,</w:t>
      </w:r>
      <w:r>
        <w:t xml:space="preserve"> en forma expresa y terminante </w:t>
      </w:r>
      <w:r>
        <w:t>se obliga a proporcionar el servicio objeto del presente Contrato, de acuerdo a lo establecido en las Cláusulas Primera y Tercera, garantizando que la calidad del servicio sea de acuerdo a lo ofertado y a las especificaciones requeridas, así como de confor</w:t>
      </w:r>
      <w:r>
        <w:t>midad a todos los documentos contractuales.</w:t>
      </w:r>
      <w:r>
        <w:rPr>
          <w:rStyle w:val="CuerpodeltextoNegrita7"/>
        </w:rPr>
        <w:t xml:space="preserve"> </w:t>
      </w:r>
      <w:r>
        <w:rPr>
          <w:rStyle w:val="CuerpodeltextoNegrita8"/>
        </w:rPr>
        <w:t>OCTAVA: GARANTÍA DE CUMPLIMIENTO DE CONTRATO.</w:t>
      </w:r>
      <w:r>
        <w:t xml:space="preserve"> Dentro de los diez (10) días hábiles subsiguientes a la notificación de la respectiva suscripción del Contrato,</w:t>
      </w:r>
      <w:r>
        <w:rPr>
          <w:rStyle w:val="CuerpodeltextoNegrita7"/>
        </w:rPr>
        <w:t xml:space="preserve"> EL CONTRATANTE</w:t>
      </w:r>
      <w:r>
        <w:t xml:space="preserve"> deberá presentar a favor de</w:t>
      </w:r>
      <w:r>
        <w:rPr>
          <w:rStyle w:val="CuerpodeltextoNegrita7"/>
        </w:rPr>
        <w:t xml:space="preserve"> EL CONTRATA</w:t>
      </w:r>
      <w:r>
        <w:rPr>
          <w:rStyle w:val="CuerpodeltextoNegrita7"/>
        </w:rPr>
        <w:t>NTE,</w:t>
      </w:r>
      <w:r>
        <w:t xml:space="preserve"> en la Unidad de Adquisiciones y Contrataciones Institucional (UACI) del Ministerio de Gobernación y Desarrollo Territorial, la Garantía de Cumplimiento de</w:t>
      </w:r>
    </w:p>
    <w:p w:rsidR="00E7757F" w:rsidRDefault="00EC2FF1">
      <w:pPr>
        <w:pStyle w:val="Cuerpodeltexto0"/>
        <w:shd w:val="clear" w:color="auto" w:fill="auto"/>
        <w:spacing w:before="0"/>
        <w:ind w:left="20" w:right="20" w:firstLine="0"/>
      </w:pPr>
      <w:r>
        <w:t>Contrato, por un valor de</w:t>
      </w:r>
      <w:r>
        <w:rPr>
          <w:rStyle w:val="CuerpodeltextoNegrita9"/>
        </w:rPr>
        <w:t xml:space="preserve"> CINCO MIL SETECIENTOS CUARENTA Y CINCO DOLARES CON CUARENTA Y TRES CEN</w:t>
      </w:r>
      <w:r>
        <w:rPr>
          <w:rStyle w:val="CuerpodeltextoNegrita9"/>
        </w:rPr>
        <w:t>TAVOS DE DÓLAR DE LOS ESTADOS UNIDOS DE AMÉRICA</w:t>
      </w:r>
      <w:r>
        <w:t xml:space="preserve"> ($5,745.43), equivalente al diez por ciento (10%) del valor total del Contrato, para asegurar el cumplimiento de todas las obligaciones emanadas del mismo, la cual deberá estar vigente a partir de la fecha de</w:t>
      </w:r>
      <w:r>
        <w:t xml:space="preserve"> su presentación hasta un mínimo de treinta (30) días calendario posteriores a la fecha de la finalización del contrato y de sus prórrogas si las hubiere.</w:t>
      </w:r>
      <w:r>
        <w:rPr>
          <w:rStyle w:val="CuerpodeltextoNegrita9"/>
        </w:rPr>
        <w:t xml:space="preserve"> </w:t>
      </w:r>
      <w:r>
        <w:rPr>
          <w:rStyle w:val="CuerpodeltextoNegritaa"/>
        </w:rPr>
        <w:t>NOVENA: ADMINISTRACIÓN DEL CONTRATO:</w:t>
      </w:r>
      <w:r>
        <w:t xml:space="preserve"> La administración del presente contrato según Acuerdo número CIE</w:t>
      </w:r>
      <w:r>
        <w:t xml:space="preserve">NTO </w:t>
      </w:r>
      <w:r>
        <w:lastRenderedPageBreak/>
        <w:t>CUATRO antes citado, estará a cargo del Ing. Edwin Mauricio Chavarria Iglesias, Director General del Cuerpo de Bomberos de El Salvador, quien será el responsable de velar por la buena marcha y el estricto cumplimiento de las obligaciones emanadas del p</w:t>
      </w:r>
      <w:r>
        <w:t>resente contrato, con base a lo establecido en el Art. 82 BIS de la Ley de Adquisiciones y Contrataciones de la Administración Pública, y conforme a los Documentos Contractuales y sus anexos que emanan de la presente contratación, así como a la legislación</w:t>
      </w:r>
      <w:r>
        <w:t xml:space="preserve"> pertinente, teniendo entre otras, como principales obligaciones las siguientes: a) Verificar el cumplimiento de las cláusulas contractuales; asi como en los procesos de libre gestión, el cumplimiento de lo establecido en las órdenes de compra o contratos;</w:t>
      </w:r>
      <w:r>
        <w:t xml:space="preserve"> b) Elaborar oportunamente los informes de avance de la ejecución de los contratos e informal' de ello tanto a la UACI como a la Unidad responsable de efectuar los pagos o en su defecto reportar los incumplimientos; c) Informar a la UACI, a efecto de que s</w:t>
      </w:r>
      <w:r>
        <w:t>e gestione el informe al Titular para iniciar el procedimiento de aplicación de las sanciones a los contratistas, por los incumplimientos de sus obligaciones; d) Conformar y mantener actualizado el expediente del seguimiento de la ejecución del contrato de</w:t>
      </w:r>
      <w:r>
        <w:t xml:space="preserve"> tal manera que esté conformado por el conjunto de documentos necesarios que sustenten las acciones realizadas desde que se emite la orden de inicio hasta la recepción final; e) Elaborar y suscribir conjuntamente con el contratista, las actas de recepción </w:t>
      </w:r>
      <w:r>
        <w:t>total o parcial de las adquisiciones o contrataciones de obras, bienes y servicios, de conformidad a lo establecido en el Reglamento de esta Ley; f) Remitir a la UACI en un plazo máximo de tres días hábiles posteriores a la recepción de las obras, bienes y</w:t>
      </w:r>
      <w:r>
        <w:t xml:space="preserve"> servicios, en cuyos contratos no existan incumplimientos, el acta respectiva; a fin de que ésta proceda a devolver al contratista las garantías correspondientes; g) Gestionar ante la UACI las órdenes de cambio o modificaciones a los contratos, una vez ide</w:t>
      </w:r>
      <w:r>
        <w:t>ntificada tal necesidad; h) Gestionar los reclamos al contratista relacionados con fallas o desperfectos en obras, bienes o servicios, durante el período de vigencia de las garantías de servicio, e informar a la UACI de los incumplimientos en caso de no se</w:t>
      </w:r>
      <w:r>
        <w:t xml:space="preserve">r atendidos en los términos pactados; así como informar a la UACI sobre el vencimiento de las misma para que ésta proceda a su devolución en un período no mayor de ocho días hábiles; i) Cualquier otra responsabilidad que establezca la Ley, su Reglamento y </w:t>
      </w:r>
      <w:r>
        <w:t>el Contrato.</w:t>
      </w:r>
      <w:r>
        <w:rPr>
          <w:rStyle w:val="CuerpodeltextoNegritab"/>
        </w:rPr>
        <w:t xml:space="preserve"> </w:t>
      </w:r>
      <w:r>
        <w:rPr>
          <w:rStyle w:val="CuerpodeltextoNegritac"/>
        </w:rPr>
        <w:t>DECIMA: TURISPICCIÓN Y LEGISLACIÓN APLICABLE,</w:t>
      </w:r>
      <w:r>
        <w:t xml:space="preserve"> Las Partes se someten, para los efectos legales de este Contrato, a la legislación vigente de la República de El Salvador y en caso de acción judicial, señalan como su domicilio especial el de esta</w:t>
      </w:r>
      <w:r>
        <w:t xml:space="preserve"> ciudad, a la jurisdicción de cuyos tribunales se someten.</w:t>
      </w:r>
      <w:r>
        <w:rPr>
          <w:rStyle w:val="CuerpodeltextoNegritab"/>
        </w:rPr>
        <w:t xml:space="preserve"> </w:t>
      </w:r>
      <w:r>
        <w:rPr>
          <w:rStyle w:val="CuerpodeltextoNegritac"/>
        </w:rPr>
        <w:t>DECIMA PRIMERA: SOLUCIÓN DE CONFLICTOS,</w:t>
      </w:r>
      <w:r>
        <w:t xml:space="preserve"> Toda duda, discrepancia o conflicto que surgiere entre las partes durante la ejecución de este Contrato se resolverá de acuerdo </w:t>
      </w:r>
      <w:r>
        <w:lastRenderedPageBreak/>
        <w:t>a lo establecido en el Título</w:t>
      </w:r>
      <w:r>
        <w:t xml:space="preserve"> VIII LACAP y en su caso, a la Ley de Mediación, Conciliación y Arbitraje.</w:t>
      </w:r>
      <w:r>
        <w:rPr>
          <w:rStyle w:val="CuerpodeltextoNegritab"/>
        </w:rPr>
        <w:t xml:space="preserve"> </w:t>
      </w:r>
      <w:r>
        <w:rPr>
          <w:rStyle w:val="CuerpodeltextoNegritac"/>
        </w:rPr>
        <w:t xml:space="preserve">DÉCIMA SEGUNDA: TERMINACIÓN DEL CONTRATO. </w:t>
      </w:r>
      <w:r>
        <w:t xml:space="preserve">Ambas partes podrán dar por terminado el Contrato sin responsabilidad alguna de su parte por las siguientes razones: a) Por el vencimiento </w:t>
      </w:r>
      <w:r>
        <w:t>de su plazo; b) Por las causales establecidas en LACAP; c) Por incum</w:t>
      </w:r>
      <w:r>
        <w:t>plimiento de alguna de las partes de cualquiera de las obligaciones consignadas en este Contrato, siempre y cuando la contraparte le hubiere notificado su incumplimiento y ésta no lo subs</w:t>
      </w:r>
      <w:r>
        <w:t>anase en el plazo de quince (15) días luego de recibida la notificación del mismo; y d) Por común acuerdo entre las partes. Sin perjuicio de lo anterior, cualquiera de las partes podrá darlo por terminado, sin que medie causa alguna y sin derecho a indemni</w:t>
      </w:r>
      <w:r>
        <w:t>zación o penalidad alguna, previa notificación por escrito a la otra parte con treinta (30) días de anticipación a la fecha efectiva de terminación. En este caso, a la fecha de terminación no deberán existir saldos pendientes de cancelar por servicios prev</w:t>
      </w:r>
      <w:r>
        <w:t>iamente facturados;</w:t>
      </w:r>
      <w:r>
        <w:rPr>
          <w:rStyle w:val="CuerpodeltextoNegritab"/>
        </w:rPr>
        <w:t xml:space="preserve"> EL CONTRATANTE</w:t>
      </w:r>
      <w:r>
        <w:t xml:space="preserve"> se obliga a cancelar los servicios que EL CONTRATISTA le preste hasta el último día de vigencia del presente Contrato, y que posteriormente le sean facturados en el plazo y bajo las condiciones establecidas en este Contra</w:t>
      </w:r>
      <w:r>
        <w:t>to.</w:t>
      </w:r>
      <w:r>
        <w:rPr>
          <w:rStyle w:val="CuerpodeltextoNegritab"/>
        </w:rPr>
        <w:t xml:space="preserve"> </w:t>
      </w:r>
      <w:r>
        <w:rPr>
          <w:rStyle w:val="CuerpodeltextoNegritac"/>
        </w:rPr>
        <w:t>DÉCIMA TERCERA: CESIÓN.</w:t>
      </w:r>
      <w:r>
        <w:t xml:space="preserve"> Queda expresamente prohibido a las partes contratantes traspasar o ceder a cualquier título los derechos y obligaciones que emanan del presente Contrato. La trasgresión de esta disposición dará lugar a la caducidad del Contrato.</w:t>
      </w:r>
      <w:r>
        <w:rPr>
          <w:rStyle w:val="CuerpodeltextoNegritab"/>
        </w:rPr>
        <w:t xml:space="preserve"> </w:t>
      </w:r>
      <w:r>
        <w:rPr>
          <w:rStyle w:val="CuerpodeltextoNegritac"/>
        </w:rPr>
        <w:t>DÉCIMA CUARTA: CASO FORTUITO O FUERZA MAYOR.</w:t>
      </w:r>
      <w:r>
        <w:t xml:space="preserve"> EL CONTRATISTA se exime de la responsabilidad de responder por cualquier atraso o incumplimiento en la operación debido a causa fuera de su control razonable, incluyendo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caso fortuito, acciones gubernamentales, condiciones climáticas, huelgas o cualquier otra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 xml:space="preserve">disputa laboral, motines, actos similares. </w:t>
      </w:r>
      <w:r>
        <w:rPr>
          <w:rStyle w:val="Cuerpodeltexto1"/>
        </w:rPr>
        <w:t>DECIMA QUINTA: SANCIONES. E</w:t>
      </w:r>
      <w:r>
        <w:t>n caso de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incumplimiento de las obligaciones emanadas del presente Contrato, las partes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expresam</w:t>
      </w:r>
      <w:r>
        <w:t>ente se someten a las sanciones que la Ley o el presente Contrato señale.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rPr>
          <w:rStyle w:val="Cuerpodeltexto1"/>
        </w:rPr>
        <w:t>DÉCIMA SEXTA: MODIFICACIÓN Y PRORROGA.</w:t>
      </w:r>
      <w:r>
        <w:t xml:space="preserve"> El presente Contrato podrá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modificarse únicamente de común acuerdo entre las partes, especialmente por causas no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imputables a EL CONTRATISTA po</w:t>
      </w:r>
      <w:r>
        <w:t>r medio de una Resolución Modificativa, la cual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formará parte integral de este Instrumento. Asimismo, podrá prorrogarse, previo acuerdo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 xml:space="preserve">escrito entre las partes. </w:t>
      </w:r>
      <w:r>
        <w:rPr>
          <w:rStyle w:val="Cuerpodeltexto1"/>
        </w:rPr>
        <w:t>DÉCIMA SEPTIMA: CONDICIONES DE PREVENCION Y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rPr>
          <w:rStyle w:val="Cuerpodeltexto1"/>
        </w:rPr>
        <w:t>ERRADICACION DEL TRABATO I</w:t>
      </w:r>
      <w:r>
        <w:t>NFANTIL: Si durante la e</w:t>
      </w:r>
      <w:r>
        <w:t>jecución del contrato se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comprobare por la Dirección General de Inspección de Trabajo del Ministerio de Trabajo y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Previsión Social, incumplimiento por parte del contratista a la normativa que prohibe el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lastRenderedPageBreak/>
        <w:t>trabajo infantil y de protección de la persona adolescente trabajadora, se deberá tramitar el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 xml:space="preserve">procedimiento sancionatorio que dispone el artículo 160 de la LACAP para </w:t>
      </w:r>
      <w:r>
        <w:t>determinar el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cometimiento o no durante la ejecución del contrato de la conducta tipificada como causal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de inhabilitación en el artículo 158 Romano V literal b) de la LACAP relativa a la invocación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de hechos falsos para obtener la adjudicación de la contra</w:t>
      </w:r>
      <w:r>
        <w:t>tación. Se entenderá por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comprobado el incumplimiento a la normativa por parte de la Dirección General de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Inspección de Trabajo, si durante el trámite de re inspección se determina que hubo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 xml:space="preserve">subsanación por haber cometido una infracción, o por el contrario </w:t>
      </w:r>
      <w:r>
        <w:t>si se remitiere a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procedimiento sancionatorio y en éste último caso deberá finalizar el procedimiento para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 xml:space="preserve">conocer la resolución final. </w:t>
      </w:r>
      <w:r>
        <w:rPr>
          <w:rStyle w:val="Cuerpodeltexto1"/>
        </w:rPr>
        <w:t>DECIMA OCTAVA: NOTIFICACIONES. T</w:t>
      </w:r>
      <w:r>
        <w:t>odas las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notificaciones entre las partes referentes a la ejecución de este Contrato, deb</w:t>
      </w:r>
      <w:r>
        <w:t>erán hacerse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por escrito y tendrán efecto a partir de su recepción en las direcciones que a continuación se</w:t>
      </w:r>
    </w:p>
    <w:p w:rsidR="00E7757F" w:rsidRDefault="00EC2FF1">
      <w:pPr>
        <w:pStyle w:val="Cuerpodeltexto0"/>
        <w:shd w:val="clear" w:color="auto" w:fill="auto"/>
        <w:spacing w:before="0"/>
        <w:ind w:left="40" w:firstLine="0"/>
      </w:pPr>
      <w:r>
        <w:t>indican: para EL MINISTERIO, Edificio Ministerio de Gobernación, Novena Calle Poniente</w:t>
      </w:r>
    </w:p>
    <w:p w:rsidR="00E7757F" w:rsidRDefault="00EC2FF1" w:rsidP="00EC2FF1">
      <w:pPr>
        <w:pStyle w:val="Cuerpodeltexto0"/>
        <w:shd w:val="clear" w:color="auto" w:fill="auto"/>
        <w:spacing w:before="0"/>
        <w:ind w:left="40" w:firstLine="0"/>
        <w:sectPr w:rsidR="00E7757F">
          <w:type w:val="continuous"/>
          <w:pgSz w:w="11905" w:h="16837"/>
          <w:pgMar w:top="1112" w:right="949" w:bottom="1773" w:left="1247" w:header="0" w:footer="3" w:gutter="0"/>
          <w:cols w:space="720"/>
          <w:noEndnote/>
          <w:docGrid w:linePitch="360"/>
        </w:sectPr>
      </w:pPr>
      <w:r>
        <w:t>y Quince Avenida Norte, Centro de Gobierno, San Salvador y pa</w:t>
      </w:r>
      <w:r>
        <w:t xml:space="preserve">ra EL CONTRATISTA, </w:t>
      </w:r>
      <w:r>
        <w:rPr>
          <w:color w:val="FF0000"/>
          <w:lang w:val="es-ES"/>
        </w:rPr>
        <w:t>INFORMACION CONFIDENCIAL</w:t>
      </w:r>
      <w:r>
        <w:rPr>
          <w:color w:val="FF0000"/>
          <w:lang w:val="es-ES"/>
        </w:rPr>
        <w:t xml:space="preserve">. </w:t>
      </w:r>
      <w:r>
        <w:t>En fe de lo cual firmamos el presente contrato en la ciudad de San Salvador, a los cuatro días del mes de diciemb</w:t>
      </w:r>
      <w:r>
        <w:t>re de dos mil diecinueve.</w:t>
      </w:r>
    </w:p>
    <w:p w:rsidR="00E7757F" w:rsidRDefault="00EC2FF1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542925" cy="8096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7F" w:rsidRDefault="00E7757F">
      <w:pPr>
        <w:rPr>
          <w:sz w:val="2"/>
          <w:szCs w:val="2"/>
        </w:rPr>
      </w:pPr>
    </w:p>
    <w:p w:rsidR="00E7757F" w:rsidRDefault="00EC2FF1">
      <w:pPr>
        <w:pStyle w:val="Cuerpodeltexto30"/>
        <w:shd w:val="clear" w:color="auto" w:fill="auto"/>
        <w:spacing w:line="266" w:lineRule="exact"/>
        <w:jc w:val="center"/>
      </w:pPr>
      <w:r>
        <w:t>JORGE ARMANDO ALFARO QUINTANILLA MINISTERIO DE GOBERNACIÓN Y DESARROLLO TERRITORIAL</w:t>
      </w:r>
    </w:p>
    <w:p w:rsidR="00E7757F" w:rsidRDefault="00EC2FF1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38175" cy="69532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7F" w:rsidRDefault="00E7757F">
      <w:pPr>
        <w:rPr>
          <w:sz w:val="2"/>
          <w:szCs w:val="2"/>
        </w:rPr>
      </w:pPr>
    </w:p>
    <w:p w:rsidR="00EC2FF1" w:rsidRDefault="00EC2FF1" w:rsidP="00EC2FF1">
      <w:pPr>
        <w:pStyle w:val="Cuerpodeltexto30"/>
        <w:shd w:val="clear" w:color="auto" w:fill="auto"/>
        <w:spacing w:line="302" w:lineRule="exact"/>
        <w:jc w:val="center"/>
      </w:pPr>
      <w:r>
        <w:t xml:space="preserve">REPRESENTANTE </w:t>
      </w:r>
    </w:p>
    <w:p w:rsidR="00E7757F" w:rsidRDefault="00E7757F">
      <w:pPr>
        <w:pStyle w:val="Cuerpodeltexto30"/>
        <w:shd w:val="clear" w:color="auto" w:fill="auto"/>
        <w:spacing w:line="220" w:lineRule="exact"/>
        <w:ind w:left="600"/>
        <w:jc w:val="left"/>
        <w:sectPr w:rsidR="00E7757F">
          <w:type w:val="continuous"/>
          <w:pgSz w:w="11905" w:h="16837"/>
          <w:pgMar w:top="1528" w:right="866" w:bottom="11810" w:left="1680" w:header="0" w:footer="3" w:gutter="0"/>
          <w:cols w:num="2" w:space="720" w:equalWidth="0">
            <w:col w:w="4781" w:space="518"/>
            <w:col w:w="4061"/>
          </w:cols>
          <w:noEndnote/>
          <w:docGrid w:linePitch="360"/>
        </w:sectPr>
      </w:pPr>
    </w:p>
    <w:p w:rsidR="00E7757F" w:rsidRDefault="00E7757F">
      <w:pPr>
        <w:framePr w:w="12240" w:h="727" w:hRule="exact" w:wrap="notBeside" w:vAnchor="text" w:hAnchor="text" w:xAlign="center" w:y="1" w:anchorLock="1"/>
      </w:pPr>
    </w:p>
    <w:p w:rsidR="00E7757F" w:rsidRDefault="00EC2FF1">
      <w:pPr>
        <w:rPr>
          <w:sz w:val="2"/>
          <w:szCs w:val="2"/>
        </w:rPr>
        <w:sectPr w:rsidR="00E7757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7757F" w:rsidRDefault="00E7757F">
      <w:pPr>
        <w:rPr>
          <w:sz w:val="2"/>
          <w:szCs w:val="2"/>
        </w:rPr>
        <w:sectPr w:rsidR="00E7757F">
          <w:type w:val="continuous"/>
          <w:pgSz w:w="11905" w:h="16837"/>
          <w:pgMar w:top="1528" w:right="2551" w:bottom="11810" w:left="8721" w:header="0" w:footer="3" w:gutter="0"/>
          <w:cols w:space="720"/>
          <w:noEndnote/>
          <w:docGrid w:linePitch="360"/>
        </w:sectPr>
      </w:pPr>
    </w:p>
    <w:p w:rsidR="00E7757F" w:rsidRDefault="00EC2FF1">
      <w:pPr>
        <w:pStyle w:val="Ttulo10"/>
        <w:keepNext/>
        <w:keepLines/>
        <w:shd w:val="clear" w:color="auto" w:fill="auto"/>
        <w:tabs>
          <w:tab w:val="left" w:pos="5327"/>
          <w:tab w:val="left" w:pos="8228"/>
        </w:tabs>
        <w:spacing w:after="1767" w:line="410" w:lineRule="exact"/>
        <w:ind w:left="780"/>
      </w:pPr>
      <w:bookmarkStart w:id="2" w:name="bookmark2"/>
      <w:r>
        <w:tab/>
      </w:r>
      <w:bookmarkEnd w:id="2"/>
    </w:p>
    <w:sectPr w:rsidR="00E7757F" w:rsidSect="00EC2FF1">
      <w:type w:val="continuous"/>
      <w:pgSz w:w="11905" w:h="16837"/>
      <w:pgMar w:top="901" w:right="262" w:bottom="1923" w:left="34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FF1" w:rsidRDefault="00EC2FF1">
      <w:r>
        <w:separator/>
      </w:r>
    </w:p>
  </w:endnote>
  <w:endnote w:type="continuationSeparator" w:id="0">
    <w:p w:rsidR="00EC2FF1" w:rsidRDefault="00EC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7F" w:rsidRDefault="00EC2FF1">
    <w:pPr>
      <w:pStyle w:val="Encabezamientoopiedepgina0"/>
      <w:framePr w:w="12576" w:h="137" w:wrap="none" w:vAnchor="text" w:hAnchor="page" w:x="-163" w:y="-1530"/>
      <w:shd w:val="clear" w:color="auto" w:fill="auto"/>
      <w:ind w:left="10748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EncabezamientoopiedepginaBookAntiqua"/>
      </w:rPr>
      <w:t>2</w:t>
    </w:r>
    <w:r>
      <w:rPr>
        <w:rStyle w:val="EncabezamientoopiedepginaBookAntiq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FF1" w:rsidRDefault="00EC2FF1"/>
  </w:footnote>
  <w:footnote w:type="continuationSeparator" w:id="0">
    <w:p w:rsidR="00EC2FF1" w:rsidRDefault="00EC2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5473A"/>
    <w:multiLevelType w:val="multilevel"/>
    <w:tmpl w:val="5E4AA112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0337E9"/>
    <w:multiLevelType w:val="multilevel"/>
    <w:tmpl w:val="544C3C78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CB6E90"/>
    <w:multiLevelType w:val="multilevel"/>
    <w:tmpl w:val="CF92CED0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72793F"/>
    <w:multiLevelType w:val="multilevel"/>
    <w:tmpl w:val="7E3AE8A6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727E69"/>
    <w:multiLevelType w:val="multilevel"/>
    <w:tmpl w:val="C3089504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47700D"/>
    <w:multiLevelType w:val="multilevel"/>
    <w:tmpl w:val="F83CD246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B91603"/>
    <w:multiLevelType w:val="multilevel"/>
    <w:tmpl w:val="34F616D4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7F"/>
    <w:rsid w:val="00E7757F"/>
    <w:rsid w:val="00E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29B29"/>
  <w15:docId w15:val="{B3149A0E-55EA-452A-A771-72887B8E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s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3">
    <w:name w:val="Título #3_"/>
    <w:basedOn w:val="Fuentedeprrafopredeter"/>
    <w:link w:val="Ttulo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0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1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CuerpodeltextoNegrita2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EncabezamientoopiedepginaBookAntiqua">
    <w:name w:val="Encabezamiento o pie de página + Book Antiqua"/>
    <w:basedOn w:val="Encabezamientoopiedepgin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CuerpodeltextoNegrita3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4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w w:val="100"/>
      <w:sz w:val="41"/>
      <w:szCs w:val="41"/>
    </w:rPr>
  </w:style>
  <w:style w:type="character" w:customStyle="1" w:styleId="Cuerpodeltexto2Espaciado1pto">
    <w:name w:val="Cuerpo del texto (2) + Espaciado 1 pto"/>
    <w:basedOn w:val="Cuerpodeltexto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0"/>
      <w:w w:val="100"/>
      <w:sz w:val="41"/>
      <w:szCs w:val="41"/>
    </w:rPr>
  </w:style>
  <w:style w:type="character" w:customStyle="1" w:styleId="Cuerpodeltexto211ptoSincursiva">
    <w:name w:val="Cuerpo del texto (2) + 11 pto;Sin cursiva"/>
    <w:basedOn w:val="Cuerpodeltexto2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w w:val="100"/>
      <w:sz w:val="22"/>
      <w:szCs w:val="22"/>
    </w:rPr>
  </w:style>
  <w:style w:type="character" w:customStyle="1" w:styleId="Cuerpodeltexto4">
    <w:name w:val="Cuerpo del texto (4)_"/>
    <w:basedOn w:val="Fuentedeprrafopredeter"/>
    <w:link w:val="Cuerpodeltexto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w w:val="100"/>
      <w:sz w:val="8"/>
      <w:szCs w:val="8"/>
    </w:rPr>
  </w:style>
  <w:style w:type="character" w:customStyle="1" w:styleId="Cuerpodeltexto5">
    <w:name w:val="Cuerpo del texto (5)_"/>
    <w:basedOn w:val="Fuentedeprrafopredeter"/>
    <w:link w:val="Cuerpodeltexto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uerpodeltexto210ptoSincursiva">
    <w:name w:val="Cuerpo del texto (2) + 10 pto;Sin cursiva"/>
    <w:basedOn w:val="Cuerpodeltexto2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w w:val="100"/>
      <w:sz w:val="20"/>
      <w:szCs w:val="20"/>
    </w:rPr>
  </w:style>
  <w:style w:type="character" w:customStyle="1" w:styleId="Cuerpodeltexto211ptoSincursiva0">
    <w:name w:val="Cuerpo del texto (2) + 11 pto;Sin cursiva"/>
    <w:basedOn w:val="Cuerpodeltexto2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w w:val="100"/>
      <w:sz w:val="22"/>
      <w:szCs w:val="22"/>
    </w:rPr>
  </w:style>
  <w:style w:type="character" w:customStyle="1" w:styleId="CuerpodeltextoNegrita5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6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CuerpodeltextoNegrita7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8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CuerpodeltextoNegrita9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a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CuerpodeltextoNegritab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c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Cuerpodeltexto1">
    <w:name w:val="Cuerpo del tex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w w:val="100"/>
      <w:sz w:val="41"/>
      <w:szCs w:val="41"/>
    </w:rPr>
  </w:style>
  <w:style w:type="character" w:customStyle="1" w:styleId="CuerpodeltextoNegritad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tulo2">
    <w:name w:val="Título #2_"/>
    <w:basedOn w:val="Fuentedeprrafopredeter"/>
    <w:link w:val="Ttul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tulo21">
    <w:name w:val="Título #2"/>
    <w:basedOn w:val="Ttulo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tulo2Espaciado1pto">
    <w:name w:val="Título #2 + Espaciado 1 pto"/>
    <w:basedOn w:val="Ttulo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Ttulo2Espaciado2pto">
    <w:name w:val="Título #2 + Espaciado 2 pto"/>
    <w:basedOn w:val="Ttulo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50"/>
      <w:sz w:val="22"/>
      <w:szCs w:val="22"/>
    </w:rPr>
  </w:style>
  <w:style w:type="character" w:customStyle="1" w:styleId="CuerpodeltextoNegritae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7">
    <w:name w:val="Cuerpo del texto (7)_"/>
    <w:basedOn w:val="Fuentedeprrafopredeter"/>
    <w:link w:val="Cuerpodeltexto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Cuerpodeltexto6">
    <w:name w:val="Cuerpo del texto (6)_"/>
    <w:basedOn w:val="Fuentedeprrafopredeter"/>
    <w:link w:val="Cuerpodeltexto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uerpodeltextoNegritaf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f0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f1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95ptoNegrita">
    <w:name w:val="Cuerpo del texto + 9.5 pto;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before="120" w:line="277" w:lineRule="exact"/>
      <w:ind w:hanging="740"/>
      <w:outlineLvl w:val="2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480" w:line="425" w:lineRule="exact"/>
      <w:ind w:hanging="340"/>
      <w:jc w:val="both"/>
    </w:pPr>
    <w:rPr>
      <w:rFonts w:ascii="Book Antiqua" w:eastAsia="Book Antiqua" w:hAnsi="Book Antiqua" w:cs="Book Antiqua"/>
      <w:sz w:val="22"/>
      <w:szCs w:val="22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990" w:lineRule="exact"/>
      <w:jc w:val="right"/>
    </w:pPr>
    <w:rPr>
      <w:rFonts w:ascii="Book Antiqua" w:eastAsia="Book Antiqua" w:hAnsi="Book Antiqua" w:cs="Book Antiqua"/>
      <w:i/>
      <w:iCs/>
      <w:sz w:val="41"/>
      <w:szCs w:val="41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8"/>
      <w:szCs w:val="8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860" w:line="0" w:lineRule="atLeast"/>
      <w:outlineLvl w:val="0"/>
    </w:pPr>
    <w:rPr>
      <w:rFonts w:ascii="Book Antiqua" w:eastAsia="Book Antiqua" w:hAnsi="Book Antiqua" w:cs="Book Antiqua"/>
      <w:i/>
      <w:iCs/>
      <w:sz w:val="41"/>
      <w:szCs w:val="41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outlineLvl w:val="1"/>
    </w:pPr>
    <w:rPr>
      <w:rFonts w:ascii="Book Antiqua" w:eastAsia="Book Antiqua" w:hAnsi="Book Antiqua" w:cs="Book Antiqua"/>
      <w:sz w:val="22"/>
      <w:szCs w:val="22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  <w:ind w:hanging="320"/>
    </w:pPr>
    <w:rPr>
      <w:rFonts w:ascii="Book Antiqua" w:eastAsia="Book Antiqua" w:hAnsi="Book Antiqua" w:cs="Book Antiqu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3326</Words>
  <Characters>18295</Characters>
  <Application>Microsoft Office Word</Application>
  <DocSecurity>0</DocSecurity>
  <Lines>152</Lines>
  <Paragraphs>43</Paragraphs>
  <ScaleCrop>false</ScaleCrop>
  <Company/>
  <LinksUpToDate>false</LinksUpToDate>
  <CharactersWithSpaces>21578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Q</dc:creator>
  <cp:lastModifiedBy>Vanessa Q</cp:lastModifiedBy>
  <cp:revision>1</cp:revision>
  <dcterms:created xsi:type="dcterms:W3CDTF">2020-05-02T00:31:00Z</dcterms:created>
  <dcterms:modified xsi:type="dcterms:W3CDTF">2020-05-02T00:38:00Z</dcterms:modified>
</cp:coreProperties>
</file>