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1A096" w14:textId="642F9940" w:rsidR="00DE66AC" w:rsidRPr="00A82133" w:rsidRDefault="003A3CA6" w:rsidP="00DE66AC">
      <w:pPr>
        <w:tabs>
          <w:tab w:val="left" w:pos="-720"/>
        </w:tabs>
        <w:spacing w:after="0" w:line="240" w:lineRule="auto"/>
        <w:jc w:val="center"/>
        <w:rPr>
          <w:lang w:eastAsia="es-SV"/>
        </w:rPr>
      </w:pPr>
      <w:r w:rsidRPr="003A3CA6">
        <w:drawing>
          <wp:inline distT="0" distB="0" distL="0" distR="0" wp14:anchorId="16CABB31" wp14:editId="185C73E8">
            <wp:extent cx="5760720" cy="813891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8138912"/>
                    </a:xfrm>
                    <a:prstGeom prst="rect">
                      <a:avLst/>
                    </a:prstGeom>
                    <a:noFill/>
                    <a:ln>
                      <a:noFill/>
                    </a:ln>
                  </pic:spPr>
                </pic:pic>
              </a:graphicData>
            </a:graphic>
          </wp:inline>
        </w:drawing>
      </w:r>
    </w:p>
    <w:p w14:paraId="6BDD4FA4" w14:textId="77777777" w:rsidR="003A3CA6" w:rsidRDefault="00DE66AC" w:rsidP="00F235F0">
      <w:pPr>
        <w:tabs>
          <w:tab w:val="left" w:pos="-720"/>
        </w:tabs>
        <w:spacing w:line="360" w:lineRule="auto"/>
        <w:jc w:val="both"/>
        <w:rPr>
          <w:lang w:eastAsia="es-SV"/>
        </w:rPr>
      </w:pPr>
      <w:r w:rsidRPr="00A82133">
        <w:rPr>
          <w:lang w:val="es-MX" w:eastAsia="es-SV"/>
        </w:rPr>
        <w:lastRenderedPageBreak/>
        <w:t xml:space="preserve">Nosotros, </w:t>
      </w:r>
      <w:r w:rsidRPr="00A82133">
        <w:rPr>
          <w:b/>
          <w:bCs/>
          <w:lang w:eastAsia="es-SV"/>
        </w:rPr>
        <w:t>ANA DEL CARMEN ORELLANA BENDEK</w:t>
      </w:r>
      <w:r w:rsidRPr="00A82133">
        <w:rPr>
          <w:lang w:eastAsia="es-SV"/>
        </w:rPr>
        <w:t xml:space="preserve">, de </w:t>
      </w:r>
      <w:r w:rsidR="003A3CA6">
        <w:rPr>
          <w:lang w:eastAsia="es-SV"/>
        </w:rPr>
        <w:t xml:space="preserve">             </w:t>
      </w:r>
      <w:proofErr w:type="gramStart"/>
      <w:r w:rsidRPr="00A82133">
        <w:rPr>
          <w:lang w:eastAsia="es-SV"/>
        </w:rPr>
        <w:t>años de edad</w:t>
      </w:r>
      <w:proofErr w:type="gramEnd"/>
      <w:r w:rsidRPr="00A82133">
        <w:rPr>
          <w:lang w:eastAsia="es-SV"/>
        </w:rPr>
        <w:t xml:space="preserve">, Médico, de </w:t>
      </w:r>
    </w:p>
    <w:p w14:paraId="2D8C93A8" w14:textId="77777777" w:rsidR="003A3CA6" w:rsidRDefault="00DE66AC" w:rsidP="00F235F0">
      <w:pPr>
        <w:tabs>
          <w:tab w:val="left" w:pos="-720"/>
        </w:tabs>
        <w:spacing w:line="360" w:lineRule="auto"/>
        <w:jc w:val="both"/>
        <w:rPr>
          <w:lang w:eastAsia="es-SV"/>
        </w:rPr>
      </w:pPr>
      <w:r w:rsidRPr="00A82133">
        <w:rPr>
          <w:lang w:eastAsia="es-SV"/>
        </w:rPr>
        <w:t>domicilio, portadora de mi Documento Único de Identidad número:</w:t>
      </w:r>
    </w:p>
    <w:p w14:paraId="07A871BC" w14:textId="77777777" w:rsidR="003A3CA6" w:rsidRDefault="00DE66AC" w:rsidP="00F235F0">
      <w:pPr>
        <w:tabs>
          <w:tab w:val="left" w:pos="-720"/>
        </w:tabs>
        <w:spacing w:line="360" w:lineRule="auto"/>
        <w:jc w:val="both"/>
        <w:rPr>
          <w:lang w:eastAsia="es-SV"/>
        </w:rPr>
      </w:pPr>
      <w:r w:rsidRPr="00A82133">
        <w:rPr>
          <w:lang w:eastAsia="es-SV"/>
        </w:rPr>
        <w:t>, con Número de Identificación Tributaria</w:t>
      </w:r>
    </w:p>
    <w:p w14:paraId="37C09A32" w14:textId="77777777" w:rsidR="003A3CA6" w:rsidRDefault="00DE66AC" w:rsidP="00F235F0">
      <w:pPr>
        <w:tabs>
          <w:tab w:val="left" w:pos="-720"/>
        </w:tabs>
        <w:spacing w:line="360" w:lineRule="auto"/>
        <w:jc w:val="both"/>
        <w:rPr>
          <w:lang w:eastAsia="es-SV"/>
        </w:rPr>
      </w:pPr>
      <w:r w:rsidRPr="00A82133">
        <w:rPr>
          <w:lang w:eastAsia="es-SV"/>
        </w:rPr>
        <w:t>, actuando en nombre y representación del Ministerio de Salud, con Número de Identificación Tributaria</w:t>
      </w:r>
    </w:p>
    <w:p w14:paraId="37D291B6" w14:textId="77777777" w:rsidR="003A3CA6" w:rsidRDefault="00DE66AC" w:rsidP="00F235F0">
      <w:pPr>
        <w:tabs>
          <w:tab w:val="left" w:pos="-720"/>
        </w:tabs>
        <w:spacing w:line="360" w:lineRule="auto"/>
        <w:jc w:val="both"/>
        <w:rPr>
          <w:rFonts w:asciiTheme="minorHAnsi" w:hAnsiTheme="minorHAnsi"/>
          <w:spacing w:val="-3"/>
          <w:shd w:val="clear" w:color="auto" w:fill="FFFFFF"/>
          <w:lang w:eastAsia="es-BO"/>
        </w:rPr>
      </w:pPr>
      <w:r w:rsidRPr="00A82133">
        <w:rPr>
          <w:lang w:eastAsia="es-SV"/>
        </w:rPr>
        <w:t xml:space="preserve">, personería que compruebo con la siguiente documentación: </w:t>
      </w:r>
      <w:r w:rsidRPr="00A82133">
        <w:rPr>
          <w:b/>
          <w:bCs/>
          <w:lang w:eastAsia="es-SV"/>
        </w:rPr>
        <w:t>I)</w:t>
      </w:r>
      <w:r w:rsidRPr="00A82133">
        <w:rPr>
          <w:lang w:eastAsia="es-SV"/>
        </w:rPr>
        <w:t xml:space="preserve"> Certificación del Acuerdo Ejecutivo de la Presidencia de la República número Uno, de fecha uno de junio de dos mil diecinueve, extendida en fecha tres de junio de dos mil diecinueve, por el licenciado Conan </w:t>
      </w:r>
      <w:proofErr w:type="spellStart"/>
      <w:r w:rsidRPr="00A82133">
        <w:rPr>
          <w:lang w:eastAsia="es-SV"/>
        </w:rPr>
        <w:t>Tonathiu</w:t>
      </w:r>
      <w:proofErr w:type="spellEnd"/>
      <w:r w:rsidRPr="00A82133">
        <w:rPr>
          <w:lang w:eastAsia="es-SV"/>
        </w:rPr>
        <w:t xml:space="preserve"> Castro, Secretario Jurídico de la Presidencia de la República de El Salvador, en donde aparece el nombramiento de los Ministros de Estado y específicamente de la compareciente como Ministra de Salud, a partir del día uno de junio del dos mil diecinueve, debiendo rendir su protesta constitucional; </w:t>
      </w:r>
      <w:r w:rsidRPr="00A82133">
        <w:rPr>
          <w:b/>
          <w:bCs/>
          <w:lang w:eastAsia="es-SV"/>
        </w:rPr>
        <w:t>II)</w:t>
      </w:r>
      <w:r w:rsidRPr="00A82133">
        <w:rPr>
          <w:lang w:eastAsia="es-SV"/>
        </w:rPr>
        <w:t xml:space="preserve"> Certificación extendida en esta ciudad en fecha tres de junio de dos mil diecinueve, por el licenciado Conan </w:t>
      </w:r>
      <w:proofErr w:type="spellStart"/>
      <w:r w:rsidRPr="00A82133">
        <w:rPr>
          <w:lang w:eastAsia="es-SV"/>
        </w:rPr>
        <w:t>Tonathiu</w:t>
      </w:r>
      <w:proofErr w:type="spellEnd"/>
      <w:r w:rsidRPr="00A82133">
        <w:rPr>
          <w:lang w:eastAsia="es-SV"/>
        </w:rPr>
        <w:t xml:space="preserve"> Castro, Secretario Jurídico de la Presidencia de la República de El Salvador, de la que consta que a folios uno, dos y tres solo frente, del Libro de Actas de Juramentación de Funcionarios Públicos que lleva dicha Presidencia, se encuentra asentada el Acta de Juramentación a través de la cual la doctora ANA DEL CARMEN ORELLANA BENDEK, rindió la protesta constitucional como Ministra de Salud, el día uno de junio de dos mil diecinueve y </w:t>
      </w:r>
      <w:r w:rsidRPr="00A82133">
        <w:rPr>
          <w:b/>
          <w:bCs/>
          <w:lang w:eastAsia="es-SV"/>
        </w:rPr>
        <w:t>III)</w:t>
      </w:r>
      <w:r w:rsidRPr="00A82133">
        <w:rPr>
          <w:lang w:eastAsia="es-SV"/>
        </w:rPr>
        <w:t xml:space="preserve"> Constancia número Cuatro Mil Quinientos Noventa y Seis, extendida en fecha once de junio de dos mil diecinueve por Mercedes Aída Campos de Sánchez, Jefe del Diario Oficial, en la que hace constar que el Acuerdo Ejecutivo número Uno, mediante el cual se nombra a Ministros de Estado aparecerá publicado en el Diario Oficial número Cien, Tomo número Cuatrocientos Veintitrés, correspondiente al uno de junio de dos mil diecinueve, documentos en los que consta la calidad en la que actúa la compareciente, y que para los efectos de este Contrato</w:t>
      </w:r>
      <w:r w:rsidR="00F235F0">
        <w:rPr>
          <w:lang w:eastAsia="es-SV"/>
        </w:rPr>
        <w:t xml:space="preserve"> </w:t>
      </w:r>
      <w:r w:rsidRPr="00AC5A14">
        <w:rPr>
          <w:rFonts w:asciiTheme="minorHAnsi" w:hAnsiTheme="minorHAnsi"/>
          <w:lang w:eastAsia="es-SV"/>
        </w:rPr>
        <w:t xml:space="preserve">me denominaré </w:t>
      </w:r>
      <w:r w:rsidRPr="00AC5A14">
        <w:rPr>
          <w:rFonts w:asciiTheme="minorHAnsi" w:hAnsiTheme="minorHAnsi"/>
          <w:b/>
          <w:i/>
          <w:lang w:eastAsia="es-SV"/>
        </w:rPr>
        <w:t>MINISTERIO DE SALUD</w:t>
      </w:r>
      <w:r w:rsidRPr="00AC5A14">
        <w:rPr>
          <w:rFonts w:asciiTheme="minorHAnsi" w:hAnsiTheme="minorHAnsi"/>
          <w:lang w:eastAsia="es-SV"/>
        </w:rPr>
        <w:t xml:space="preserve">, o simplemente </w:t>
      </w:r>
      <w:r w:rsidRPr="00AC5A14">
        <w:rPr>
          <w:rFonts w:asciiTheme="minorHAnsi" w:hAnsiTheme="minorHAnsi"/>
          <w:b/>
          <w:i/>
          <w:lang w:eastAsia="es-SV"/>
        </w:rPr>
        <w:t xml:space="preserve">EL </w:t>
      </w:r>
      <w:r w:rsidRPr="00AC5A14">
        <w:rPr>
          <w:rFonts w:asciiTheme="minorHAnsi" w:hAnsiTheme="minorHAnsi"/>
          <w:b/>
          <w:bCs/>
          <w:i/>
          <w:lang w:eastAsia="es-SV"/>
        </w:rPr>
        <w:t>MINSAL</w:t>
      </w:r>
      <w:r w:rsidRPr="00AC5A14">
        <w:rPr>
          <w:rFonts w:asciiTheme="minorHAnsi" w:hAnsiTheme="minorHAnsi"/>
          <w:b/>
          <w:spacing w:val="-3"/>
          <w:shd w:val="clear" w:color="auto" w:fill="FFFFFF"/>
          <w:lang w:eastAsia="es-BO"/>
        </w:rPr>
        <w:t>,</w:t>
      </w:r>
      <w:r w:rsidRPr="00AC5A14">
        <w:rPr>
          <w:rFonts w:asciiTheme="minorHAnsi" w:hAnsiTheme="minorHAnsi"/>
          <w:spacing w:val="-3"/>
          <w:shd w:val="clear" w:color="auto" w:fill="FFFFFF"/>
          <w:lang w:eastAsia="es-BO"/>
        </w:rPr>
        <w:t xml:space="preserve"> </w:t>
      </w:r>
      <w:bookmarkStart w:id="0" w:name="__Fieldmark__0_1845662457"/>
      <w:bookmarkStart w:id="1" w:name="__Fieldmark__13847_1059946977"/>
      <w:bookmarkStart w:id="2" w:name="__Fieldmark__0_311277126"/>
      <w:bookmarkStart w:id="3" w:name="__Fieldmark__0_429399023"/>
      <w:bookmarkStart w:id="4" w:name="__Fieldmark__0_2063021757"/>
      <w:bookmarkStart w:id="5" w:name="__Fieldmark__0_989013811"/>
      <w:r w:rsidRPr="00AC5A14">
        <w:rPr>
          <w:rFonts w:asciiTheme="minorHAnsi" w:hAnsiTheme="minorHAnsi"/>
          <w:spacing w:val="-3"/>
          <w:shd w:val="clear" w:color="auto" w:fill="FFFFFF"/>
          <w:lang w:eastAsia="es-BO"/>
        </w:rPr>
        <w:t xml:space="preserve">o </w:t>
      </w:r>
      <w:bookmarkStart w:id="6" w:name="__Fieldmark__10235_10599469771"/>
      <w:bookmarkStart w:id="7" w:name="__Fieldmark__798_16929781101"/>
      <w:bookmarkStart w:id="8" w:name="__Fieldmark__31_9713555111"/>
      <w:bookmarkStart w:id="9" w:name="__Fieldmark__37_3046672191"/>
      <w:bookmarkStart w:id="10" w:name="__Fieldmark__9485_10599469771"/>
      <w:bookmarkEnd w:id="0"/>
      <w:bookmarkEnd w:id="1"/>
      <w:bookmarkEnd w:id="2"/>
      <w:bookmarkEnd w:id="3"/>
      <w:bookmarkEnd w:id="4"/>
      <w:bookmarkEnd w:id="5"/>
      <w:bookmarkEnd w:id="6"/>
      <w:bookmarkEnd w:id="7"/>
      <w:bookmarkEnd w:id="8"/>
      <w:bookmarkEnd w:id="9"/>
      <w:bookmarkEnd w:id="10"/>
      <w:r w:rsidRPr="00AC5A14">
        <w:rPr>
          <w:rFonts w:asciiTheme="minorHAnsi" w:hAnsiTheme="minorHAnsi"/>
          <w:b/>
          <w:bCs/>
          <w:spacing w:val="-3"/>
          <w:shd w:val="clear" w:color="auto" w:fill="FFFFFF"/>
          <w:lang w:eastAsia="es-BO"/>
        </w:rPr>
        <w:t>EL “CONTRATANTE”,</w:t>
      </w:r>
      <w:r w:rsidRPr="00AC5A14">
        <w:rPr>
          <w:rFonts w:asciiTheme="minorHAnsi" w:hAnsiTheme="minorHAnsi"/>
          <w:spacing w:val="-3"/>
          <w:shd w:val="clear" w:color="auto" w:fill="FFFFFF"/>
          <w:lang w:eastAsia="es-BO"/>
        </w:rPr>
        <w:t xml:space="preserve"> con domicilio legal en </w:t>
      </w:r>
      <w:r w:rsidRPr="00AC5A14">
        <w:rPr>
          <w:rFonts w:asciiTheme="minorHAnsi" w:eastAsia="Bookman Old Style" w:hAnsiTheme="minorHAnsi"/>
          <w:spacing w:val="-3"/>
          <w:shd w:val="clear" w:color="auto" w:fill="FFFFFF"/>
          <w:lang w:eastAsia="es-BO"/>
        </w:rPr>
        <w:t>Calle Arce No. 827, San Salvador</w:t>
      </w:r>
      <w:r w:rsidRPr="00AC5A14">
        <w:rPr>
          <w:rFonts w:asciiTheme="minorHAnsi" w:hAnsiTheme="minorHAnsi"/>
          <w:lang w:val="es-MX" w:eastAsia="es-SV"/>
        </w:rPr>
        <w:t xml:space="preserve">; y </w:t>
      </w:r>
      <w:r w:rsidR="004F1B9C">
        <w:rPr>
          <w:rFonts w:asciiTheme="minorHAnsi" w:eastAsia="Times New Roman" w:hAnsiTheme="minorHAnsi"/>
          <w:b/>
          <w:lang w:eastAsia="es-ES"/>
        </w:rPr>
        <w:t xml:space="preserve">JOSÉ </w:t>
      </w:r>
      <w:r w:rsidR="00F26766">
        <w:rPr>
          <w:rFonts w:asciiTheme="minorHAnsi" w:eastAsia="Times New Roman" w:hAnsiTheme="minorHAnsi"/>
          <w:b/>
          <w:lang w:eastAsia="es-ES"/>
        </w:rPr>
        <w:t>REYNALDO FIGUEROA</w:t>
      </w:r>
      <w:r w:rsidR="00563169" w:rsidRPr="00AC5A14">
        <w:rPr>
          <w:rFonts w:asciiTheme="minorHAnsi" w:eastAsia="Times New Roman" w:hAnsiTheme="minorHAnsi"/>
          <w:lang w:eastAsia="es-ES"/>
        </w:rPr>
        <w:t xml:space="preserve">, mayor de edad, </w:t>
      </w:r>
      <w:r w:rsidR="003A3CA6">
        <w:rPr>
          <w:rFonts w:asciiTheme="minorHAnsi" w:eastAsia="Times New Roman" w:hAnsiTheme="minorHAnsi"/>
          <w:lang w:eastAsia="es-ES"/>
        </w:rPr>
        <w:t xml:space="preserve">             </w:t>
      </w:r>
      <w:r w:rsidR="00563169" w:rsidRPr="00AC5A14">
        <w:rPr>
          <w:rFonts w:asciiTheme="minorHAnsi" w:eastAsia="Times New Roman" w:hAnsiTheme="minorHAnsi"/>
          <w:lang w:eastAsia="es-ES"/>
        </w:rPr>
        <w:t>, del domicilio de</w:t>
      </w:r>
      <w:r w:rsidR="003A3CA6">
        <w:rPr>
          <w:rFonts w:asciiTheme="minorHAnsi" w:eastAsia="Times New Roman" w:hAnsiTheme="minorHAnsi"/>
          <w:lang w:eastAsia="es-ES"/>
        </w:rPr>
        <w:t xml:space="preserve">                       </w:t>
      </w:r>
      <w:r w:rsidRPr="00AC5A14">
        <w:rPr>
          <w:rFonts w:asciiTheme="minorHAnsi" w:hAnsiTheme="minorHAnsi"/>
          <w:spacing w:val="-3"/>
          <w:shd w:val="clear" w:color="auto" w:fill="FFFFFF"/>
          <w:lang w:eastAsia="es-BO"/>
        </w:rPr>
        <w:t>, portador de mi Documento Único de Identidad Número</w:t>
      </w:r>
      <w:r w:rsidR="003A3CA6">
        <w:rPr>
          <w:rFonts w:asciiTheme="minorHAnsi" w:hAnsiTheme="minorHAnsi"/>
          <w:spacing w:val="-3"/>
          <w:shd w:val="clear" w:color="auto" w:fill="FFFFFF"/>
          <w:lang w:eastAsia="es-BO"/>
        </w:rPr>
        <w:t xml:space="preserve">                                                            </w:t>
      </w:r>
      <w:r w:rsidRPr="00AC5A14">
        <w:rPr>
          <w:rFonts w:asciiTheme="minorHAnsi" w:hAnsiTheme="minorHAnsi"/>
          <w:spacing w:val="-3"/>
          <w:shd w:val="clear" w:color="auto" w:fill="FFFFFF"/>
          <w:lang w:eastAsia="es-BO"/>
        </w:rPr>
        <w:t>, y Número de Identificación Tributaria</w:t>
      </w:r>
    </w:p>
    <w:p w14:paraId="24E12803" w14:textId="1EFB60C2" w:rsidR="00DE66AC" w:rsidRPr="00F235F0" w:rsidRDefault="003A3CA6" w:rsidP="00F235F0">
      <w:pPr>
        <w:tabs>
          <w:tab w:val="left" w:pos="-720"/>
        </w:tabs>
        <w:spacing w:line="360" w:lineRule="auto"/>
        <w:jc w:val="both"/>
        <w:rPr>
          <w:lang w:eastAsia="es-SV"/>
        </w:rPr>
      </w:pPr>
      <w:r>
        <w:rPr>
          <w:rFonts w:asciiTheme="minorHAnsi" w:hAnsiTheme="minorHAnsi"/>
          <w:spacing w:val="-3"/>
          <w:shd w:val="clear" w:color="auto" w:fill="FFFFFF"/>
          <w:lang w:eastAsia="es-BO"/>
        </w:rPr>
        <w:t xml:space="preserve">                               </w:t>
      </w:r>
      <w:r w:rsidR="002E409D">
        <w:rPr>
          <w:rFonts w:asciiTheme="minorHAnsi" w:hAnsiTheme="minorHAnsi"/>
          <w:spacing w:val="-3"/>
          <w:shd w:val="clear" w:color="auto" w:fill="FFFFFF"/>
          <w:lang w:eastAsia="es-BO"/>
        </w:rPr>
        <w:t xml:space="preserve">, </w:t>
      </w:r>
      <w:r w:rsidR="00DE66AC" w:rsidRPr="00AC5A14">
        <w:rPr>
          <w:rFonts w:asciiTheme="minorHAnsi" w:hAnsiTheme="minorHAnsi"/>
          <w:spacing w:val="-3"/>
          <w:shd w:val="clear" w:color="auto" w:fill="FFFFFF"/>
          <w:lang w:eastAsia="es-BO"/>
        </w:rPr>
        <w:t>actuando como</w:t>
      </w:r>
      <w:r w:rsidR="002E409D">
        <w:rPr>
          <w:rFonts w:asciiTheme="minorHAnsi" w:hAnsiTheme="minorHAnsi"/>
          <w:spacing w:val="-3"/>
          <w:shd w:val="clear" w:color="auto" w:fill="FFFFFF"/>
          <w:lang w:eastAsia="es-BO"/>
        </w:rPr>
        <w:t xml:space="preserve"> Administrador Único y </w:t>
      </w:r>
      <w:r w:rsidR="00DE66AC" w:rsidRPr="00AC5A14">
        <w:rPr>
          <w:rFonts w:asciiTheme="minorHAnsi" w:hAnsiTheme="minorHAnsi"/>
          <w:spacing w:val="-3"/>
          <w:shd w:val="clear" w:color="auto" w:fill="FFFFFF"/>
          <w:lang w:eastAsia="es-BO"/>
        </w:rPr>
        <w:t xml:space="preserve"> </w:t>
      </w:r>
      <w:r w:rsidR="002E409D">
        <w:rPr>
          <w:rFonts w:asciiTheme="minorHAnsi" w:hAnsiTheme="minorHAnsi"/>
          <w:spacing w:val="-3"/>
          <w:shd w:val="clear" w:color="auto" w:fill="FFFFFF"/>
          <w:lang w:eastAsia="es-BO"/>
        </w:rPr>
        <w:t>Representante Legal</w:t>
      </w:r>
      <w:r w:rsidR="00563169" w:rsidRPr="00AC5A14">
        <w:rPr>
          <w:rFonts w:asciiTheme="minorHAnsi" w:hAnsiTheme="minorHAnsi"/>
          <w:spacing w:val="-3"/>
          <w:shd w:val="clear" w:color="auto" w:fill="FFFFFF"/>
          <w:lang w:eastAsia="es-BO"/>
        </w:rPr>
        <w:t xml:space="preserve"> </w:t>
      </w:r>
      <w:r w:rsidR="00DE66AC" w:rsidRPr="00AC5A14">
        <w:rPr>
          <w:rFonts w:asciiTheme="minorHAnsi" w:hAnsiTheme="minorHAnsi"/>
          <w:spacing w:val="-3"/>
          <w:shd w:val="clear" w:color="auto" w:fill="FFFFFF"/>
          <w:lang w:eastAsia="es-BO"/>
        </w:rPr>
        <w:t xml:space="preserve"> de la Sociedad </w:t>
      </w:r>
      <w:r w:rsidR="002E409D">
        <w:rPr>
          <w:rFonts w:asciiTheme="minorHAnsi" w:eastAsia="Times New Roman" w:hAnsiTheme="minorHAnsi"/>
          <w:b/>
          <w:lang w:eastAsia="es-ES"/>
        </w:rPr>
        <w:t>FARLAB</w:t>
      </w:r>
      <w:r w:rsidR="00563169" w:rsidRPr="00AC5A14">
        <w:rPr>
          <w:rFonts w:asciiTheme="minorHAnsi" w:eastAsia="Times New Roman" w:hAnsiTheme="minorHAnsi"/>
          <w:lang w:eastAsia="es-ES"/>
        </w:rPr>
        <w:t xml:space="preserve">, </w:t>
      </w:r>
      <w:r w:rsidR="00563169" w:rsidRPr="00AC5A14">
        <w:rPr>
          <w:rFonts w:asciiTheme="minorHAnsi" w:eastAsia="Times New Roman" w:hAnsiTheme="minorHAnsi"/>
          <w:b/>
          <w:lang w:eastAsia="es-ES"/>
        </w:rPr>
        <w:t>SOCIEDAD ANÓNIMA DE CAPITAL VARIABLE</w:t>
      </w:r>
      <w:r w:rsidR="00563169" w:rsidRPr="00AC5A14">
        <w:rPr>
          <w:rFonts w:asciiTheme="minorHAnsi" w:eastAsia="Times New Roman" w:hAnsiTheme="minorHAnsi"/>
          <w:lang w:eastAsia="es-ES"/>
        </w:rPr>
        <w:t xml:space="preserve">, que puede abreviarse </w:t>
      </w:r>
      <w:r w:rsidR="002E409D">
        <w:rPr>
          <w:rFonts w:asciiTheme="minorHAnsi" w:eastAsia="Times New Roman" w:hAnsiTheme="minorHAnsi"/>
          <w:b/>
          <w:lang w:eastAsia="es-ES"/>
        </w:rPr>
        <w:t>FARLAB</w:t>
      </w:r>
      <w:r w:rsidR="00563169" w:rsidRPr="00AC5A14">
        <w:rPr>
          <w:rFonts w:asciiTheme="minorHAnsi" w:eastAsia="Times New Roman" w:hAnsiTheme="minorHAnsi"/>
          <w:b/>
          <w:lang w:eastAsia="es-ES"/>
        </w:rPr>
        <w:t>, S.A. DE C.V</w:t>
      </w:r>
      <w:r w:rsidR="00563169" w:rsidRPr="003D3CFB">
        <w:rPr>
          <w:rFonts w:asciiTheme="minorHAnsi" w:eastAsia="Times New Roman" w:hAnsiTheme="minorHAnsi"/>
          <w:b/>
          <w:lang w:eastAsia="es-ES"/>
        </w:rPr>
        <w:t>.,</w:t>
      </w:r>
      <w:r w:rsidR="00834976" w:rsidRPr="003D3CFB">
        <w:rPr>
          <w:rFonts w:asciiTheme="minorHAnsi" w:eastAsia="Times New Roman" w:hAnsiTheme="minorHAnsi"/>
          <w:b/>
          <w:lang w:eastAsia="es-ES"/>
        </w:rPr>
        <w:t xml:space="preserve"> </w:t>
      </w:r>
      <w:r w:rsidR="00DE66AC" w:rsidRPr="003D3CFB">
        <w:rPr>
          <w:rFonts w:asciiTheme="minorHAnsi" w:hAnsiTheme="minorHAnsi"/>
          <w:spacing w:val="-3"/>
          <w:shd w:val="clear" w:color="auto" w:fill="FFFFFF"/>
          <w:lang w:eastAsia="es-BO"/>
        </w:rPr>
        <w:t xml:space="preserve">con Tarjeta </w:t>
      </w:r>
      <w:r w:rsidR="00DE66AC" w:rsidRPr="003D3CFB">
        <w:rPr>
          <w:rFonts w:asciiTheme="minorHAnsi" w:hAnsiTheme="minorHAnsi"/>
          <w:spacing w:val="-3"/>
          <w:shd w:val="clear" w:color="auto" w:fill="FFFFFF"/>
          <w:lang w:eastAsia="es-BO"/>
        </w:rPr>
        <w:lastRenderedPageBreak/>
        <w:t xml:space="preserve">de Identificación Tributaria Número </w:t>
      </w:r>
      <w:r w:rsidR="0002027D" w:rsidRPr="003D3CFB">
        <w:rPr>
          <w:rFonts w:asciiTheme="minorHAnsi" w:hAnsiTheme="minorHAnsi"/>
          <w:spacing w:val="-3"/>
          <w:shd w:val="clear" w:color="auto" w:fill="FFFFFF"/>
          <w:lang w:eastAsia="es-BO"/>
        </w:rPr>
        <w:t xml:space="preserve">cero seis uno cuatro </w:t>
      </w:r>
      <w:proofErr w:type="spellStart"/>
      <w:r w:rsidR="0002027D" w:rsidRPr="003D3CFB">
        <w:rPr>
          <w:rFonts w:asciiTheme="minorHAnsi" w:hAnsiTheme="minorHAnsi"/>
          <w:spacing w:val="-3"/>
          <w:shd w:val="clear" w:color="auto" w:fill="FFFFFF"/>
          <w:lang w:eastAsia="es-BO"/>
        </w:rPr>
        <w:t>guión</w:t>
      </w:r>
      <w:proofErr w:type="spellEnd"/>
      <w:r w:rsidR="0002027D" w:rsidRPr="003D3CFB">
        <w:rPr>
          <w:rFonts w:asciiTheme="minorHAnsi" w:hAnsiTheme="minorHAnsi"/>
          <w:spacing w:val="-3"/>
          <w:shd w:val="clear" w:color="auto" w:fill="FFFFFF"/>
          <w:lang w:eastAsia="es-BO"/>
        </w:rPr>
        <w:t xml:space="preserve"> </w:t>
      </w:r>
      <w:r w:rsidR="003D3CFB" w:rsidRPr="003D3CFB">
        <w:rPr>
          <w:rFonts w:asciiTheme="minorHAnsi" w:hAnsiTheme="minorHAnsi"/>
          <w:spacing w:val="-3"/>
          <w:shd w:val="clear" w:color="auto" w:fill="FFFFFF"/>
          <w:lang w:eastAsia="es-BO"/>
        </w:rPr>
        <w:t xml:space="preserve">dos nueve cero nueve </w:t>
      </w:r>
      <w:proofErr w:type="spellStart"/>
      <w:r w:rsidR="003D3CFB" w:rsidRPr="003D3CFB">
        <w:rPr>
          <w:rFonts w:asciiTheme="minorHAnsi" w:hAnsiTheme="minorHAnsi"/>
          <w:spacing w:val="-3"/>
          <w:shd w:val="clear" w:color="auto" w:fill="FFFFFF"/>
          <w:lang w:eastAsia="es-BO"/>
        </w:rPr>
        <w:t>nueve</w:t>
      </w:r>
      <w:proofErr w:type="spellEnd"/>
      <w:r w:rsidR="003D3CFB" w:rsidRPr="003D3CFB">
        <w:rPr>
          <w:rFonts w:asciiTheme="minorHAnsi" w:hAnsiTheme="minorHAnsi"/>
          <w:spacing w:val="-3"/>
          <w:shd w:val="clear" w:color="auto" w:fill="FFFFFF"/>
          <w:lang w:eastAsia="es-BO"/>
        </w:rPr>
        <w:t xml:space="preserve"> cinco </w:t>
      </w:r>
      <w:proofErr w:type="spellStart"/>
      <w:r w:rsidR="0002027D" w:rsidRPr="003D3CFB">
        <w:rPr>
          <w:rFonts w:asciiTheme="minorHAnsi" w:hAnsiTheme="minorHAnsi"/>
          <w:spacing w:val="-3"/>
          <w:shd w:val="clear" w:color="auto" w:fill="FFFFFF"/>
          <w:lang w:eastAsia="es-BO"/>
        </w:rPr>
        <w:t>guión</w:t>
      </w:r>
      <w:proofErr w:type="spellEnd"/>
      <w:r w:rsidR="0002027D" w:rsidRPr="003D3CFB">
        <w:rPr>
          <w:rFonts w:asciiTheme="minorHAnsi" w:hAnsiTheme="minorHAnsi"/>
          <w:spacing w:val="-3"/>
          <w:shd w:val="clear" w:color="auto" w:fill="FFFFFF"/>
          <w:lang w:eastAsia="es-BO"/>
        </w:rPr>
        <w:t xml:space="preserve"> uno cero </w:t>
      </w:r>
      <w:r w:rsidR="003D3CFB" w:rsidRPr="003D3CFB">
        <w:rPr>
          <w:rFonts w:asciiTheme="minorHAnsi" w:hAnsiTheme="minorHAnsi"/>
          <w:spacing w:val="-3"/>
          <w:shd w:val="clear" w:color="auto" w:fill="FFFFFF"/>
          <w:lang w:eastAsia="es-BO"/>
        </w:rPr>
        <w:t>cuatro</w:t>
      </w:r>
      <w:r w:rsidR="0002027D" w:rsidRPr="003D3CFB">
        <w:rPr>
          <w:rFonts w:asciiTheme="minorHAnsi" w:hAnsiTheme="minorHAnsi"/>
          <w:spacing w:val="-3"/>
          <w:shd w:val="clear" w:color="auto" w:fill="FFFFFF"/>
          <w:lang w:eastAsia="es-BO"/>
        </w:rPr>
        <w:t xml:space="preserve"> </w:t>
      </w:r>
      <w:proofErr w:type="spellStart"/>
      <w:r w:rsidR="0002027D" w:rsidRPr="003D3CFB">
        <w:rPr>
          <w:rFonts w:asciiTheme="minorHAnsi" w:hAnsiTheme="minorHAnsi"/>
          <w:spacing w:val="-3"/>
          <w:shd w:val="clear" w:color="auto" w:fill="FFFFFF"/>
          <w:lang w:eastAsia="es-BO"/>
        </w:rPr>
        <w:t>guión</w:t>
      </w:r>
      <w:proofErr w:type="spellEnd"/>
      <w:r w:rsidR="0002027D" w:rsidRPr="003D3CFB">
        <w:rPr>
          <w:rFonts w:asciiTheme="minorHAnsi" w:hAnsiTheme="minorHAnsi"/>
          <w:spacing w:val="-3"/>
          <w:shd w:val="clear" w:color="auto" w:fill="FFFFFF"/>
          <w:lang w:eastAsia="es-BO"/>
        </w:rPr>
        <w:t xml:space="preserve"> </w:t>
      </w:r>
      <w:r w:rsidR="003D3CFB" w:rsidRPr="003D3CFB">
        <w:rPr>
          <w:rFonts w:asciiTheme="minorHAnsi" w:hAnsiTheme="minorHAnsi"/>
          <w:spacing w:val="-3"/>
          <w:shd w:val="clear" w:color="auto" w:fill="FFFFFF"/>
          <w:lang w:eastAsia="es-BO"/>
        </w:rPr>
        <w:t>siete</w:t>
      </w:r>
      <w:r w:rsidR="00DE66AC" w:rsidRPr="003D3CFB">
        <w:rPr>
          <w:rFonts w:asciiTheme="minorHAnsi" w:hAnsiTheme="minorHAnsi"/>
          <w:i/>
          <w:spacing w:val="-3"/>
          <w:shd w:val="clear" w:color="auto" w:fill="FFFFFF"/>
          <w:lang w:eastAsia="es-BO"/>
        </w:rPr>
        <w:t>,</w:t>
      </w:r>
      <w:r w:rsidR="00DE66AC" w:rsidRPr="003D3CFB">
        <w:rPr>
          <w:rFonts w:asciiTheme="minorHAnsi" w:hAnsiTheme="minorHAnsi"/>
          <w:spacing w:val="-3"/>
          <w:shd w:val="clear" w:color="auto" w:fill="FFFFFF"/>
          <w:lang w:eastAsia="es-BO"/>
        </w:rPr>
        <w:t xml:space="preserve"> y</w:t>
      </w:r>
      <w:r w:rsidR="00DE66AC" w:rsidRPr="00AC5A14">
        <w:rPr>
          <w:rFonts w:asciiTheme="minorHAnsi" w:hAnsiTheme="minorHAnsi"/>
          <w:spacing w:val="-3"/>
          <w:shd w:val="clear" w:color="auto" w:fill="FFFFFF"/>
          <w:lang w:eastAsia="es-BO"/>
        </w:rPr>
        <w:t xml:space="preserve"> que en lo sucesivo me denominaré </w:t>
      </w:r>
      <w:r w:rsidR="00DE66AC" w:rsidRPr="00AC5A14">
        <w:rPr>
          <w:rFonts w:asciiTheme="minorHAnsi" w:hAnsiTheme="minorHAnsi"/>
          <w:b/>
          <w:bCs/>
          <w:spacing w:val="-3"/>
          <w:shd w:val="clear" w:color="auto" w:fill="FFFFFF"/>
          <w:lang w:eastAsia="es-BO"/>
        </w:rPr>
        <w:t xml:space="preserve">“EL PROVEEDOR”, </w:t>
      </w:r>
      <w:r w:rsidR="00DE66AC" w:rsidRPr="00AC5A14">
        <w:rPr>
          <w:rFonts w:asciiTheme="minorHAnsi" w:hAnsiTheme="minorHAnsi"/>
          <w:spacing w:val="-3"/>
          <w:shd w:val="clear" w:color="auto" w:fill="FFFFFF"/>
          <w:lang w:eastAsia="es-BO"/>
        </w:rPr>
        <w:t xml:space="preserve">calidad que es acreditada mediante: </w:t>
      </w:r>
      <w:r w:rsidR="00F26766" w:rsidRPr="00F26766">
        <w:rPr>
          <w:rFonts w:asciiTheme="minorHAnsi" w:hAnsiTheme="minorHAnsi"/>
        </w:rPr>
        <w:t xml:space="preserve">a) Testimonio de Escritura Pública de Constitución de la sociedad </w:t>
      </w:r>
      <w:r w:rsidR="00FA59A7" w:rsidRPr="00FA59A7">
        <w:rPr>
          <w:rFonts w:asciiTheme="minorHAnsi" w:hAnsiTheme="minorHAnsi"/>
        </w:rPr>
        <w:t>FARLAB, SOCIEDAD ANÓNIMA DE CAPITAL VARIABLE, que puede abreviarse FARLAB, S.A. DE C.V.</w:t>
      </w:r>
      <w:r w:rsidR="009C3C80">
        <w:rPr>
          <w:rFonts w:asciiTheme="minorHAnsi" w:hAnsiTheme="minorHAnsi"/>
        </w:rPr>
        <w:t xml:space="preserve"> </w:t>
      </w:r>
      <w:r w:rsidR="00F26766" w:rsidRPr="00F26766">
        <w:rPr>
          <w:rFonts w:asciiTheme="minorHAnsi" w:hAnsiTheme="minorHAnsi"/>
        </w:rPr>
        <w:t>otorgada en la ciudad de San Salvador, a las</w:t>
      </w:r>
      <w:r w:rsidR="00F16B9E">
        <w:rPr>
          <w:rFonts w:asciiTheme="minorHAnsi" w:hAnsiTheme="minorHAnsi"/>
        </w:rPr>
        <w:t xml:space="preserve"> dieciséis</w:t>
      </w:r>
      <w:r w:rsidR="00F26766" w:rsidRPr="00F26766">
        <w:rPr>
          <w:rFonts w:asciiTheme="minorHAnsi" w:hAnsiTheme="minorHAnsi"/>
        </w:rPr>
        <w:t xml:space="preserve"> horas </w:t>
      </w:r>
      <w:r w:rsidR="00F16B9E">
        <w:rPr>
          <w:rFonts w:asciiTheme="minorHAnsi" w:hAnsiTheme="minorHAnsi"/>
        </w:rPr>
        <w:t xml:space="preserve">y treinta minutos </w:t>
      </w:r>
      <w:r w:rsidR="00F26766" w:rsidRPr="00F26766">
        <w:rPr>
          <w:rFonts w:asciiTheme="minorHAnsi" w:hAnsiTheme="minorHAnsi"/>
        </w:rPr>
        <w:t xml:space="preserve">del día </w:t>
      </w:r>
      <w:r w:rsidR="00F16B9E">
        <w:rPr>
          <w:rFonts w:asciiTheme="minorHAnsi" w:hAnsiTheme="minorHAnsi"/>
        </w:rPr>
        <w:t>veintinueve de septiembre</w:t>
      </w:r>
      <w:r w:rsidR="00F26766" w:rsidRPr="00F26766">
        <w:rPr>
          <w:rFonts w:asciiTheme="minorHAnsi" w:hAnsiTheme="minorHAnsi"/>
        </w:rPr>
        <w:t xml:space="preserve"> de mil novecientos noventa y </w:t>
      </w:r>
      <w:r w:rsidR="00F16B9E">
        <w:rPr>
          <w:rFonts w:asciiTheme="minorHAnsi" w:hAnsiTheme="minorHAnsi"/>
        </w:rPr>
        <w:t>cinco</w:t>
      </w:r>
      <w:r w:rsidR="00F26766" w:rsidRPr="00F26766">
        <w:rPr>
          <w:rFonts w:asciiTheme="minorHAnsi" w:hAnsiTheme="minorHAnsi"/>
        </w:rPr>
        <w:t xml:space="preserve">, ante los oficios notariales de </w:t>
      </w:r>
      <w:r w:rsidR="00F16B9E">
        <w:rPr>
          <w:rFonts w:asciiTheme="minorHAnsi" w:hAnsiTheme="minorHAnsi"/>
        </w:rPr>
        <w:t>MAURICIO MENDEZ GARAY</w:t>
      </w:r>
      <w:r w:rsidR="00F26766" w:rsidRPr="00F26766">
        <w:rPr>
          <w:rFonts w:asciiTheme="minorHAnsi" w:hAnsiTheme="minorHAnsi"/>
        </w:rPr>
        <w:t xml:space="preserve">, inscrita en el Registro de Comercio </w:t>
      </w:r>
      <w:r w:rsidR="00330F1D" w:rsidRPr="00330F1D">
        <w:rPr>
          <w:rFonts w:asciiTheme="minorHAnsi" w:hAnsiTheme="minorHAnsi"/>
        </w:rPr>
        <w:t xml:space="preserve">al número TREINTA Y </w:t>
      </w:r>
      <w:r w:rsidR="00330F1D">
        <w:rPr>
          <w:rFonts w:asciiTheme="minorHAnsi" w:hAnsiTheme="minorHAnsi"/>
        </w:rPr>
        <w:t>UNO</w:t>
      </w:r>
      <w:r w:rsidR="00330F1D" w:rsidRPr="00330F1D">
        <w:rPr>
          <w:rFonts w:asciiTheme="minorHAnsi" w:hAnsiTheme="minorHAnsi"/>
        </w:rPr>
        <w:t xml:space="preserve">  del libro </w:t>
      </w:r>
      <w:r w:rsidR="00330F1D">
        <w:rPr>
          <w:rFonts w:asciiTheme="minorHAnsi" w:hAnsiTheme="minorHAnsi"/>
        </w:rPr>
        <w:t>UN MIL CIENTO CINCUENTA</w:t>
      </w:r>
      <w:r w:rsidR="00330F1D" w:rsidRPr="00330F1D">
        <w:rPr>
          <w:rFonts w:asciiTheme="minorHAnsi" w:hAnsiTheme="minorHAnsi"/>
        </w:rPr>
        <w:t xml:space="preserve"> </w:t>
      </w:r>
      <w:r w:rsidR="00F26766" w:rsidRPr="00F26766">
        <w:rPr>
          <w:rFonts w:asciiTheme="minorHAnsi" w:hAnsiTheme="minorHAnsi"/>
        </w:rPr>
        <w:t>del Registro de Sociedades</w:t>
      </w:r>
      <w:r w:rsidR="00330F1D" w:rsidRPr="00330F1D">
        <w:t xml:space="preserve"> </w:t>
      </w:r>
      <w:r w:rsidR="00330F1D" w:rsidRPr="00330F1D">
        <w:rPr>
          <w:rFonts w:asciiTheme="minorHAnsi" w:hAnsiTheme="minorHAnsi"/>
        </w:rPr>
        <w:t xml:space="preserve">el día </w:t>
      </w:r>
      <w:r w:rsidR="00D543D3">
        <w:rPr>
          <w:rFonts w:asciiTheme="minorHAnsi" w:hAnsiTheme="minorHAnsi"/>
        </w:rPr>
        <w:t>diecisiete de noviembre de mil novecientos noventa y cinco</w:t>
      </w:r>
      <w:r w:rsidR="00F26766" w:rsidRPr="00F26766">
        <w:rPr>
          <w:rFonts w:asciiTheme="minorHAnsi" w:hAnsiTheme="minorHAnsi"/>
        </w:rPr>
        <w:t>; de la que consta que su nacionalidad es salvadoreña, que su naturaleza, denominación es la ya expresada, que su domicilio es el de la ciudad de San Salvador; que su plazo es por tiempo inde</w:t>
      </w:r>
      <w:r w:rsidR="00D543D3">
        <w:rPr>
          <w:rFonts w:asciiTheme="minorHAnsi" w:hAnsiTheme="minorHAnsi"/>
        </w:rPr>
        <w:t>terminado</w:t>
      </w:r>
      <w:r w:rsidR="00F26766" w:rsidRPr="00F26766">
        <w:rPr>
          <w:rFonts w:asciiTheme="minorHAnsi" w:hAnsiTheme="minorHAnsi"/>
        </w:rPr>
        <w:t>, que dentro de su finalidad social se encuentra la realización de actos como el presente; que la Administración de la sociedad está confiada a un Administrador Único</w:t>
      </w:r>
      <w:r w:rsidR="00F4281C">
        <w:rPr>
          <w:rFonts w:asciiTheme="minorHAnsi" w:hAnsiTheme="minorHAnsi"/>
        </w:rPr>
        <w:t xml:space="preserve"> y a un Administrador Único Suplente</w:t>
      </w:r>
      <w:r w:rsidR="00F26766" w:rsidRPr="00F26766">
        <w:rPr>
          <w:rFonts w:asciiTheme="minorHAnsi" w:hAnsiTheme="minorHAnsi"/>
        </w:rPr>
        <w:t>; que la Representación de la sociedad judicial y extrajudicial y el uso de la</w:t>
      </w:r>
      <w:r w:rsidR="00F4281C">
        <w:rPr>
          <w:rFonts w:asciiTheme="minorHAnsi" w:hAnsiTheme="minorHAnsi"/>
        </w:rPr>
        <w:t xml:space="preserve"> firma</w:t>
      </w:r>
      <w:r w:rsidR="00F26766" w:rsidRPr="00F26766">
        <w:rPr>
          <w:rFonts w:asciiTheme="minorHAnsi" w:hAnsiTheme="minorHAnsi"/>
        </w:rPr>
        <w:t xml:space="preserve"> social, le corresponde al Administrador Único de la Sociedad, quién durará en sus funciones cinco años; </w:t>
      </w:r>
      <w:r w:rsidR="00F4281C">
        <w:rPr>
          <w:rFonts w:asciiTheme="minorHAnsi" w:hAnsiTheme="minorHAnsi"/>
        </w:rPr>
        <w:t>c</w:t>
      </w:r>
      <w:r w:rsidR="00F4281C" w:rsidRPr="00F4281C">
        <w:rPr>
          <w:rFonts w:asciiTheme="minorHAnsi" w:hAnsiTheme="minorHAnsi"/>
        </w:rPr>
        <w:t xml:space="preserve">) Testimonio de la Escritura Pública de Modificación al Pacto Social por Aumento de Capital </w:t>
      </w:r>
      <w:r w:rsidR="00F4281C">
        <w:rPr>
          <w:rFonts w:asciiTheme="minorHAnsi" w:hAnsiTheme="minorHAnsi"/>
        </w:rPr>
        <w:t xml:space="preserve">Social Fijo </w:t>
      </w:r>
      <w:r w:rsidR="00F26766" w:rsidRPr="00F26766">
        <w:rPr>
          <w:rFonts w:asciiTheme="minorHAnsi" w:hAnsiTheme="minorHAnsi"/>
        </w:rPr>
        <w:t xml:space="preserve">otorgada en la ciudad de San Salvador, a las </w:t>
      </w:r>
      <w:r w:rsidR="00F4281C">
        <w:rPr>
          <w:rFonts w:asciiTheme="minorHAnsi" w:hAnsiTheme="minorHAnsi"/>
        </w:rPr>
        <w:t>dieciséis</w:t>
      </w:r>
      <w:r w:rsidR="00F26766" w:rsidRPr="00F26766">
        <w:rPr>
          <w:rFonts w:asciiTheme="minorHAnsi" w:hAnsiTheme="minorHAnsi"/>
        </w:rPr>
        <w:t xml:space="preserve"> horas del día </w:t>
      </w:r>
      <w:r w:rsidR="00F4281C">
        <w:rPr>
          <w:rFonts w:asciiTheme="minorHAnsi" w:hAnsiTheme="minorHAnsi"/>
        </w:rPr>
        <w:t>dieciocho de marzo de dos mil quince</w:t>
      </w:r>
      <w:r w:rsidR="00F26766" w:rsidRPr="00F26766">
        <w:rPr>
          <w:rFonts w:asciiTheme="minorHAnsi" w:hAnsiTheme="minorHAnsi"/>
        </w:rPr>
        <w:t xml:space="preserve">, ante los oficios notariales de </w:t>
      </w:r>
      <w:bookmarkStart w:id="11" w:name="_Hlk25565607"/>
      <w:r w:rsidR="0065155D">
        <w:rPr>
          <w:rFonts w:asciiTheme="minorHAnsi" w:hAnsiTheme="minorHAnsi"/>
        </w:rPr>
        <w:t>LILIAM ELIZABETH CRUZ CORTEZ</w:t>
      </w:r>
      <w:bookmarkEnd w:id="11"/>
      <w:r w:rsidR="00F26766" w:rsidRPr="00F26766">
        <w:rPr>
          <w:rFonts w:asciiTheme="minorHAnsi" w:hAnsiTheme="minorHAnsi"/>
        </w:rPr>
        <w:t xml:space="preserve">, inscrita en el Registro de Comercio, bajo el número </w:t>
      </w:r>
      <w:r w:rsidR="0065155D">
        <w:rPr>
          <w:rFonts w:asciiTheme="minorHAnsi" w:hAnsiTheme="minorHAnsi"/>
        </w:rPr>
        <w:t>CIENTO CINCO</w:t>
      </w:r>
      <w:r w:rsidR="00F26766" w:rsidRPr="00F26766">
        <w:rPr>
          <w:rFonts w:asciiTheme="minorHAnsi" w:hAnsiTheme="minorHAnsi"/>
        </w:rPr>
        <w:t xml:space="preserve"> del Libro </w:t>
      </w:r>
      <w:r w:rsidR="0065155D">
        <w:rPr>
          <w:rFonts w:asciiTheme="minorHAnsi" w:hAnsiTheme="minorHAnsi"/>
        </w:rPr>
        <w:t xml:space="preserve">TRES MIL CUATROCIENTOS UNO </w:t>
      </w:r>
      <w:r w:rsidR="00F26766" w:rsidRPr="00F26766">
        <w:rPr>
          <w:rFonts w:asciiTheme="minorHAnsi" w:hAnsiTheme="minorHAnsi"/>
        </w:rPr>
        <w:t xml:space="preserve"> del Registro de Sociedades,</w:t>
      </w:r>
      <w:r w:rsidR="0065155D" w:rsidRPr="0065155D">
        <w:t xml:space="preserve"> </w:t>
      </w:r>
      <w:r w:rsidR="0065155D" w:rsidRPr="0065155D">
        <w:rPr>
          <w:rFonts w:asciiTheme="minorHAnsi" w:hAnsiTheme="minorHAnsi"/>
        </w:rPr>
        <w:t xml:space="preserve">el día </w:t>
      </w:r>
      <w:r w:rsidR="0065155D">
        <w:rPr>
          <w:rFonts w:asciiTheme="minorHAnsi" w:hAnsiTheme="minorHAnsi"/>
        </w:rPr>
        <w:t xml:space="preserve">diecisiete de abril de dos mil quince; </w:t>
      </w:r>
      <w:r w:rsidR="00F26766" w:rsidRPr="00F26766">
        <w:rPr>
          <w:rFonts w:asciiTheme="minorHAnsi" w:hAnsiTheme="minorHAnsi"/>
        </w:rPr>
        <w:t xml:space="preserve"> en cual consta el Acuerdo de la Junta General Extraordinaria de Accionistas de Aumento de Capital Social </w:t>
      </w:r>
      <w:r w:rsidR="0065155D">
        <w:rPr>
          <w:rFonts w:asciiTheme="minorHAnsi" w:hAnsiTheme="minorHAnsi"/>
        </w:rPr>
        <w:t xml:space="preserve">Fijo, nuevo plazo máximo del periodo de funciones del Administrador Único y su suplente de siete años contados a partir de la inscripción de la credencial en el Registro de Comercio, </w:t>
      </w:r>
      <w:r w:rsidR="00F26766" w:rsidRPr="00F26766">
        <w:rPr>
          <w:rFonts w:asciiTheme="minorHAnsi" w:hAnsiTheme="minorHAnsi"/>
        </w:rPr>
        <w:t xml:space="preserve">modificación de la Cláusula </w:t>
      </w:r>
      <w:r w:rsidR="0065155D">
        <w:rPr>
          <w:rFonts w:asciiTheme="minorHAnsi" w:hAnsiTheme="minorHAnsi"/>
        </w:rPr>
        <w:t>de la Representación Legal en cuanto a las atribuciones de los Representantes Legales</w:t>
      </w:r>
      <w:r w:rsidR="00F26766" w:rsidRPr="00F26766">
        <w:rPr>
          <w:rFonts w:asciiTheme="minorHAnsi" w:hAnsiTheme="minorHAnsi"/>
        </w:rPr>
        <w:t>,</w:t>
      </w:r>
      <w:r w:rsidR="0065155D">
        <w:rPr>
          <w:rFonts w:asciiTheme="minorHAnsi" w:hAnsiTheme="minorHAnsi"/>
        </w:rPr>
        <w:t xml:space="preserve"> y modificar las demás Cláusulas del Pacto Social que correspondan modificar de acuerdo a las reformas del Decreto Legislativo número seiscientos cuarenta y uno del doce de junio de dos mil ocho, publicado en el Diario Oficial número ciento veinte tomo trecientos setenta y nueve de fecha veintisiete de junio de dos mil ocho, para efectos de cumplir con las nuevas disposiciones;  dando fe en el mismo instrumento </w:t>
      </w:r>
      <w:r w:rsidR="002F0DF2">
        <w:rPr>
          <w:rFonts w:asciiTheme="minorHAnsi" w:hAnsiTheme="minorHAnsi"/>
        </w:rPr>
        <w:t>la</w:t>
      </w:r>
      <w:r w:rsidR="0065155D">
        <w:rPr>
          <w:rFonts w:asciiTheme="minorHAnsi" w:hAnsiTheme="minorHAnsi"/>
        </w:rPr>
        <w:t xml:space="preserve"> notario autorizante de la existencia de aumento de capital social previos;  </w:t>
      </w:r>
      <w:r w:rsidR="00F26766" w:rsidRPr="00F26766">
        <w:rPr>
          <w:rFonts w:asciiTheme="minorHAnsi" w:hAnsiTheme="minorHAnsi"/>
        </w:rPr>
        <w:t>c) Testimonio de la Escritura Pública de Modificación al Pacto Social por Aumento de Capital Social</w:t>
      </w:r>
      <w:r w:rsidR="002F0DF2">
        <w:rPr>
          <w:rFonts w:asciiTheme="minorHAnsi" w:hAnsiTheme="minorHAnsi"/>
        </w:rPr>
        <w:t xml:space="preserve"> Fijo</w:t>
      </w:r>
      <w:r w:rsidR="00F26766" w:rsidRPr="00F26766">
        <w:rPr>
          <w:rFonts w:asciiTheme="minorHAnsi" w:hAnsiTheme="minorHAnsi"/>
        </w:rPr>
        <w:t xml:space="preserve"> otorgada en la ciudad de San Salvador, a las ocho horas del día </w:t>
      </w:r>
      <w:r w:rsidR="002F0DF2">
        <w:rPr>
          <w:rFonts w:asciiTheme="minorHAnsi" w:hAnsiTheme="minorHAnsi"/>
        </w:rPr>
        <w:t>quince de febrero de dos mil dieciocho</w:t>
      </w:r>
      <w:r w:rsidR="00F26766" w:rsidRPr="00F26766">
        <w:rPr>
          <w:rFonts w:asciiTheme="minorHAnsi" w:hAnsiTheme="minorHAnsi"/>
        </w:rPr>
        <w:t xml:space="preserve">, ante los oficios </w:t>
      </w:r>
      <w:r w:rsidR="00F26766" w:rsidRPr="00F26766">
        <w:rPr>
          <w:rFonts w:asciiTheme="minorHAnsi" w:hAnsiTheme="minorHAnsi"/>
        </w:rPr>
        <w:lastRenderedPageBreak/>
        <w:t xml:space="preserve">notariales de </w:t>
      </w:r>
      <w:r w:rsidR="002F0DF2" w:rsidRPr="002F0DF2">
        <w:rPr>
          <w:rFonts w:asciiTheme="minorHAnsi" w:hAnsiTheme="minorHAnsi"/>
        </w:rPr>
        <w:t>LILIAM ELIZABETH CRUZ CORTEZ</w:t>
      </w:r>
      <w:r w:rsidR="00F26766" w:rsidRPr="00F26766">
        <w:rPr>
          <w:rFonts w:asciiTheme="minorHAnsi" w:hAnsiTheme="minorHAnsi"/>
        </w:rPr>
        <w:t xml:space="preserve">, inscrita en el Registro de Comercio, bajo el número </w:t>
      </w:r>
      <w:r w:rsidR="002F0DF2">
        <w:rPr>
          <w:rFonts w:asciiTheme="minorHAnsi" w:hAnsiTheme="minorHAnsi"/>
        </w:rPr>
        <w:t>NOVENTA Y CUATRO</w:t>
      </w:r>
      <w:r w:rsidR="00F26766" w:rsidRPr="00F26766">
        <w:rPr>
          <w:rFonts w:asciiTheme="minorHAnsi" w:hAnsiTheme="minorHAnsi"/>
        </w:rPr>
        <w:t xml:space="preserve"> del Libro </w:t>
      </w:r>
      <w:r w:rsidR="002F0DF2">
        <w:rPr>
          <w:rFonts w:asciiTheme="minorHAnsi" w:hAnsiTheme="minorHAnsi"/>
        </w:rPr>
        <w:t xml:space="preserve">TRES MIL OCHOCIENTOS SESENTA Y DOS </w:t>
      </w:r>
      <w:r w:rsidR="00F26766" w:rsidRPr="00F26766">
        <w:rPr>
          <w:rFonts w:asciiTheme="minorHAnsi" w:hAnsiTheme="minorHAnsi"/>
        </w:rPr>
        <w:t xml:space="preserve">del Registro de Sociedades, </w:t>
      </w:r>
      <w:r w:rsidR="002F0DF2" w:rsidRPr="002F0DF2">
        <w:rPr>
          <w:rFonts w:asciiTheme="minorHAnsi" w:hAnsiTheme="minorHAnsi"/>
        </w:rPr>
        <w:t xml:space="preserve">el día </w:t>
      </w:r>
      <w:r w:rsidR="002F0DF2">
        <w:rPr>
          <w:rFonts w:asciiTheme="minorHAnsi" w:hAnsiTheme="minorHAnsi"/>
        </w:rPr>
        <w:t xml:space="preserve">nueve de marzo de dos mil dieciocho, </w:t>
      </w:r>
      <w:r w:rsidR="00F26766" w:rsidRPr="00F26766">
        <w:rPr>
          <w:rFonts w:asciiTheme="minorHAnsi" w:hAnsiTheme="minorHAnsi"/>
        </w:rPr>
        <w:t xml:space="preserve">en la cual consta </w:t>
      </w:r>
      <w:r w:rsidR="002F0DF2">
        <w:rPr>
          <w:rFonts w:asciiTheme="minorHAnsi" w:hAnsiTheme="minorHAnsi"/>
        </w:rPr>
        <w:t>la certificación extendida</w:t>
      </w:r>
      <w:r w:rsidR="00F26766" w:rsidRPr="00F26766">
        <w:rPr>
          <w:rFonts w:asciiTheme="minorHAnsi" w:hAnsiTheme="minorHAnsi"/>
        </w:rPr>
        <w:t xml:space="preserve"> </w:t>
      </w:r>
      <w:r w:rsidR="002F0DF2">
        <w:rPr>
          <w:rFonts w:asciiTheme="minorHAnsi" w:hAnsiTheme="minorHAnsi"/>
        </w:rPr>
        <w:t xml:space="preserve">por la secretaria </w:t>
      </w:r>
      <w:r w:rsidR="00F26766" w:rsidRPr="00F26766">
        <w:rPr>
          <w:rFonts w:asciiTheme="minorHAnsi" w:hAnsiTheme="minorHAnsi"/>
        </w:rPr>
        <w:t xml:space="preserve">de la Junta General  Extraordinaria de Accionistas </w:t>
      </w:r>
      <w:r w:rsidR="002F0DF2">
        <w:rPr>
          <w:rFonts w:asciiTheme="minorHAnsi" w:hAnsiTheme="minorHAnsi"/>
        </w:rPr>
        <w:t xml:space="preserve">de la sociedad con fecha quince de diciembre de dos mil diecisiete, en la que consta el </w:t>
      </w:r>
      <w:r w:rsidR="00F26766" w:rsidRPr="00F26766">
        <w:rPr>
          <w:rFonts w:asciiTheme="minorHAnsi" w:hAnsiTheme="minorHAnsi"/>
        </w:rPr>
        <w:t>Aumento de Capital Social</w:t>
      </w:r>
      <w:r w:rsidR="002F0DF2">
        <w:rPr>
          <w:rFonts w:asciiTheme="minorHAnsi" w:hAnsiTheme="minorHAnsi"/>
        </w:rPr>
        <w:t xml:space="preserve"> Fijo, </w:t>
      </w:r>
      <w:r w:rsidR="00F26766" w:rsidRPr="00F26766">
        <w:rPr>
          <w:rFonts w:asciiTheme="minorHAnsi" w:hAnsiTheme="minorHAnsi"/>
        </w:rPr>
        <w:t>modificación de la Cláusula Quinta</w:t>
      </w:r>
      <w:r w:rsidR="002F0DF2">
        <w:rPr>
          <w:rFonts w:asciiTheme="minorHAnsi" w:hAnsiTheme="minorHAnsi"/>
        </w:rPr>
        <w:t xml:space="preserve"> y </w:t>
      </w:r>
      <w:r w:rsidR="002F0DF2" w:rsidRPr="002F0DF2">
        <w:rPr>
          <w:rFonts w:asciiTheme="minorHAnsi" w:hAnsiTheme="minorHAnsi"/>
        </w:rPr>
        <w:t xml:space="preserve">Cláusula </w:t>
      </w:r>
      <w:r w:rsidR="002F0DF2">
        <w:rPr>
          <w:rFonts w:asciiTheme="minorHAnsi" w:hAnsiTheme="minorHAnsi"/>
        </w:rPr>
        <w:t>sexta</w:t>
      </w:r>
      <w:r w:rsidR="00F26766" w:rsidRPr="00F26766">
        <w:rPr>
          <w:rFonts w:asciiTheme="minorHAnsi" w:hAnsiTheme="minorHAnsi"/>
        </w:rPr>
        <w:t xml:space="preserve">; d) Credencial de Elección de Administrador Único Propietario y Suplente de la Sociedad, inscrita el día ocho de diciembre de dos mil diecisiete, bajo el número </w:t>
      </w:r>
      <w:r w:rsidR="002F0DF2">
        <w:rPr>
          <w:rFonts w:asciiTheme="minorHAnsi" w:hAnsiTheme="minorHAnsi"/>
        </w:rPr>
        <w:t xml:space="preserve">CUATRO </w:t>
      </w:r>
      <w:r w:rsidR="00F26766" w:rsidRPr="00F26766">
        <w:rPr>
          <w:rFonts w:asciiTheme="minorHAnsi" w:hAnsiTheme="minorHAnsi"/>
        </w:rPr>
        <w:t xml:space="preserve">del Libro TRES MIL </w:t>
      </w:r>
      <w:r w:rsidR="002F0DF2">
        <w:rPr>
          <w:rFonts w:asciiTheme="minorHAnsi" w:hAnsiTheme="minorHAnsi"/>
        </w:rPr>
        <w:t xml:space="preserve">CUATROCIENTOS NOVENTA Y SEIS </w:t>
      </w:r>
      <w:r w:rsidR="00F26766" w:rsidRPr="00F26766">
        <w:rPr>
          <w:rFonts w:asciiTheme="minorHAnsi" w:hAnsiTheme="minorHAnsi"/>
        </w:rPr>
        <w:t xml:space="preserve"> del Registro de Sociedades, en la cual consta que el otorgante fue electo como Administrador Único Propietario de la sociedad para el período de siete años, contados a partir de la fecha de inscripción en el Registro de Comercio,  </w:t>
      </w:r>
      <w:r w:rsidR="002F0DF2">
        <w:rPr>
          <w:rFonts w:asciiTheme="minorHAnsi" w:hAnsiTheme="minorHAnsi"/>
        </w:rPr>
        <w:t xml:space="preserve">encontrándose </w:t>
      </w:r>
      <w:r w:rsidR="00F26766" w:rsidRPr="00F26766">
        <w:rPr>
          <w:rFonts w:asciiTheme="minorHAnsi" w:hAnsiTheme="minorHAnsi"/>
        </w:rPr>
        <w:t xml:space="preserve"> vigente su nombramiento</w:t>
      </w:r>
      <w:r w:rsidR="00DE66AC" w:rsidRPr="00AC5A14">
        <w:rPr>
          <w:rFonts w:asciiTheme="minorHAnsi" w:hAnsiTheme="minorHAnsi"/>
          <w:lang w:eastAsia="es-SV"/>
        </w:rPr>
        <w:t>, por l</w:t>
      </w:r>
      <w:r w:rsidR="002D758C">
        <w:rPr>
          <w:rFonts w:asciiTheme="minorHAnsi" w:hAnsiTheme="minorHAnsi"/>
          <w:lang w:eastAsia="es-SV"/>
        </w:rPr>
        <w:t xml:space="preserve">o que se encuentra </w:t>
      </w:r>
      <w:r w:rsidR="002F0DF2">
        <w:rPr>
          <w:rFonts w:asciiTheme="minorHAnsi" w:hAnsiTheme="minorHAnsi"/>
          <w:lang w:eastAsia="es-SV"/>
        </w:rPr>
        <w:t>facultado</w:t>
      </w:r>
      <w:r w:rsidR="00DE66AC" w:rsidRPr="00AC5A14">
        <w:rPr>
          <w:rFonts w:asciiTheme="minorHAnsi" w:hAnsiTheme="minorHAnsi"/>
          <w:lang w:eastAsia="es-SV"/>
        </w:rPr>
        <w:t xml:space="preserve"> para celebrar actos como el presente; </w:t>
      </w:r>
      <w:r w:rsidR="00DE66AC" w:rsidRPr="00AC5A14">
        <w:rPr>
          <w:rFonts w:asciiTheme="minorHAnsi" w:hAnsiTheme="minorHAnsi"/>
          <w:lang w:val="es-MX" w:eastAsia="es-SV"/>
        </w:rPr>
        <w:t>que en lo sucesivo del presente instrumento se denominará “</w:t>
      </w:r>
      <w:r w:rsidR="00DE66AC" w:rsidRPr="00AC5A14">
        <w:rPr>
          <w:rFonts w:asciiTheme="minorHAnsi" w:hAnsiTheme="minorHAnsi"/>
          <w:b/>
          <w:bCs/>
          <w:lang w:val="es-MX" w:eastAsia="es-SV"/>
        </w:rPr>
        <w:t>EL PROVEEDOR”</w:t>
      </w:r>
      <w:r w:rsidR="00DE66AC" w:rsidRPr="00AC5A14">
        <w:rPr>
          <w:rFonts w:asciiTheme="minorHAnsi" w:hAnsiTheme="minorHAnsi"/>
          <w:lang w:val="es-MX" w:eastAsia="es-SV"/>
        </w:rPr>
        <w:t>; por lo que en el carácter con que comparecemos convenimos en celebrar el presente Contrato de acuerdo a las siguientes cláusulas:</w:t>
      </w:r>
    </w:p>
    <w:p w14:paraId="4EC860AE" w14:textId="77777777" w:rsidR="00DA205B" w:rsidRDefault="00DE66AC" w:rsidP="00DA205B">
      <w:pPr>
        <w:tabs>
          <w:tab w:val="left" w:pos="-720"/>
        </w:tabs>
        <w:spacing w:line="360" w:lineRule="auto"/>
        <w:jc w:val="both"/>
        <w:rPr>
          <w:rFonts w:cs="Calibri"/>
          <w:lang w:val="es-MX"/>
        </w:rPr>
      </w:pPr>
      <w:r w:rsidRPr="00A82133">
        <w:rPr>
          <w:b/>
          <w:bCs/>
          <w:lang w:val="es-MX" w:eastAsia="es-SV"/>
        </w:rPr>
        <w:t>CLÁUSULA PRIMERA: BASE LEGAL.</w:t>
      </w:r>
      <w:r w:rsidRPr="00A82133">
        <w:rPr>
          <w:lang w:val="es-MX" w:eastAsia="es-SV"/>
        </w:rPr>
        <w:t xml:space="preserve"> El presente Contrato se suscribe en base al </w:t>
      </w:r>
      <w:bookmarkStart w:id="12" w:name="_Hlk23154294"/>
      <w:r w:rsidR="00DA205B" w:rsidRPr="00BF0BBB">
        <w:rPr>
          <w:rFonts w:cs="Calibri"/>
          <w:lang w:val="es-MX"/>
        </w:rPr>
        <w:t>CONVENIO INDIVIDUAL DE FINANCIAMIENTO NO REEMBOLSABLE DE INVERSIÓN DEL FONDO MESOAMERICANO DE SALUD No. GRT/HE-16714-ES GRT/HE-16715-ES</w:t>
      </w:r>
      <w:bookmarkEnd w:id="12"/>
      <w:r w:rsidR="00DA205B" w:rsidRPr="00BF0BBB">
        <w:rPr>
          <w:rFonts w:cs="Calibri"/>
          <w:lang w:val="es-MX"/>
        </w:rPr>
        <w:t>,</w:t>
      </w:r>
      <w:r w:rsidR="00DA205B" w:rsidRPr="00727206">
        <w:rPr>
          <w:rFonts w:cs="Calibri"/>
          <w:lang w:val="es-MX"/>
        </w:rPr>
        <w:t xml:space="preserve"> con el Banco Interamericano de Desarrollo (BID), </w:t>
      </w:r>
    </w:p>
    <w:p w14:paraId="6C8143F4" w14:textId="3249891E" w:rsidR="00DE66AC" w:rsidRDefault="00DE66AC" w:rsidP="00DA205B">
      <w:pPr>
        <w:tabs>
          <w:tab w:val="left" w:pos="-720"/>
        </w:tabs>
        <w:spacing w:line="360" w:lineRule="auto"/>
        <w:jc w:val="both"/>
        <w:rPr>
          <w:lang w:val="es-MX" w:eastAsia="es-SV"/>
        </w:rPr>
      </w:pPr>
      <w:r w:rsidRPr="00A82133">
        <w:rPr>
          <w:b/>
          <w:bCs/>
          <w:lang w:val="es-MX" w:eastAsia="es-SV"/>
        </w:rPr>
        <w:t>CLÁUSULA SEGUNDA: OBJETO.</w:t>
      </w:r>
      <w:r w:rsidRPr="00A82133">
        <w:rPr>
          <w:lang w:val="es-MX" w:eastAsia="es-SV"/>
        </w:rPr>
        <w:t xml:space="preserve"> EL PROVEEDOR se o</w:t>
      </w:r>
      <w:r w:rsidR="003F4A87">
        <w:rPr>
          <w:lang w:val="es-MX" w:eastAsia="es-SV"/>
        </w:rPr>
        <w:t xml:space="preserve">bliga a suministrar los bienes denominado </w:t>
      </w:r>
      <w:r w:rsidR="0068104C" w:rsidRPr="0068104C">
        <w:rPr>
          <w:rFonts w:cs="Calibri"/>
          <w:lang w:val="es-MX"/>
        </w:rPr>
        <w:t>“ADQUISICIÓN DE INSUMOS DE LABORATORIO PARA APOYAR LOS HOSPITALES DE LOS MUNICIPIOS BENEFICIADOS CON LA INICIATIVA SALUD MESOAMÉRICA”</w:t>
      </w:r>
      <w:r w:rsidRPr="00A82133">
        <w:rPr>
          <w:lang w:val="es-MX" w:eastAsia="es-SV"/>
        </w:rPr>
        <w:t>, de acuerdo a la forma, especificaciones y cantidades acordadas para la presente contratación, de la siguiente forma:</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992"/>
        <w:gridCol w:w="3542"/>
        <w:gridCol w:w="1134"/>
        <w:gridCol w:w="992"/>
        <w:gridCol w:w="906"/>
        <w:gridCol w:w="1074"/>
        <w:gridCol w:w="15"/>
      </w:tblGrid>
      <w:tr w:rsidR="0068104C" w:rsidRPr="0068104C" w14:paraId="5DCC1A57" w14:textId="77777777" w:rsidTr="0068104C">
        <w:trPr>
          <w:gridAfter w:val="1"/>
          <w:wAfter w:w="15" w:type="dxa"/>
          <w:trHeight w:val="992"/>
          <w:jc w:val="center"/>
        </w:trPr>
        <w:tc>
          <w:tcPr>
            <w:tcW w:w="709" w:type="dxa"/>
            <w:tcBorders>
              <w:top w:val="single" w:sz="4" w:space="0" w:color="auto"/>
            </w:tcBorders>
            <w:shd w:val="clear" w:color="auto" w:fill="auto"/>
          </w:tcPr>
          <w:p w14:paraId="4142A3E5" w14:textId="77777777" w:rsidR="0068104C" w:rsidRPr="0068104C" w:rsidRDefault="0068104C" w:rsidP="0068104C">
            <w:pPr>
              <w:spacing w:after="120" w:line="240" w:lineRule="auto"/>
              <w:jc w:val="center"/>
              <w:rPr>
                <w:rFonts w:asciiTheme="minorHAnsi" w:eastAsia="Times New Roman" w:hAnsiTheme="minorHAnsi" w:cstheme="minorHAnsi"/>
                <w:b/>
                <w:sz w:val="18"/>
                <w:szCs w:val="18"/>
                <w:lang w:val="es-MX"/>
              </w:rPr>
            </w:pPr>
            <w:r w:rsidRPr="0068104C">
              <w:rPr>
                <w:rFonts w:asciiTheme="minorHAnsi" w:eastAsia="Times New Roman" w:hAnsiTheme="minorHAnsi" w:cstheme="minorHAnsi"/>
                <w:b/>
                <w:sz w:val="18"/>
                <w:szCs w:val="18"/>
                <w:lang w:val="es-MX"/>
              </w:rPr>
              <w:t>LOTE</w:t>
            </w:r>
          </w:p>
          <w:p w14:paraId="34965F42" w14:textId="77777777" w:rsidR="0068104C" w:rsidRPr="0068104C" w:rsidRDefault="0068104C" w:rsidP="0068104C">
            <w:pPr>
              <w:spacing w:after="120" w:line="240" w:lineRule="auto"/>
              <w:jc w:val="center"/>
              <w:rPr>
                <w:rFonts w:asciiTheme="minorHAnsi" w:eastAsia="Times New Roman" w:hAnsiTheme="minorHAnsi" w:cstheme="minorHAnsi"/>
                <w:b/>
                <w:sz w:val="18"/>
                <w:szCs w:val="18"/>
                <w:lang w:val="es-MX"/>
              </w:rPr>
            </w:pPr>
            <w:r w:rsidRPr="0068104C">
              <w:rPr>
                <w:rFonts w:asciiTheme="minorHAnsi" w:eastAsia="Times New Roman" w:hAnsiTheme="minorHAnsi" w:cstheme="minorHAnsi"/>
                <w:b/>
                <w:sz w:val="18"/>
                <w:szCs w:val="18"/>
                <w:lang w:val="es-MX"/>
              </w:rPr>
              <w:t>2</w:t>
            </w:r>
          </w:p>
        </w:tc>
        <w:tc>
          <w:tcPr>
            <w:tcW w:w="992" w:type="dxa"/>
            <w:tcBorders>
              <w:top w:val="single" w:sz="4" w:space="0" w:color="auto"/>
            </w:tcBorders>
          </w:tcPr>
          <w:p w14:paraId="07D1435E" w14:textId="77777777" w:rsidR="0068104C" w:rsidRPr="0068104C" w:rsidRDefault="0068104C" w:rsidP="0068104C">
            <w:pPr>
              <w:spacing w:after="120" w:line="240" w:lineRule="auto"/>
              <w:jc w:val="center"/>
              <w:rPr>
                <w:rFonts w:asciiTheme="minorHAnsi" w:eastAsia="Times New Roman" w:hAnsiTheme="minorHAnsi" w:cstheme="minorHAnsi"/>
                <w:b/>
                <w:sz w:val="18"/>
                <w:szCs w:val="18"/>
                <w:lang w:val="es-MX"/>
              </w:rPr>
            </w:pPr>
            <w:r w:rsidRPr="0068104C">
              <w:rPr>
                <w:rFonts w:asciiTheme="minorHAnsi" w:eastAsia="Times New Roman" w:hAnsiTheme="minorHAnsi" w:cstheme="minorHAnsi"/>
                <w:b/>
                <w:sz w:val="18"/>
                <w:szCs w:val="18"/>
                <w:lang w:val="es-MX"/>
              </w:rPr>
              <w:t>CÓDIGO MINSAL</w:t>
            </w:r>
          </w:p>
        </w:tc>
        <w:tc>
          <w:tcPr>
            <w:tcW w:w="3542" w:type="dxa"/>
            <w:tcBorders>
              <w:top w:val="single" w:sz="4" w:space="0" w:color="auto"/>
            </w:tcBorders>
            <w:shd w:val="clear" w:color="auto" w:fill="auto"/>
          </w:tcPr>
          <w:p w14:paraId="02121F34" w14:textId="77777777" w:rsidR="0068104C" w:rsidRPr="0068104C" w:rsidRDefault="0068104C" w:rsidP="0068104C">
            <w:pPr>
              <w:spacing w:after="120" w:line="240" w:lineRule="auto"/>
              <w:jc w:val="center"/>
              <w:rPr>
                <w:rFonts w:asciiTheme="minorHAnsi" w:eastAsia="Times New Roman" w:hAnsiTheme="minorHAnsi" w:cstheme="minorHAnsi"/>
                <w:b/>
                <w:sz w:val="18"/>
                <w:szCs w:val="18"/>
                <w:lang w:val="es-MX"/>
              </w:rPr>
            </w:pPr>
            <w:r w:rsidRPr="0068104C">
              <w:rPr>
                <w:rFonts w:asciiTheme="minorHAnsi" w:eastAsia="Times New Roman" w:hAnsiTheme="minorHAnsi" w:cstheme="minorHAnsi"/>
                <w:b/>
                <w:sz w:val="18"/>
                <w:szCs w:val="18"/>
                <w:lang w:val="es-MX"/>
              </w:rPr>
              <w:t>DESCRIPCIÓN</w:t>
            </w:r>
          </w:p>
        </w:tc>
        <w:tc>
          <w:tcPr>
            <w:tcW w:w="1134" w:type="dxa"/>
            <w:tcBorders>
              <w:top w:val="single" w:sz="4" w:space="0" w:color="auto"/>
            </w:tcBorders>
            <w:shd w:val="clear" w:color="auto" w:fill="auto"/>
          </w:tcPr>
          <w:p w14:paraId="0C43CE42" w14:textId="77777777" w:rsidR="0068104C" w:rsidRPr="0068104C" w:rsidRDefault="0068104C" w:rsidP="0068104C">
            <w:pPr>
              <w:spacing w:after="120" w:line="240" w:lineRule="auto"/>
              <w:jc w:val="center"/>
              <w:rPr>
                <w:rFonts w:asciiTheme="minorHAnsi" w:eastAsia="Times New Roman" w:hAnsiTheme="minorHAnsi" w:cstheme="minorHAnsi"/>
                <w:b/>
                <w:sz w:val="18"/>
                <w:szCs w:val="18"/>
                <w:lang w:val="es-MX"/>
              </w:rPr>
            </w:pPr>
            <w:r w:rsidRPr="0068104C">
              <w:rPr>
                <w:rFonts w:asciiTheme="minorHAnsi" w:eastAsia="Times New Roman" w:hAnsiTheme="minorHAnsi" w:cstheme="minorHAnsi"/>
                <w:b/>
                <w:sz w:val="18"/>
                <w:szCs w:val="18"/>
                <w:lang w:val="es-MX"/>
              </w:rPr>
              <w:t>CANTIDAD</w:t>
            </w:r>
          </w:p>
        </w:tc>
        <w:tc>
          <w:tcPr>
            <w:tcW w:w="992" w:type="dxa"/>
            <w:tcBorders>
              <w:top w:val="single" w:sz="4" w:space="0" w:color="auto"/>
            </w:tcBorders>
            <w:shd w:val="clear" w:color="auto" w:fill="auto"/>
          </w:tcPr>
          <w:p w14:paraId="204C6E95" w14:textId="77777777" w:rsidR="0068104C" w:rsidRPr="0068104C" w:rsidRDefault="0068104C" w:rsidP="0068104C">
            <w:pPr>
              <w:spacing w:after="120" w:line="240" w:lineRule="auto"/>
              <w:jc w:val="center"/>
              <w:rPr>
                <w:rFonts w:asciiTheme="minorHAnsi" w:eastAsia="Times New Roman" w:hAnsiTheme="minorHAnsi" w:cstheme="minorHAnsi"/>
                <w:b/>
                <w:sz w:val="18"/>
                <w:szCs w:val="18"/>
                <w:lang w:val="es-MX"/>
              </w:rPr>
            </w:pPr>
            <w:r w:rsidRPr="0068104C">
              <w:rPr>
                <w:rFonts w:asciiTheme="minorHAnsi" w:eastAsia="Times New Roman" w:hAnsiTheme="minorHAnsi" w:cstheme="minorHAnsi"/>
                <w:b/>
                <w:sz w:val="18"/>
                <w:szCs w:val="18"/>
                <w:lang w:val="es-MX"/>
              </w:rPr>
              <w:t>UNIDAD DE MEDIDA</w:t>
            </w:r>
          </w:p>
        </w:tc>
        <w:tc>
          <w:tcPr>
            <w:tcW w:w="906" w:type="dxa"/>
            <w:tcBorders>
              <w:top w:val="single" w:sz="4" w:space="0" w:color="auto"/>
            </w:tcBorders>
            <w:shd w:val="clear" w:color="auto" w:fill="auto"/>
          </w:tcPr>
          <w:p w14:paraId="2F3B01DE" w14:textId="77777777" w:rsidR="0068104C" w:rsidRPr="0068104C" w:rsidRDefault="0068104C" w:rsidP="0068104C">
            <w:pPr>
              <w:spacing w:after="120" w:line="240" w:lineRule="auto"/>
              <w:jc w:val="center"/>
              <w:rPr>
                <w:rFonts w:asciiTheme="minorHAnsi" w:eastAsia="Times New Roman" w:hAnsiTheme="minorHAnsi" w:cstheme="minorHAnsi"/>
                <w:b/>
                <w:sz w:val="18"/>
                <w:szCs w:val="18"/>
                <w:lang w:val="es-MX"/>
              </w:rPr>
            </w:pPr>
            <w:r w:rsidRPr="0068104C">
              <w:rPr>
                <w:rFonts w:asciiTheme="minorHAnsi" w:eastAsia="Times New Roman" w:hAnsiTheme="minorHAnsi" w:cstheme="minorHAnsi"/>
                <w:b/>
                <w:sz w:val="18"/>
                <w:szCs w:val="18"/>
                <w:lang w:val="es-MX"/>
              </w:rPr>
              <w:t>PRECIO</w:t>
            </w:r>
          </w:p>
          <w:p w14:paraId="05C371A3" w14:textId="77777777" w:rsidR="0068104C" w:rsidRPr="0068104C" w:rsidRDefault="0068104C" w:rsidP="0068104C">
            <w:pPr>
              <w:spacing w:after="120" w:line="240" w:lineRule="auto"/>
              <w:jc w:val="center"/>
              <w:rPr>
                <w:rFonts w:asciiTheme="minorHAnsi" w:eastAsia="Times New Roman" w:hAnsiTheme="minorHAnsi" w:cstheme="minorHAnsi"/>
                <w:b/>
                <w:sz w:val="18"/>
                <w:szCs w:val="18"/>
                <w:lang w:val="es-MX"/>
              </w:rPr>
            </w:pPr>
            <w:r w:rsidRPr="0068104C">
              <w:rPr>
                <w:rFonts w:asciiTheme="minorHAnsi" w:eastAsia="Times New Roman" w:hAnsiTheme="minorHAnsi" w:cstheme="minorHAnsi"/>
                <w:b/>
                <w:sz w:val="18"/>
                <w:szCs w:val="18"/>
                <w:lang w:val="es-MX"/>
              </w:rPr>
              <w:t>(IVA incluido)</w:t>
            </w:r>
          </w:p>
        </w:tc>
        <w:tc>
          <w:tcPr>
            <w:tcW w:w="1074" w:type="dxa"/>
            <w:tcBorders>
              <w:top w:val="single" w:sz="4" w:space="0" w:color="auto"/>
            </w:tcBorders>
            <w:shd w:val="clear" w:color="auto" w:fill="auto"/>
          </w:tcPr>
          <w:p w14:paraId="35EB3D17" w14:textId="77777777" w:rsidR="0068104C" w:rsidRPr="0068104C" w:rsidRDefault="0068104C" w:rsidP="0068104C">
            <w:pPr>
              <w:spacing w:after="120" w:line="240" w:lineRule="auto"/>
              <w:jc w:val="center"/>
              <w:rPr>
                <w:rFonts w:asciiTheme="minorHAnsi" w:eastAsia="Times New Roman" w:hAnsiTheme="minorHAnsi" w:cstheme="minorHAnsi"/>
                <w:b/>
                <w:sz w:val="18"/>
                <w:szCs w:val="18"/>
                <w:lang w:val="es-MX"/>
              </w:rPr>
            </w:pPr>
            <w:r w:rsidRPr="0068104C">
              <w:rPr>
                <w:rFonts w:asciiTheme="minorHAnsi" w:eastAsia="Times New Roman" w:hAnsiTheme="minorHAnsi" w:cstheme="minorHAnsi"/>
                <w:b/>
                <w:sz w:val="18"/>
                <w:szCs w:val="18"/>
                <w:lang w:val="es-MX"/>
              </w:rPr>
              <w:t>PRECIO TOTAL</w:t>
            </w:r>
          </w:p>
          <w:p w14:paraId="1C936666" w14:textId="77777777" w:rsidR="0068104C" w:rsidRPr="0068104C" w:rsidRDefault="0068104C" w:rsidP="0068104C">
            <w:pPr>
              <w:spacing w:after="120" w:line="240" w:lineRule="auto"/>
              <w:jc w:val="center"/>
              <w:rPr>
                <w:rFonts w:asciiTheme="minorHAnsi" w:eastAsia="Times New Roman" w:hAnsiTheme="minorHAnsi" w:cstheme="minorHAnsi"/>
                <w:b/>
                <w:sz w:val="18"/>
                <w:szCs w:val="18"/>
                <w:lang w:val="es-MX"/>
              </w:rPr>
            </w:pPr>
            <w:r w:rsidRPr="0068104C">
              <w:rPr>
                <w:rFonts w:asciiTheme="minorHAnsi" w:eastAsia="Times New Roman" w:hAnsiTheme="minorHAnsi" w:cstheme="minorHAnsi"/>
                <w:b/>
                <w:sz w:val="18"/>
                <w:szCs w:val="18"/>
                <w:lang w:val="es-MX"/>
              </w:rPr>
              <w:t>(IVA incluido</w:t>
            </w:r>
          </w:p>
        </w:tc>
      </w:tr>
      <w:tr w:rsidR="0068104C" w:rsidRPr="0068104C" w14:paraId="3B5DE9FB" w14:textId="77777777" w:rsidTr="0068104C">
        <w:trPr>
          <w:gridAfter w:val="1"/>
          <w:wAfter w:w="15" w:type="dxa"/>
          <w:trHeight w:val="316"/>
          <w:jc w:val="center"/>
        </w:trPr>
        <w:tc>
          <w:tcPr>
            <w:tcW w:w="709" w:type="dxa"/>
            <w:tcBorders>
              <w:right w:val="single" w:sz="4" w:space="0" w:color="auto"/>
            </w:tcBorders>
          </w:tcPr>
          <w:p w14:paraId="7A1B59CA" w14:textId="77777777" w:rsidR="0068104C" w:rsidRPr="0068104C" w:rsidRDefault="0068104C" w:rsidP="0068104C">
            <w:pPr>
              <w:spacing w:after="120" w:line="240" w:lineRule="auto"/>
              <w:jc w:val="center"/>
              <w:rPr>
                <w:rFonts w:asciiTheme="minorHAnsi" w:eastAsia="Times New Roman" w:hAnsiTheme="minorHAnsi" w:cstheme="minorHAnsi"/>
                <w:sz w:val="18"/>
                <w:szCs w:val="18"/>
                <w:lang w:val="es-MX"/>
              </w:rPr>
            </w:pPr>
            <w:r w:rsidRPr="0068104C">
              <w:rPr>
                <w:rFonts w:asciiTheme="minorHAnsi" w:eastAsia="Times New Roman" w:hAnsiTheme="minorHAnsi" w:cstheme="minorHAnsi"/>
                <w:sz w:val="18"/>
                <w:szCs w:val="18"/>
                <w:lang w:val="es-MX"/>
              </w:rPr>
              <w:t>Ítem 1</w:t>
            </w:r>
          </w:p>
        </w:tc>
        <w:tc>
          <w:tcPr>
            <w:tcW w:w="992" w:type="dxa"/>
            <w:shd w:val="clear" w:color="auto" w:fill="auto"/>
          </w:tcPr>
          <w:p w14:paraId="06508097" w14:textId="77777777" w:rsidR="0068104C" w:rsidRPr="0068104C" w:rsidRDefault="0068104C" w:rsidP="0068104C">
            <w:pPr>
              <w:widowControl w:val="0"/>
              <w:spacing w:after="0" w:line="240" w:lineRule="auto"/>
              <w:textAlignment w:val="baseline"/>
              <w:rPr>
                <w:rFonts w:asciiTheme="minorHAnsi" w:hAnsiTheme="minorHAnsi" w:cstheme="minorHAnsi"/>
                <w:bCs/>
                <w:kern w:val="1"/>
                <w:sz w:val="18"/>
                <w:szCs w:val="18"/>
                <w:lang w:val="en-US" w:bidi="hi-IN"/>
              </w:rPr>
            </w:pPr>
            <w:r w:rsidRPr="0068104C">
              <w:rPr>
                <w:rFonts w:asciiTheme="minorHAnsi" w:eastAsia="SimSun" w:hAnsiTheme="minorHAnsi" w:cstheme="minorHAnsi"/>
                <w:spacing w:val="-3"/>
                <w:sz w:val="18"/>
                <w:szCs w:val="18"/>
                <w:lang w:val="es-ES_tradnl" w:eastAsia="es-AR"/>
              </w:rPr>
              <w:t>30503786</w:t>
            </w:r>
          </w:p>
        </w:tc>
        <w:tc>
          <w:tcPr>
            <w:tcW w:w="3542" w:type="dxa"/>
            <w:tcBorders>
              <w:top w:val="single" w:sz="4" w:space="0" w:color="auto"/>
              <w:left w:val="single" w:sz="4" w:space="0" w:color="auto"/>
              <w:bottom w:val="single" w:sz="4" w:space="0" w:color="auto"/>
              <w:right w:val="single" w:sz="4" w:space="0" w:color="auto"/>
            </w:tcBorders>
            <w:vAlign w:val="center"/>
          </w:tcPr>
          <w:p w14:paraId="5961CB0A" w14:textId="77777777" w:rsidR="0068104C" w:rsidRPr="0068104C" w:rsidRDefault="0068104C" w:rsidP="0068104C">
            <w:pPr>
              <w:widowControl w:val="0"/>
              <w:pBdr>
                <w:bottom w:val="single" w:sz="6" w:space="1" w:color="auto"/>
              </w:pBdr>
              <w:spacing w:after="0" w:line="240" w:lineRule="auto"/>
              <w:textAlignment w:val="baseline"/>
              <w:rPr>
                <w:rFonts w:asciiTheme="minorHAnsi" w:eastAsia="SimSun" w:hAnsiTheme="minorHAnsi" w:cstheme="minorHAnsi"/>
                <w:sz w:val="18"/>
                <w:szCs w:val="18"/>
                <w:lang w:val="es-ES_tradnl" w:eastAsia="es-AR"/>
              </w:rPr>
            </w:pPr>
            <w:r w:rsidRPr="0068104C">
              <w:rPr>
                <w:rFonts w:asciiTheme="minorHAnsi" w:eastAsia="SimSun" w:hAnsiTheme="minorHAnsi" w:cstheme="minorHAnsi"/>
                <w:sz w:val="18"/>
                <w:szCs w:val="18"/>
                <w:lang w:val="es-ES_tradnl" w:eastAsia="es-AR"/>
              </w:rPr>
              <w:t>TUBO PLASTICO AL VACIO (13 X 75) MILIMETROS, SIN ANTICOAGULANTE (TAPON ROJO- AMARILLO), CON ACTIVADOR DE COAGULACION Y GEL SEPARADOR, CAPACIDAD (2-4) MILILITROS.</w:t>
            </w:r>
          </w:p>
          <w:p w14:paraId="17B72297" w14:textId="77777777" w:rsidR="0068104C" w:rsidRPr="0068104C" w:rsidRDefault="0068104C" w:rsidP="0068104C">
            <w:pPr>
              <w:widowControl w:val="0"/>
              <w:spacing w:after="0" w:line="240" w:lineRule="auto"/>
              <w:textAlignment w:val="baseline"/>
              <w:rPr>
                <w:rFonts w:asciiTheme="minorHAnsi" w:hAnsiTheme="minorHAnsi" w:cstheme="minorHAnsi"/>
                <w:kern w:val="1"/>
                <w:sz w:val="18"/>
                <w:szCs w:val="18"/>
                <w:lang w:bidi="hi-IN"/>
              </w:rPr>
            </w:pPr>
            <w:r w:rsidRPr="0068104C">
              <w:rPr>
                <w:rFonts w:asciiTheme="minorHAnsi" w:hAnsiTheme="minorHAnsi" w:cstheme="minorHAnsi"/>
                <w:kern w:val="1"/>
                <w:sz w:val="18"/>
                <w:szCs w:val="18"/>
                <w:lang w:bidi="hi-IN"/>
              </w:rPr>
              <w:t>Marca: GONGDONG MEDICAL</w:t>
            </w:r>
          </w:p>
          <w:p w14:paraId="67B6BA2B" w14:textId="77777777" w:rsidR="0068104C" w:rsidRPr="0068104C" w:rsidRDefault="0068104C" w:rsidP="0068104C">
            <w:pPr>
              <w:widowControl w:val="0"/>
              <w:spacing w:after="0" w:line="240" w:lineRule="auto"/>
              <w:textAlignment w:val="baseline"/>
              <w:rPr>
                <w:rFonts w:asciiTheme="minorHAnsi" w:hAnsiTheme="minorHAnsi" w:cstheme="minorHAnsi"/>
                <w:kern w:val="1"/>
                <w:sz w:val="18"/>
                <w:szCs w:val="18"/>
                <w:lang w:bidi="hi-IN"/>
              </w:rPr>
            </w:pPr>
            <w:r w:rsidRPr="0068104C">
              <w:rPr>
                <w:rFonts w:asciiTheme="minorHAnsi" w:hAnsiTheme="minorHAnsi" w:cstheme="minorHAnsi"/>
                <w:kern w:val="1"/>
                <w:sz w:val="18"/>
                <w:szCs w:val="18"/>
                <w:lang w:bidi="hi-IN"/>
              </w:rPr>
              <w:t>País de origen: China</w:t>
            </w:r>
          </w:p>
          <w:p w14:paraId="6810F01D" w14:textId="77777777" w:rsidR="0068104C" w:rsidRPr="0068104C" w:rsidRDefault="0068104C" w:rsidP="0068104C">
            <w:pPr>
              <w:widowControl w:val="0"/>
              <w:spacing w:after="0" w:line="240" w:lineRule="auto"/>
              <w:textAlignment w:val="baseline"/>
              <w:rPr>
                <w:rFonts w:asciiTheme="minorHAnsi" w:hAnsiTheme="minorHAnsi" w:cstheme="minorHAnsi"/>
                <w:kern w:val="1"/>
                <w:sz w:val="18"/>
                <w:szCs w:val="18"/>
                <w:lang w:bidi="hi-IN"/>
              </w:rPr>
            </w:pPr>
            <w:r w:rsidRPr="0068104C">
              <w:rPr>
                <w:rFonts w:asciiTheme="minorHAnsi" w:hAnsiTheme="minorHAnsi" w:cstheme="minorHAnsi"/>
                <w:kern w:val="1"/>
                <w:sz w:val="18"/>
                <w:szCs w:val="18"/>
                <w:lang w:bidi="hi-IN"/>
              </w:rPr>
              <w:t>Vencimiento ofertado: 12-18 meses al momento de su entrega.</w:t>
            </w:r>
          </w:p>
          <w:p w14:paraId="6CD88956" w14:textId="77777777" w:rsidR="0068104C" w:rsidRPr="0068104C" w:rsidRDefault="0068104C" w:rsidP="0068104C">
            <w:pPr>
              <w:widowControl w:val="0"/>
              <w:spacing w:after="0" w:line="240" w:lineRule="auto"/>
              <w:textAlignment w:val="baseline"/>
              <w:rPr>
                <w:rFonts w:asciiTheme="minorHAnsi" w:hAnsiTheme="minorHAnsi" w:cstheme="minorHAnsi"/>
                <w:kern w:val="1"/>
                <w:sz w:val="18"/>
                <w:szCs w:val="18"/>
                <w:lang w:bidi="hi-IN"/>
              </w:rPr>
            </w:pPr>
            <w:r w:rsidRPr="0068104C">
              <w:rPr>
                <w:rFonts w:asciiTheme="minorHAnsi" w:hAnsiTheme="minorHAnsi" w:cstheme="minorHAnsi"/>
                <w:kern w:val="1"/>
                <w:sz w:val="18"/>
                <w:szCs w:val="18"/>
                <w:lang w:bidi="hi-IN"/>
              </w:rPr>
              <w:lastRenderedPageBreak/>
              <w:t>TUBO PLASTICO AL VACIO (13 X 75) MILIMETROS, SIN ANTICOAGULANTE (TAPON ROJO- AMARILLO), CON ACTIVADOR DE COAGULACION Y GEL SEPARADOR, CAPACIDAD 4 ML.</w:t>
            </w:r>
          </w:p>
        </w:tc>
        <w:tc>
          <w:tcPr>
            <w:tcW w:w="1134" w:type="dxa"/>
            <w:tcBorders>
              <w:top w:val="single" w:sz="4" w:space="0" w:color="auto"/>
              <w:left w:val="single" w:sz="4" w:space="0" w:color="auto"/>
              <w:bottom w:val="single" w:sz="4" w:space="0" w:color="auto"/>
              <w:right w:val="single" w:sz="4" w:space="0" w:color="auto"/>
            </w:tcBorders>
          </w:tcPr>
          <w:p w14:paraId="4A198B4C" w14:textId="77777777" w:rsidR="0068104C" w:rsidRPr="0068104C" w:rsidRDefault="0068104C" w:rsidP="0068104C">
            <w:pPr>
              <w:widowControl w:val="0"/>
              <w:suppressLineNumbers/>
              <w:spacing w:after="0" w:line="240" w:lineRule="auto"/>
              <w:jc w:val="center"/>
              <w:textAlignment w:val="baseline"/>
              <w:rPr>
                <w:rFonts w:asciiTheme="minorHAnsi" w:hAnsiTheme="minorHAnsi" w:cstheme="minorHAnsi"/>
                <w:kern w:val="1"/>
                <w:sz w:val="18"/>
                <w:szCs w:val="18"/>
                <w:lang w:val="en-US" w:bidi="hi-IN"/>
              </w:rPr>
            </w:pPr>
            <w:r w:rsidRPr="0068104C">
              <w:rPr>
                <w:rFonts w:asciiTheme="minorHAnsi" w:eastAsia="SimSun" w:hAnsiTheme="minorHAnsi" w:cstheme="minorHAnsi"/>
                <w:spacing w:val="-3"/>
                <w:sz w:val="20"/>
                <w:szCs w:val="20"/>
                <w:lang w:val="es-ES_tradnl" w:eastAsia="es-AR"/>
              </w:rPr>
              <w:lastRenderedPageBreak/>
              <w:t>100,350</w:t>
            </w:r>
          </w:p>
        </w:tc>
        <w:tc>
          <w:tcPr>
            <w:tcW w:w="992" w:type="dxa"/>
            <w:tcBorders>
              <w:left w:val="single" w:sz="4" w:space="0" w:color="auto"/>
              <w:right w:val="single" w:sz="4" w:space="0" w:color="auto"/>
            </w:tcBorders>
          </w:tcPr>
          <w:p w14:paraId="5101C18B" w14:textId="77777777" w:rsidR="0068104C" w:rsidRPr="0068104C" w:rsidRDefault="0068104C" w:rsidP="0068104C">
            <w:pPr>
              <w:spacing w:after="120" w:line="240" w:lineRule="auto"/>
              <w:jc w:val="center"/>
              <w:rPr>
                <w:rFonts w:asciiTheme="minorHAnsi" w:eastAsia="Times New Roman" w:hAnsiTheme="minorHAnsi" w:cstheme="minorHAnsi"/>
                <w:sz w:val="18"/>
                <w:szCs w:val="18"/>
                <w:lang w:val="es-MX"/>
              </w:rPr>
            </w:pPr>
            <w:r w:rsidRPr="0068104C">
              <w:rPr>
                <w:rFonts w:asciiTheme="minorHAnsi" w:eastAsia="Times New Roman" w:hAnsiTheme="minorHAnsi" w:cstheme="minorHAnsi"/>
                <w:sz w:val="18"/>
                <w:szCs w:val="18"/>
                <w:lang w:val="es-MX"/>
              </w:rPr>
              <w:t>C/U</w:t>
            </w:r>
          </w:p>
          <w:p w14:paraId="4B6AD0A8" w14:textId="77777777" w:rsidR="0068104C" w:rsidRPr="0068104C" w:rsidRDefault="0068104C" w:rsidP="0068104C">
            <w:pPr>
              <w:spacing w:after="120" w:line="240" w:lineRule="auto"/>
              <w:jc w:val="center"/>
              <w:rPr>
                <w:rFonts w:asciiTheme="minorHAnsi" w:eastAsia="Times New Roman" w:hAnsiTheme="minorHAnsi" w:cstheme="minorHAnsi"/>
                <w:sz w:val="18"/>
                <w:szCs w:val="18"/>
                <w:lang w:val="es-MX"/>
              </w:rPr>
            </w:pPr>
          </w:p>
          <w:p w14:paraId="5BD38ABB" w14:textId="77777777" w:rsidR="0068104C" w:rsidRPr="0068104C" w:rsidRDefault="0068104C" w:rsidP="0068104C">
            <w:pPr>
              <w:spacing w:after="120" w:line="240" w:lineRule="auto"/>
              <w:jc w:val="center"/>
              <w:rPr>
                <w:rFonts w:asciiTheme="minorHAnsi" w:eastAsia="Times New Roman" w:hAnsiTheme="minorHAnsi" w:cstheme="minorHAnsi"/>
                <w:sz w:val="18"/>
                <w:szCs w:val="18"/>
                <w:lang w:val="es-MX"/>
              </w:rPr>
            </w:pPr>
          </w:p>
          <w:p w14:paraId="5D7E0FA2" w14:textId="77777777" w:rsidR="0068104C" w:rsidRPr="0068104C" w:rsidRDefault="0068104C" w:rsidP="0068104C">
            <w:pPr>
              <w:spacing w:after="120" w:line="240" w:lineRule="auto"/>
              <w:jc w:val="center"/>
              <w:rPr>
                <w:rFonts w:asciiTheme="minorHAnsi" w:eastAsia="Times New Roman" w:hAnsiTheme="minorHAnsi" w:cstheme="minorHAnsi"/>
                <w:sz w:val="18"/>
                <w:szCs w:val="18"/>
                <w:lang w:val="es-MX"/>
              </w:rPr>
            </w:pPr>
          </w:p>
        </w:tc>
        <w:tc>
          <w:tcPr>
            <w:tcW w:w="906" w:type="dxa"/>
            <w:tcBorders>
              <w:left w:val="single" w:sz="4" w:space="0" w:color="auto"/>
              <w:right w:val="single" w:sz="4" w:space="0" w:color="auto"/>
            </w:tcBorders>
          </w:tcPr>
          <w:p w14:paraId="482AA2AD" w14:textId="77777777" w:rsidR="0068104C" w:rsidRPr="0068104C" w:rsidRDefault="0068104C" w:rsidP="0068104C">
            <w:pPr>
              <w:spacing w:after="120" w:line="240" w:lineRule="auto"/>
              <w:jc w:val="center"/>
              <w:rPr>
                <w:rFonts w:asciiTheme="minorHAnsi" w:eastAsia="Times New Roman" w:hAnsiTheme="minorHAnsi" w:cstheme="minorHAnsi"/>
                <w:sz w:val="18"/>
                <w:szCs w:val="18"/>
                <w:lang w:val="es-MX"/>
              </w:rPr>
            </w:pPr>
            <w:r w:rsidRPr="0068104C">
              <w:rPr>
                <w:rFonts w:asciiTheme="minorHAnsi" w:eastAsia="Times New Roman" w:hAnsiTheme="minorHAnsi" w:cstheme="minorHAnsi"/>
                <w:sz w:val="18"/>
                <w:szCs w:val="18"/>
                <w:lang w:val="es-MX"/>
              </w:rPr>
              <w:t>$0.10</w:t>
            </w:r>
          </w:p>
        </w:tc>
        <w:tc>
          <w:tcPr>
            <w:tcW w:w="1074" w:type="dxa"/>
            <w:tcBorders>
              <w:left w:val="single" w:sz="4" w:space="0" w:color="auto"/>
            </w:tcBorders>
          </w:tcPr>
          <w:p w14:paraId="26AFA51C" w14:textId="77777777" w:rsidR="0068104C" w:rsidRPr="0068104C" w:rsidRDefault="0068104C" w:rsidP="0068104C">
            <w:pPr>
              <w:spacing w:after="120" w:line="240" w:lineRule="auto"/>
              <w:jc w:val="center"/>
              <w:rPr>
                <w:rFonts w:asciiTheme="minorHAnsi" w:eastAsia="Times New Roman" w:hAnsiTheme="minorHAnsi" w:cstheme="minorHAnsi"/>
                <w:sz w:val="18"/>
                <w:szCs w:val="18"/>
                <w:lang w:val="es-MX"/>
              </w:rPr>
            </w:pPr>
            <w:r w:rsidRPr="0068104C">
              <w:rPr>
                <w:rFonts w:asciiTheme="minorHAnsi" w:eastAsia="Times New Roman" w:hAnsiTheme="minorHAnsi" w:cstheme="minorHAnsi"/>
                <w:sz w:val="18"/>
                <w:szCs w:val="18"/>
                <w:lang w:val="es-MX"/>
              </w:rPr>
              <w:t>$10,035.00</w:t>
            </w:r>
          </w:p>
        </w:tc>
      </w:tr>
      <w:tr w:rsidR="0068104C" w:rsidRPr="0068104C" w14:paraId="7AC4D4D4" w14:textId="77777777" w:rsidTr="0068104C">
        <w:trPr>
          <w:gridAfter w:val="1"/>
          <w:wAfter w:w="15" w:type="dxa"/>
          <w:trHeight w:val="316"/>
          <w:jc w:val="center"/>
        </w:trPr>
        <w:tc>
          <w:tcPr>
            <w:tcW w:w="709" w:type="dxa"/>
            <w:tcBorders>
              <w:right w:val="single" w:sz="4" w:space="0" w:color="auto"/>
            </w:tcBorders>
          </w:tcPr>
          <w:p w14:paraId="1CE60E9D" w14:textId="77777777" w:rsidR="0068104C" w:rsidRPr="0068104C" w:rsidRDefault="0068104C" w:rsidP="0068104C">
            <w:pPr>
              <w:spacing w:after="120" w:line="240" w:lineRule="auto"/>
              <w:jc w:val="center"/>
              <w:rPr>
                <w:rFonts w:asciiTheme="minorHAnsi" w:eastAsia="Times New Roman" w:hAnsiTheme="minorHAnsi" w:cstheme="minorHAnsi"/>
                <w:sz w:val="18"/>
                <w:szCs w:val="18"/>
                <w:lang w:val="es-MX"/>
              </w:rPr>
            </w:pPr>
            <w:proofErr w:type="spellStart"/>
            <w:r w:rsidRPr="0068104C">
              <w:rPr>
                <w:rFonts w:asciiTheme="minorHAnsi" w:eastAsia="Times New Roman" w:hAnsiTheme="minorHAnsi" w:cstheme="minorHAnsi"/>
                <w:sz w:val="18"/>
                <w:szCs w:val="18"/>
                <w:lang w:val="es-MX"/>
              </w:rPr>
              <w:t>Item</w:t>
            </w:r>
            <w:proofErr w:type="spellEnd"/>
            <w:r w:rsidRPr="0068104C">
              <w:rPr>
                <w:rFonts w:asciiTheme="minorHAnsi" w:eastAsia="Times New Roman" w:hAnsiTheme="minorHAnsi" w:cstheme="minorHAnsi"/>
                <w:sz w:val="18"/>
                <w:szCs w:val="18"/>
                <w:lang w:val="es-MX"/>
              </w:rPr>
              <w:t xml:space="preserve"> 2</w:t>
            </w:r>
          </w:p>
        </w:tc>
        <w:tc>
          <w:tcPr>
            <w:tcW w:w="992" w:type="dxa"/>
            <w:shd w:val="clear" w:color="auto" w:fill="auto"/>
          </w:tcPr>
          <w:p w14:paraId="40CB5B00" w14:textId="77777777" w:rsidR="0068104C" w:rsidRPr="0068104C" w:rsidRDefault="0068104C" w:rsidP="0068104C">
            <w:pPr>
              <w:widowControl w:val="0"/>
              <w:spacing w:after="0" w:line="240" w:lineRule="auto"/>
              <w:textAlignment w:val="baseline"/>
              <w:rPr>
                <w:rFonts w:asciiTheme="minorHAnsi" w:hAnsiTheme="minorHAnsi" w:cstheme="minorHAnsi"/>
                <w:bCs/>
                <w:kern w:val="1"/>
                <w:sz w:val="18"/>
                <w:szCs w:val="18"/>
                <w:lang w:val="en-US" w:bidi="hi-IN"/>
              </w:rPr>
            </w:pPr>
            <w:r w:rsidRPr="0068104C">
              <w:rPr>
                <w:rFonts w:asciiTheme="minorHAnsi" w:eastAsia="SimSun" w:hAnsiTheme="minorHAnsi" w:cstheme="minorHAnsi"/>
                <w:spacing w:val="-3"/>
                <w:sz w:val="18"/>
                <w:szCs w:val="18"/>
                <w:lang w:val="es-ES_tradnl" w:eastAsia="es-AR"/>
              </w:rPr>
              <w:t>30503759</w:t>
            </w:r>
          </w:p>
        </w:tc>
        <w:tc>
          <w:tcPr>
            <w:tcW w:w="3542" w:type="dxa"/>
            <w:tcBorders>
              <w:top w:val="single" w:sz="4" w:space="0" w:color="auto"/>
              <w:left w:val="single" w:sz="4" w:space="0" w:color="auto"/>
              <w:bottom w:val="single" w:sz="4" w:space="0" w:color="auto"/>
              <w:right w:val="single" w:sz="4" w:space="0" w:color="auto"/>
            </w:tcBorders>
            <w:shd w:val="clear" w:color="auto" w:fill="FFFFFF"/>
            <w:vAlign w:val="center"/>
          </w:tcPr>
          <w:p w14:paraId="546EF128" w14:textId="77777777" w:rsidR="0068104C" w:rsidRPr="0068104C" w:rsidRDefault="0068104C" w:rsidP="0068104C">
            <w:pPr>
              <w:widowControl w:val="0"/>
              <w:pBdr>
                <w:bottom w:val="single" w:sz="6" w:space="1" w:color="auto"/>
              </w:pBdr>
              <w:spacing w:after="0" w:line="240" w:lineRule="auto"/>
              <w:textAlignment w:val="baseline"/>
              <w:rPr>
                <w:rFonts w:asciiTheme="minorHAnsi" w:eastAsia="SimSun" w:hAnsiTheme="minorHAnsi" w:cstheme="minorHAnsi"/>
                <w:color w:val="00000A"/>
                <w:sz w:val="18"/>
                <w:szCs w:val="18"/>
                <w:lang w:eastAsia="es-AR"/>
              </w:rPr>
            </w:pPr>
            <w:r w:rsidRPr="0068104C">
              <w:rPr>
                <w:rFonts w:asciiTheme="minorHAnsi" w:eastAsia="SimSun" w:hAnsiTheme="minorHAnsi" w:cstheme="minorHAnsi"/>
                <w:color w:val="00000A"/>
                <w:sz w:val="18"/>
                <w:szCs w:val="18"/>
                <w:lang w:eastAsia="es-AR"/>
              </w:rPr>
              <w:t>TUBO PLASTICO AL VACIO (13 X 75) MILIMETROS, CON ACIDO ETILENDIAMINOTETRACETICO (EDTA), (K2 O K3), (TAPON MORADO), CAPACIDAD 2 MILILITROS</w:t>
            </w:r>
          </w:p>
          <w:p w14:paraId="3F26636C" w14:textId="77777777" w:rsidR="0068104C" w:rsidRPr="0068104C" w:rsidRDefault="0068104C" w:rsidP="0068104C">
            <w:pPr>
              <w:widowControl w:val="0"/>
              <w:spacing w:after="0" w:line="240" w:lineRule="auto"/>
              <w:textAlignment w:val="baseline"/>
              <w:rPr>
                <w:rFonts w:asciiTheme="minorHAnsi" w:eastAsia="SimSun" w:hAnsiTheme="minorHAnsi" w:cstheme="minorHAnsi"/>
                <w:spacing w:val="-3"/>
                <w:sz w:val="18"/>
                <w:szCs w:val="18"/>
                <w:lang w:val="es-ES_tradnl" w:eastAsia="es-AR"/>
              </w:rPr>
            </w:pPr>
            <w:r w:rsidRPr="0068104C">
              <w:rPr>
                <w:rFonts w:asciiTheme="minorHAnsi" w:eastAsia="SimSun" w:hAnsiTheme="minorHAnsi" w:cstheme="minorHAnsi"/>
                <w:spacing w:val="-3"/>
                <w:sz w:val="18"/>
                <w:szCs w:val="18"/>
                <w:lang w:val="es-ES_tradnl" w:eastAsia="es-AR"/>
              </w:rPr>
              <w:t>Marca: GONGDONG MEDICAL</w:t>
            </w:r>
          </w:p>
          <w:p w14:paraId="3EC1028C" w14:textId="77777777" w:rsidR="0068104C" w:rsidRPr="0068104C" w:rsidRDefault="0068104C" w:rsidP="0068104C">
            <w:pPr>
              <w:widowControl w:val="0"/>
              <w:spacing w:after="0" w:line="240" w:lineRule="auto"/>
              <w:textAlignment w:val="baseline"/>
              <w:rPr>
                <w:rFonts w:asciiTheme="minorHAnsi" w:eastAsia="SimSun" w:hAnsiTheme="minorHAnsi" w:cstheme="minorHAnsi"/>
                <w:spacing w:val="-3"/>
                <w:sz w:val="18"/>
                <w:szCs w:val="18"/>
                <w:lang w:val="es-ES_tradnl" w:eastAsia="es-AR"/>
              </w:rPr>
            </w:pPr>
            <w:r w:rsidRPr="0068104C">
              <w:rPr>
                <w:rFonts w:asciiTheme="minorHAnsi" w:eastAsia="SimSun" w:hAnsiTheme="minorHAnsi" w:cstheme="minorHAnsi"/>
                <w:spacing w:val="-3"/>
                <w:sz w:val="18"/>
                <w:szCs w:val="18"/>
                <w:lang w:val="es-ES_tradnl" w:eastAsia="es-AR"/>
              </w:rPr>
              <w:t>País de origen: China</w:t>
            </w:r>
          </w:p>
          <w:p w14:paraId="0D8B864F" w14:textId="77777777" w:rsidR="0068104C" w:rsidRPr="0068104C" w:rsidRDefault="0068104C" w:rsidP="0068104C">
            <w:pPr>
              <w:widowControl w:val="0"/>
              <w:spacing w:after="0" w:line="240" w:lineRule="auto"/>
              <w:textAlignment w:val="baseline"/>
              <w:rPr>
                <w:rFonts w:asciiTheme="minorHAnsi" w:eastAsia="SimSun" w:hAnsiTheme="minorHAnsi" w:cstheme="minorHAnsi"/>
                <w:spacing w:val="-3"/>
                <w:sz w:val="18"/>
                <w:szCs w:val="18"/>
                <w:lang w:val="es-ES_tradnl" w:eastAsia="es-AR"/>
              </w:rPr>
            </w:pPr>
            <w:r w:rsidRPr="0068104C">
              <w:rPr>
                <w:rFonts w:asciiTheme="minorHAnsi" w:eastAsia="SimSun" w:hAnsiTheme="minorHAnsi" w:cstheme="minorHAnsi"/>
                <w:spacing w:val="-3"/>
                <w:sz w:val="18"/>
                <w:szCs w:val="18"/>
                <w:lang w:val="es-ES_tradnl" w:eastAsia="es-AR"/>
              </w:rPr>
              <w:t>Vencimiento ofertado: 12-18 meses al momento de su entrega.</w:t>
            </w:r>
          </w:p>
          <w:p w14:paraId="3CAC492F" w14:textId="77777777" w:rsidR="0068104C" w:rsidRPr="0068104C" w:rsidRDefault="0068104C" w:rsidP="0068104C">
            <w:pPr>
              <w:widowControl w:val="0"/>
              <w:spacing w:after="0" w:line="240" w:lineRule="auto"/>
              <w:textAlignment w:val="baseline"/>
              <w:rPr>
                <w:rFonts w:asciiTheme="minorHAnsi" w:eastAsia="SimSun" w:hAnsiTheme="minorHAnsi" w:cstheme="minorHAnsi"/>
                <w:spacing w:val="-3"/>
                <w:sz w:val="18"/>
                <w:szCs w:val="18"/>
                <w:lang w:val="es-ES_tradnl" w:eastAsia="es-AR"/>
              </w:rPr>
            </w:pPr>
            <w:r w:rsidRPr="0068104C">
              <w:rPr>
                <w:rFonts w:asciiTheme="minorHAnsi" w:eastAsia="SimSun" w:hAnsiTheme="minorHAnsi" w:cstheme="minorHAnsi"/>
                <w:spacing w:val="-3"/>
                <w:sz w:val="18"/>
                <w:szCs w:val="18"/>
                <w:lang w:val="es-ES_tradnl" w:eastAsia="es-AR"/>
              </w:rPr>
              <w:t>TUBO PLASTICO AL VACIO (13 X 75) MILIMETROS, CON ACIDO ETILENDIAMINOTETRACETICO (EDTA) K3, (TAPON MORADO), CAPACIDAD 2 ML</w:t>
            </w:r>
          </w:p>
        </w:tc>
        <w:tc>
          <w:tcPr>
            <w:tcW w:w="1134" w:type="dxa"/>
            <w:tcBorders>
              <w:top w:val="single" w:sz="4" w:space="0" w:color="auto"/>
              <w:left w:val="single" w:sz="4" w:space="0" w:color="auto"/>
              <w:bottom w:val="single" w:sz="4" w:space="0" w:color="auto"/>
              <w:right w:val="single" w:sz="4" w:space="0" w:color="auto"/>
            </w:tcBorders>
          </w:tcPr>
          <w:p w14:paraId="38806AAA" w14:textId="77777777" w:rsidR="0068104C" w:rsidRPr="0068104C" w:rsidRDefault="0068104C" w:rsidP="0068104C">
            <w:pPr>
              <w:widowControl w:val="0"/>
              <w:suppressLineNumbers/>
              <w:spacing w:after="0" w:line="240" w:lineRule="auto"/>
              <w:jc w:val="center"/>
              <w:textAlignment w:val="baseline"/>
              <w:rPr>
                <w:rFonts w:asciiTheme="minorHAnsi" w:hAnsiTheme="minorHAnsi" w:cstheme="minorHAnsi"/>
                <w:kern w:val="1"/>
                <w:sz w:val="18"/>
                <w:szCs w:val="18"/>
                <w:lang w:val="en-US" w:bidi="hi-IN"/>
              </w:rPr>
            </w:pPr>
            <w:r w:rsidRPr="0068104C">
              <w:rPr>
                <w:rFonts w:asciiTheme="minorHAnsi" w:eastAsia="SimSun" w:hAnsiTheme="minorHAnsi" w:cstheme="minorHAnsi"/>
                <w:spacing w:val="-3"/>
                <w:sz w:val="20"/>
                <w:szCs w:val="20"/>
                <w:lang w:val="es-ES_tradnl" w:eastAsia="es-AR"/>
              </w:rPr>
              <w:t>101,250</w:t>
            </w:r>
          </w:p>
        </w:tc>
        <w:tc>
          <w:tcPr>
            <w:tcW w:w="992" w:type="dxa"/>
            <w:tcBorders>
              <w:left w:val="single" w:sz="4" w:space="0" w:color="auto"/>
              <w:right w:val="single" w:sz="4" w:space="0" w:color="auto"/>
            </w:tcBorders>
          </w:tcPr>
          <w:p w14:paraId="3188C663" w14:textId="77777777" w:rsidR="0068104C" w:rsidRPr="0068104C" w:rsidRDefault="0068104C" w:rsidP="0068104C">
            <w:pPr>
              <w:spacing w:after="120" w:line="240" w:lineRule="auto"/>
              <w:jc w:val="center"/>
              <w:rPr>
                <w:rFonts w:asciiTheme="minorHAnsi" w:eastAsia="Times New Roman" w:hAnsiTheme="minorHAnsi" w:cstheme="minorHAnsi"/>
                <w:sz w:val="18"/>
                <w:szCs w:val="18"/>
                <w:lang w:val="es-MX"/>
              </w:rPr>
            </w:pPr>
            <w:r w:rsidRPr="0068104C">
              <w:rPr>
                <w:rFonts w:asciiTheme="minorHAnsi" w:eastAsia="Times New Roman" w:hAnsiTheme="minorHAnsi" w:cstheme="minorHAnsi"/>
                <w:sz w:val="18"/>
                <w:szCs w:val="18"/>
                <w:lang w:val="es-MX"/>
              </w:rPr>
              <w:t>C/U</w:t>
            </w:r>
          </w:p>
          <w:p w14:paraId="672F9A81" w14:textId="77777777" w:rsidR="0068104C" w:rsidRPr="0068104C" w:rsidRDefault="0068104C" w:rsidP="0068104C">
            <w:pPr>
              <w:spacing w:after="120" w:line="240" w:lineRule="auto"/>
              <w:jc w:val="center"/>
              <w:rPr>
                <w:rFonts w:asciiTheme="minorHAnsi" w:eastAsia="Times New Roman" w:hAnsiTheme="minorHAnsi" w:cstheme="minorHAnsi"/>
                <w:sz w:val="18"/>
                <w:szCs w:val="18"/>
                <w:lang w:val="es-MX"/>
              </w:rPr>
            </w:pPr>
          </w:p>
          <w:p w14:paraId="28473F33" w14:textId="77777777" w:rsidR="0068104C" w:rsidRPr="0068104C" w:rsidRDefault="0068104C" w:rsidP="0068104C">
            <w:pPr>
              <w:spacing w:after="120" w:line="240" w:lineRule="auto"/>
              <w:jc w:val="center"/>
              <w:rPr>
                <w:rFonts w:asciiTheme="minorHAnsi" w:eastAsia="Times New Roman" w:hAnsiTheme="minorHAnsi" w:cstheme="minorHAnsi"/>
                <w:sz w:val="18"/>
                <w:szCs w:val="18"/>
                <w:lang w:val="es-MX"/>
              </w:rPr>
            </w:pPr>
          </w:p>
          <w:p w14:paraId="5050566D" w14:textId="77777777" w:rsidR="0068104C" w:rsidRPr="0068104C" w:rsidRDefault="0068104C" w:rsidP="0068104C">
            <w:pPr>
              <w:spacing w:after="120" w:line="240" w:lineRule="auto"/>
              <w:jc w:val="center"/>
              <w:rPr>
                <w:rFonts w:asciiTheme="minorHAnsi" w:eastAsia="Times New Roman" w:hAnsiTheme="minorHAnsi" w:cstheme="minorHAnsi"/>
                <w:sz w:val="18"/>
                <w:szCs w:val="18"/>
                <w:lang w:val="es-MX"/>
              </w:rPr>
            </w:pPr>
          </w:p>
        </w:tc>
        <w:tc>
          <w:tcPr>
            <w:tcW w:w="906" w:type="dxa"/>
            <w:tcBorders>
              <w:left w:val="single" w:sz="4" w:space="0" w:color="auto"/>
              <w:right w:val="single" w:sz="4" w:space="0" w:color="auto"/>
            </w:tcBorders>
          </w:tcPr>
          <w:p w14:paraId="351077B4" w14:textId="77777777" w:rsidR="0068104C" w:rsidRPr="0068104C" w:rsidRDefault="0068104C" w:rsidP="0068104C">
            <w:pPr>
              <w:spacing w:after="120" w:line="240" w:lineRule="auto"/>
              <w:jc w:val="center"/>
              <w:rPr>
                <w:rFonts w:asciiTheme="minorHAnsi" w:eastAsia="Times New Roman" w:hAnsiTheme="minorHAnsi" w:cstheme="minorHAnsi"/>
                <w:sz w:val="18"/>
                <w:szCs w:val="18"/>
                <w:lang w:val="es-MX"/>
              </w:rPr>
            </w:pPr>
            <w:r w:rsidRPr="0068104C">
              <w:rPr>
                <w:rFonts w:asciiTheme="minorHAnsi" w:eastAsia="Times New Roman" w:hAnsiTheme="minorHAnsi" w:cstheme="minorHAnsi"/>
                <w:sz w:val="18"/>
                <w:szCs w:val="18"/>
                <w:lang w:val="es-MX"/>
              </w:rPr>
              <w:t>$0.07</w:t>
            </w:r>
          </w:p>
        </w:tc>
        <w:tc>
          <w:tcPr>
            <w:tcW w:w="1074" w:type="dxa"/>
            <w:tcBorders>
              <w:left w:val="single" w:sz="4" w:space="0" w:color="auto"/>
            </w:tcBorders>
          </w:tcPr>
          <w:p w14:paraId="53CD01A4" w14:textId="77777777" w:rsidR="0068104C" w:rsidRPr="0068104C" w:rsidRDefault="0068104C" w:rsidP="0068104C">
            <w:pPr>
              <w:spacing w:after="120" w:line="240" w:lineRule="auto"/>
              <w:jc w:val="center"/>
              <w:rPr>
                <w:rFonts w:asciiTheme="minorHAnsi" w:eastAsia="Times New Roman" w:hAnsiTheme="minorHAnsi" w:cstheme="minorHAnsi"/>
                <w:sz w:val="18"/>
                <w:szCs w:val="18"/>
                <w:lang w:val="es-MX"/>
              </w:rPr>
            </w:pPr>
            <w:r w:rsidRPr="0068104C">
              <w:rPr>
                <w:rFonts w:asciiTheme="minorHAnsi" w:eastAsia="Times New Roman" w:hAnsiTheme="minorHAnsi" w:cstheme="minorHAnsi"/>
                <w:sz w:val="18"/>
                <w:szCs w:val="18"/>
                <w:lang w:val="es-MX"/>
              </w:rPr>
              <w:t>$7,087.50</w:t>
            </w:r>
          </w:p>
        </w:tc>
      </w:tr>
      <w:tr w:rsidR="0068104C" w:rsidRPr="0068104C" w14:paraId="67F349BC" w14:textId="77777777" w:rsidTr="0068104C">
        <w:trPr>
          <w:gridAfter w:val="1"/>
          <w:wAfter w:w="15" w:type="dxa"/>
          <w:trHeight w:val="316"/>
          <w:jc w:val="center"/>
        </w:trPr>
        <w:tc>
          <w:tcPr>
            <w:tcW w:w="709" w:type="dxa"/>
            <w:tcBorders>
              <w:right w:val="single" w:sz="4" w:space="0" w:color="auto"/>
            </w:tcBorders>
          </w:tcPr>
          <w:p w14:paraId="6C25CA90" w14:textId="77777777" w:rsidR="0068104C" w:rsidRPr="0068104C" w:rsidRDefault="0068104C" w:rsidP="0068104C">
            <w:pPr>
              <w:spacing w:after="120" w:line="240" w:lineRule="auto"/>
              <w:jc w:val="center"/>
              <w:rPr>
                <w:rFonts w:asciiTheme="minorHAnsi" w:eastAsia="Times New Roman" w:hAnsiTheme="minorHAnsi" w:cstheme="minorHAnsi"/>
                <w:sz w:val="18"/>
                <w:szCs w:val="18"/>
                <w:lang w:val="es-MX"/>
              </w:rPr>
            </w:pPr>
            <w:proofErr w:type="spellStart"/>
            <w:r w:rsidRPr="0068104C">
              <w:rPr>
                <w:rFonts w:asciiTheme="minorHAnsi" w:eastAsia="Times New Roman" w:hAnsiTheme="minorHAnsi" w:cstheme="minorHAnsi"/>
                <w:sz w:val="18"/>
                <w:szCs w:val="18"/>
                <w:lang w:val="es-MX"/>
              </w:rPr>
              <w:t>Item</w:t>
            </w:r>
            <w:proofErr w:type="spellEnd"/>
            <w:r w:rsidRPr="0068104C">
              <w:rPr>
                <w:rFonts w:asciiTheme="minorHAnsi" w:eastAsia="Times New Roman" w:hAnsiTheme="minorHAnsi" w:cstheme="minorHAnsi"/>
                <w:sz w:val="18"/>
                <w:szCs w:val="18"/>
                <w:lang w:val="es-MX"/>
              </w:rPr>
              <w:t xml:space="preserve"> 3</w:t>
            </w:r>
          </w:p>
        </w:tc>
        <w:tc>
          <w:tcPr>
            <w:tcW w:w="992" w:type="dxa"/>
            <w:shd w:val="clear" w:color="auto" w:fill="auto"/>
          </w:tcPr>
          <w:p w14:paraId="00D8F8C4" w14:textId="77777777" w:rsidR="0068104C" w:rsidRPr="0068104C" w:rsidRDefault="0068104C" w:rsidP="0068104C">
            <w:pPr>
              <w:widowControl w:val="0"/>
              <w:spacing w:after="0" w:line="240" w:lineRule="auto"/>
              <w:textAlignment w:val="baseline"/>
              <w:rPr>
                <w:rFonts w:asciiTheme="minorHAnsi" w:hAnsiTheme="minorHAnsi" w:cstheme="minorHAnsi"/>
                <w:bCs/>
                <w:kern w:val="1"/>
                <w:sz w:val="18"/>
                <w:szCs w:val="18"/>
                <w:lang w:val="en-US" w:bidi="hi-IN"/>
              </w:rPr>
            </w:pPr>
            <w:r w:rsidRPr="0068104C">
              <w:rPr>
                <w:rFonts w:asciiTheme="minorHAnsi" w:eastAsia="SimSun" w:hAnsiTheme="minorHAnsi" w:cstheme="minorHAnsi"/>
                <w:spacing w:val="-3"/>
                <w:sz w:val="18"/>
                <w:szCs w:val="18"/>
                <w:lang w:val="es-ES_tradnl" w:eastAsia="es-AR"/>
              </w:rPr>
              <w:t>30503756</w:t>
            </w:r>
          </w:p>
        </w:tc>
        <w:tc>
          <w:tcPr>
            <w:tcW w:w="3542" w:type="dxa"/>
            <w:tcBorders>
              <w:top w:val="nil"/>
              <w:left w:val="single" w:sz="4" w:space="0" w:color="auto"/>
              <w:bottom w:val="single" w:sz="4" w:space="0" w:color="auto"/>
              <w:right w:val="single" w:sz="4" w:space="0" w:color="auto"/>
            </w:tcBorders>
            <w:shd w:val="clear" w:color="auto" w:fill="FFFFFF"/>
            <w:vAlign w:val="center"/>
          </w:tcPr>
          <w:p w14:paraId="1ECC33D3" w14:textId="77777777" w:rsidR="0068104C" w:rsidRPr="0068104C" w:rsidRDefault="0068104C" w:rsidP="0068104C">
            <w:pPr>
              <w:widowControl w:val="0"/>
              <w:pBdr>
                <w:bottom w:val="single" w:sz="6" w:space="1" w:color="auto"/>
              </w:pBdr>
              <w:spacing w:after="0" w:line="240" w:lineRule="auto"/>
              <w:textAlignment w:val="baseline"/>
              <w:rPr>
                <w:rFonts w:asciiTheme="minorHAnsi" w:eastAsia="SimSun" w:hAnsiTheme="minorHAnsi" w:cstheme="minorHAnsi"/>
                <w:color w:val="00000A"/>
                <w:sz w:val="18"/>
                <w:szCs w:val="18"/>
                <w:lang w:eastAsia="es-AR"/>
              </w:rPr>
            </w:pPr>
            <w:r w:rsidRPr="0068104C">
              <w:rPr>
                <w:rFonts w:asciiTheme="minorHAnsi" w:eastAsia="SimSun" w:hAnsiTheme="minorHAnsi" w:cstheme="minorHAnsi"/>
                <w:color w:val="00000A"/>
                <w:sz w:val="18"/>
                <w:szCs w:val="18"/>
                <w:lang w:eastAsia="es-AR"/>
              </w:rPr>
              <w:t>TUBO PLASTICO AL VACIO (13 x 75) MILIMETROS CON CITRATO DE SODIO AL (3.2 - 3.8) %, (TAPON CELESTE), CAPACIDAD 2 MILILITROS.</w:t>
            </w:r>
          </w:p>
          <w:p w14:paraId="1AECD71C" w14:textId="77777777" w:rsidR="0068104C" w:rsidRPr="0068104C" w:rsidRDefault="0068104C" w:rsidP="0068104C">
            <w:pPr>
              <w:widowControl w:val="0"/>
              <w:spacing w:after="0" w:line="240" w:lineRule="auto"/>
              <w:textAlignment w:val="baseline"/>
              <w:rPr>
                <w:rFonts w:asciiTheme="minorHAnsi" w:eastAsia="SimSun" w:hAnsiTheme="minorHAnsi" w:cstheme="minorHAnsi"/>
                <w:spacing w:val="-3"/>
                <w:sz w:val="18"/>
                <w:szCs w:val="18"/>
                <w:lang w:val="es-ES_tradnl" w:eastAsia="es-AR"/>
              </w:rPr>
            </w:pPr>
            <w:r w:rsidRPr="0068104C">
              <w:rPr>
                <w:rFonts w:asciiTheme="minorHAnsi" w:eastAsia="SimSun" w:hAnsiTheme="minorHAnsi" w:cstheme="minorHAnsi"/>
                <w:spacing w:val="-3"/>
                <w:sz w:val="18"/>
                <w:szCs w:val="18"/>
                <w:lang w:val="es-ES_tradnl" w:eastAsia="es-AR"/>
              </w:rPr>
              <w:t>Marca: GONGDONG MEDICAL</w:t>
            </w:r>
          </w:p>
          <w:p w14:paraId="0B0507A8" w14:textId="77777777" w:rsidR="0068104C" w:rsidRPr="0068104C" w:rsidRDefault="0068104C" w:rsidP="0068104C">
            <w:pPr>
              <w:widowControl w:val="0"/>
              <w:spacing w:after="0" w:line="240" w:lineRule="auto"/>
              <w:textAlignment w:val="baseline"/>
              <w:rPr>
                <w:rFonts w:asciiTheme="minorHAnsi" w:eastAsia="SimSun" w:hAnsiTheme="minorHAnsi" w:cstheme="minorHAnsi"/>
                <w:spacing w:val="-3"/>
                <w:sz w:val="18"/>
                <w:szCs w:val="18"/>
                <w:lang w:val="es-ES_tradnl" w:eastAsia="es-AR"/>
              </w:rPr>
            </w:pPr>
            <w:r w:rsidRPr="0068104C">
              <w:rPr>
                <w:rFonts w:asciiTheme="minorHAnsi" w:eastAsia="SimSun" w:hAnsiTheme="minorHAnsi" w:cstheme="minorHAnsi"/>
                <w:spacing w:val="-3"/>
                <w:sz w:val="18"/>
                <w:szCs w:val="18"/>
                <w:lang w:val="es-ES_tradnl" w:eastAsia="es-AR"/>
              </w:rPr>
              <w:t>País de origen: China</w:t>
            </w:r>
          </w:p>
          <w:p w14:paraId="5B0375E2" w14:textId="77777777" w:rsidR="0068104C" w:rsidRPr="0068104C" w:rsidRDefault="0068104C" w:rsidP="0068104C">
            <w:pPr>
              <w:widowControl w:val="0"/>
              <w:spacing w:after="0" w:line="240" w:lineRule="auto"/>
              <w:textAlignment w:val="baseline"/>
              <w:rPr>
                <w:rFonts w:asciiTheme="minorHAnsi" w:eastAsia="SimSun" w:hAnsiTheme="minorHAnsi" w:cstheme="minorHAnsi"/>
                <w:spacing w:val="-3"/>
                <w:sz w:val="18"/>
                <w:szCs w:val="18"/>
                <w:lang w:val="es-ES_tradnl" w:eastAsia="es-AR"/>
              </w:rPr>
            </w:pPr>
            <w:r w:rsidRPr="0068104C">
              <w:rPr>
                <w:rFonts w:asciiTheme="minorHAnsi" w:eastAsia="SimSun" w:hAnsiTheme="minorHAnsi" w:cstheme="minorHAnsi"/>
                <w:spacing w:val="-3"/>
                <w:sz w:val="18"/>
                <w:szCs w:val="18"/>
                <w:lang w:val="es-ES_tradnl" w:eastAsia="es-AR"/>
              </w:rPr>
              <w:t>Vencimiento ofertado: 12-18 meses al momento de su entrega.</w:t>
            </w:r>
          </w:p>
          <w:p w14:paraId="2ECE49FD" w14:textId="77777777" w:rsidR="0068104C" w:rsidRPr="0068104C" w:rsidRDefault="0068104C" w:rsidP="0068104C">
            <w:pPr>
              <w:widowControl w:val="0"/>
              <w:spacing w:after="0" w:line="240" w:lineRule="auto"/>
              <w:textAlignment w:val="baseline"/>
              <w:rPr>
                <w:rFonts w:asciiTheme="minorHAnsi" w:eastAsia="SimSun" w:hAnsiTheme="minorHAnsi" w:cstheme="minorHAnsi"/>
                <w:spacing w:val="-3"/>
                <w:sz w:val="18"/>
                <w:szCs w:val="18"/>
                <w:lang w:val="es-ES_tradnl" w:eastAsia="es-AR"/>
              </w:rPr>
            </w:pPr>
            <w:r w:rsidRPr="0068104C">
              <w:rPr>
                <w:rFonts w:asciiTheme="minorHAnsi" w:eastAsia="SimSun" w:hAnsiTheme="minorHAnsi" w:cstheme="minorHAnsi"/>
                <w:spacing w:val="-3"/>
                <w:sz w:val="18"/>
                <w:szCs w:val="18"/>
                <w:lang w:val="es-ES_tradnl" w:eastAsia="es-AR"/>
              </w:rPr>
              <w:t>TUBO PLASTICO AL VACIO (13 x 75) MILIMETROS CON CITRATO DE SODIO AL 3.2 %, (TAPON CELESTE), CAPACIDAD 1.8 ML</w:t>
            </w:r>
          </w:p>
        </w:tc>
        <w:tc>
          <w:tcPr>
            <w:tcW w:w="1134" w:type="dxa"/>
            <w:tcBorders>
              <w:top w:val="single" w:sz="4" w:space="0" w:color="auto"/>
              <w:left w:val="single" w:sz="4" w:space="0" w:color="auto"/>
              <w:bottom w:val="single" w:sz="4" w:space="0" w:color="auto"/>
              <w:right w:val="single" w:sz="4" w:space="0" w:color="auto"/>
            </w:tcBorders>
          </w:tcPr>
          <w:p w14:paraId="3AF939D7" w14:textId="77777777" w:rsidR="0068104C" w:rsidRPr="0068104C" w:rsidRDefault="0068104C" w:rsidP="0068104C">
            <w:pPr>
              <w:widowControl w:val="0"/>
              <w:suppressLineNumbers/>
              <w:spacing w:after="0" w:line="240" w:lineRule="auto"/>
              <w:jc w:val="center"/>
              <w:textAlignment w:val="baseline"/>
              <w:rPr>
                <w:rFonts w:asciiTheme="minorHAnsi" w:hAnsiTheme="minorHAnsi" w:cstheme="minorHAnsi"/>
                <w:kern w:val="1"/>
                <w:sz w:val="18"/>
                <w:szCs w:val="18"/>
                <w:lang w:bidi="hi-IN"/>
              </w:rPr>
            </w:pPr>
            <w:r w:rsidRPr="0068104C">
              <w:rPr>
                <w:rFonts w:asciiTheme="minorHAnsi" w:eastAsia="SimSun" w:hAnsiTheme="minorHAnsi" w:cstheme="minorHAnsi"/>
                <w:spacing w:val="-3"/>
                <w:sz w:val="20"/>
                <w:szCs w:val="20"/>
                <w:lang w:val="es-ES_tradnl" w:eastAsia="es-AR"/>
              </w:rPr>
              <w:t>72,000</w:t>
            </w:r>
          </w:p>
        </w:tc>
        <w:tc>
          <w:tcPr>
            <w:tcW w:w="992" w:type="dxa"/>
            <w:tcBorders>
              <w:left w:val="single" w:sz="4" w:space="0" w:color="auto"/>
              <w:right w:val="single" w:sz="4" w:space="0" w:color="auto"/>
            </w:tcBorders>
          </w:tcPr>
          <w:p w14:paraId="062CB929" w14:textId="77777777" w:rsidR="0068104C" w:rsidRPr="0068104C" w:rsidRDefault="0068104C" w:rsidP="0068104C">
            <w:pPr>
              <w:spacing w:after="120" w:line="240" w:lineRule="auto"/>
              <w:jc w:val="center"/>
              <w:rPr>
                <w:rFonts w:asciiTheme="minorHAnsi" w:eastAsia="Times New Roman" w:hAnsiTheme="minorHAnsi" w:cstheme="minorHAnsi"/>
                <w:sz w:val="18"/>
                <w:szCs w:val="18"/>
                <w:lang w:val="es-MX"/>
              </w:rPr>
            </w:pPr>
            <w:r w:rsidRPr="0068104C">
              <w:rPr>
                <w:rFonts w:asciiTheme="minorHAnsi" w:eastAsia="Times New Roman" w:hAnsiTheme="minorHAnsi" w:cstheme="minorHAnsi"/>
                <w:sz w:val="18"/>
                <w:szCs w:val="18"/>
                <w:lang w:val="es-MX"/>
              </w:rPr>
              <w:t>C/U</w:t>
            </w:r>
          </w:p>
          <w:p w14:paraId="7CC81B61" w14:textId="77777777" w:rsidR="0068104C" w:rsidRPr="0068104C" w:rsidRDefault="0068104C" w:rsidP="0068104C">
            <w:pPr>
              <w:spacing w:after="120" w:line="240" w:lineRule="auto"/>
              <w:jc w:val="center"/>
              <w:rPr>
                <w:rFonts w:asciiTheme="minorHAnsi" w:eastAsia="Times New Roman" w:hAnsiTheme="minorHAnsi" w:cstheme="minorHAnsi"/>
                <w:sz w:val="18"/>
                <w:szCs w:val="18"/>
                <w:lang w:val="es-MX"/>
              </w:rPr>
            </w:pPr>
          </w:p>
          <w:p w14:paraId="23CF4F00" w14:textId="77777777" w:rsidR="0068104C" w:rsidRPr="0068104C" w:rsidRDefault="0068104C" w:rsidP="0068104C">
            <w:pPr>
              <w:spacing w:after="120" w:line="240" w:lineRule="auto"/>
              <w:jc w:val="center"/>
              <w:rPr>
                <w:rFonts w:asciiTheme="minorHAnsi" w:eastAsia="Times New Roman" w:hAnsiTheme="minorHAnsi" w:cstheme="minorHAnsi"/>
                <w:sz w:val="18"/>
                <w:szCs w:val="18"/>
                <w:lang w:val="es-MX"/>
              </w:rPr>
            </w:pPr>
          </w:p>
          <w:p w14:paraId="63168917" w14:textId="77777777" w:rsidR="0068104C" w:rsidRPr="0068104C" w:rsidRDefault="0068104C" w:rsidP="0068104C">
            <w:pPr>
              <w:spacing w:after="120" w:line="240" w:lineRule="auto"/>
              <w:jc w:val="center"/>
              <w:rPr>
                <w:rFonts w:asciiTheme="minorHAnsi" w:eastAsia="Times New Roman" w:hAnsiTheme="minorHAnsi" w:cstheme="minorHAnsi"/>
                <w:sz w:val="18"/>
                <w:szCs w:val="18"/>
                <w:lang w:val="es-MX"/>
              </w:rPr>
            </w:pPr>
          </w:p>
        </w:tc>
        <w:tc>
          <w:tcPr>
            <w:tcW w:w="906" w:type="dxa"/>
            <w:tcBorders>
              <w:left w:val="single" w:sz="4" w:space="0" w:color="auto"/>
              <w:right w:val="single" w:sz="4" w:space="0" w:color="auto"/>
            </w:tcBorders>
          </w:tcPr>
          <w:p w14:paraId="72962C3E" w14:textId="77777777" w:rsidR="0068104C" w:rsidRPr="0068104C" w:rsidRDefault="0068104C" w:rsidP="0068104C">
            <w:pPr>
              <w:spacing w:after="120" w:line="240" w:lineRule="auto"/>
              <w:jc w:val="center"/>
              <w:rPr>
                <w:rFonts w:asciiTheme="minorHAnsi" w:eastAsia="Times New Roman" w:hAnsiTheme="minorHAnsi" w:cstheme="minorHAnsi"/>
                <w:sz w:val="18"/>
                <w:szCs w:val="18"/>
                <w:lang w:val="es-MX"/>
              </w:rPr>
            </w:pPr>
            <w:r w:rsidRPr="0068104C">
              <w:rPr>
                <w:rFonts w:asciiTheme="minorHAnsi" w:eastAsia="Times New Roman" w:hAnsiTheme="minorHAnsi" w:cstheme="minorHAnsi"/>
                <w:sz w:val="18"/>
                <w:szCs w:val="18"/>
                <w:lang w:val="es-MX"/>
              </w:rPr>
              <w:t>$0.08</w:t>
            </w:r>
          </w:p>
        </w:tc>
        <w:tc>
          <w:tcPr>
            <w:tcW w:w="1074" w:type="dxa"/>
            <w:tcBorders>
              <w:left w:val="single" w:sz="4" w:space="0" w:color="auto"/>
            </w:tcBorders>
          </w:tcPr>
          <w:p w14:paraId="062C2E27" w14:textId="77777777" w:rsidR="0068104C" w:rsidRPr="0068104C" w:rsidRDefault="0068104C" w:rsidP="0068104C">
            <w:pPr>
              <w:spacing w:after="120" w:line="240" w:lineRule="auto"/>
              <w:jc w:val="center"/>
              <w:rPr>
                <w:rFonts w:asciiTheme="minorHAnsi" w:eastAsia="Times New Roman" w:hAnsiTheme="minorHAnsi" w:cstheme="minorHAnsi"/>
                <w:sz w:val="18"/>
                <w:szCs w:val="18"/>
                <w:lang w:val="es-MX"/>
              </w:rPr>
            </w:pPr>
            <w:r w:rsidRPr="0068104C">
              <w:rPr>
                <w:rFonts w:asciiTheme="minorHAnsi" w:eastAsia="Times New Roman" w:hAnsiTheme="minorHAnsi" w:cstheme="minorHAnsi"/>
                <w:sz w:val="18"/>
                <w:szCs w:val="18"/>
                <w:lang w:val="es-MX"/>
              </w:rPr>
              <w:t>$5,760.00</w:t>
            </w:r>
          </w:p>
        </w:tc>
      </w:tr>
      <w:tr w:rsidR="0068104C" w:rsidRPr="0068104C" w14:paraId="246741CC" w14:textId="77777777" w:rsidTr="0068104C">
        <w:trPr>
          <w:trHeight w:val="366"/>
          <w:jc w:val="center"/>
        </w:trPr>
        <w:tc>
          <w:tcPr>
            <w:tcW w:w="1701" w:type="dxa"/>
            <w:gridSpan w:val="2"/>
          </w:tcPr>
          <w:p w14:paraId="7B609AA5" w14:textId="77777777" w:rsidR="0068104C" w:rsidRPr="0068104C" w:rsidRDefault="0068104C" w:rsidP="0068104C">
            <w:pPr>
              <w:spacing w:after="120" w:line="240" w:lineRule="auto"/>
              <w:jc w:val="both"/>
              <w:rPr>
                <w:rFonts w:asciiTheme="minorHAnsi" w:eastAsia="Times New Roman" w:hAnsiTheme="minorHAnsi" w:cstheme="minorHAnsi"/>
                <w:b/>
                <w:lang w:val="es-MX"/>
              </w:rPr>
            </w:pPr>
            <w:r w:rsidRPr="0068104C">
              <w:rPr>
                <w:rFonts w:asciiTheme="minorHAnsi" w:eastAsia="Times New Roman" w:hAnsiTheme="minorHAnsi" w:cstheme="minorHAnsi"/>
                <w:b/>
                <w:lang w:val="es-MX"/>
              </w:rPr>
              <w:t>TOTAL</w:t>
            </w:r>
          </w:p>
        </w:tc>
        <w:tc>
          <w:tcPr>
            <w:tcW w:w="7663" w:type="dxa"/>
            <w:gridSpan w:val="6"/>
          </w:tcPr>
          <w:p w14:paraId="4419949E" w14:textId="77777777" w:rsidR="0068104C" w:rsidRPr="0068104C" w:rsidRDefault="0068104C" w:rsidP="0068104C">
            <w:pPr>
              <w:spacing w:after="120" w:line="240" w:lineRule="auto"/>
              <w:jc w:val="right"/>
              <w:rPr>
                <w:rFonts w:asciiTheme="minorHAnsi" w:eastAsia="Times New Roman" w:hAnsiTheme="minorHAnsi" w:cstheme="minorHAnsi"/>
                <w:sz w:val="18"/>
                <w:szCs w:val="18"/>
                <w:lang w:val="es-MX"/>
              </w:rPr>
            </w:pPr>
            <w:r w:rsidRPr="0068104C">
              <w:rPr>
                <w:rFonts w:asciiTheme="minorHAnsi" w:eastAsia="Times New Roman" w:hAnsiTheme="minorHAnsi" w:cstheme="minorHAnsi"/>
                <w:sz w:val="18"/>
                <w:szCs w:val="18"/>
                <w:lang w:val="es-MX"/>
              </w:rPr>
              <w:t>$22, 882.50</w:t>
            </w:r>
          </w:p>
        </w:tc>
      </w:tr>
    </w:tbl>
    <w:p w14:paraId="7DFCA722" w14:textId="77777777" w:rsidR="00540B18" w:rsidRPr="004E4DF1" w:rsidRDefault="00540B18" w:rsidP="00DA205B">
      <w:pPr>
        <w:tabs>
          <w:tab w:val="left" w:pos="-720"/>
        </w:tabs>
        <w:spacing w:line="360" w:lineRule="auto"/>
        <w:jc w:val="both"/>
        <w:rPr>
          <w:rFonts w:asciiTheme="minorHAnsi" w:hAnsiTheme="minorHAnsi" w:cstheme="minorHAnsi"/>
          <w:sz w:val="20"/>
          <w:szCs w:val="20"/>
          <w:lang w:val="es-MX" w:eastAsia="es-SV"/>
        </w:rPr>
      </w:pPr>
    </w:p>
    <w:p w14:paraId="3618DE1A" w14:textId="77777777" w:rsidR="00DE66AC" w:rsidRPr="00A82133" w:rsidRDefault="00DE66AC" w:rsidP="00DE66AC">
      <w:pPr>
        <w:spacing w:line="360" w:lineRule="auto"/>
        <w:jc w:val="both"/>
        <w:rPr>
          <w:lang w:val="es-MX" w:eastAsia="es-SV"/>
        </w:rPr>
      </w:pPr>
      <w:r w:rsidRPr="00A82133">
        <w:rPr>
          <w:lang w:val="es-MX" w:eastAsia="es-SV"/>
        </w:rPr>
        <w:t>Es claramente entendido, que los precios unitarios establecidos en la oferta del PROVEEDOR son inalterables y se mantienen firmes hasta el cumplimiento de las obligaciones contractuales.</w:t>
      </w:r>
    </w:p>
    <w:p w14:paraId="730D6C06" w14:textId="19BEE771" w:rsidR="00DE66AC" w:rsidRPr="00A82133" w:rsidRDefault="00DE66AC" w:rsidP="00DE66AC">
      <w:pPr>
        <w:spacing w:line="360" w:lineRule="auto"/>
        <w:jc w:val="both"/>
        <w:rPr>
          <w:lang w:val="es-MX" w:eastAsia="es-SV"/>
        </w:rPr>
      </w:pPr>
      <w:r w:rsidRPr="00A82133">
        <w:rPr>
          <w:b/>
          <w:bCs/>
          <w:lang w:val="es-MX" w:eastAsia="es-SV"/>
        </w:rPr>
        <w:t>CLAUSULA TERCERA: DOCUMENTOS CONTRACTUALES</w:t>
      </w:r>
      <w:r w:rsidRPr="00A82133">
        <w:rPr>
          <w:lang w:val="es-MX" w:eastAsia="es-SV"/>
        </w:rPr>
        <w:t xml:space="preserve">. Forman parte integrante de este Contrato, con plena fuerza obligatoria para las partes, los documentos siguientes: a) El Documento de </w:t>
      </w:r>
      <w:r w:rsidR="00C14C86" w:rsidRPr="00C14C86">
        <w:rPr>
          <w:rFonts w:asciiTheme="minorHAnsi" w:hAnsiTheme="minorHAnsi"/>
          <w:lang w:val="es-MX" w:eastAsia="es-SV"/>
        </w:rPr>
        <w:t>Comparación de Precios N°ISM3-5-CP-B-MINSAL</w:t>
      </w:r>
      <w:r w:rsidRPr="00A82133">
        <w:rPr>
          <w:lang w:val="es-MX" w:eastAsia="es-SV"/>
        </w:rPr>
        <w:t xml:space="preserve">, y las enmiendas y aclaraciones si </w:t>
      </w:r>
      <w:proofErr w:type="gramStart"/>
      <w:r w:rsidRPr="00A82133">
        <w:rPr>
          <w:lang w:val="es-MX" w:eastAsia="es-SV"/>
        </w:rPr>
        <w:t>hubieren</w:t>
      </w:r>
      <w:proofErr w:type="gramEnd"/>
      <w:r w:rsidRPr="00A82133">
        <w:rPr>
          <w:lang w:val="es-MX" w:eastAsia="es-SV"/>
        </w:rPr>
        <w:t xml:space="preserve">; b) La Oferta del Proveedor; c) La Resolución de Adjudicación No. </w:t>
      </w:r>
      <w:r w:rsidR="00BD3D0F">
        <w:rPr>
          <w:lang w:val="es-MX" w:eastAsia="es-SV"/>
        </w:rPr>
        <w:t>7</w:t>
      </w:r>
      <w:r w:rsidR="00C14C86">
        <w:rPr>
          <w:lang w:val="es-MX" w:eastAsia="es-SV"/>
        </w:rPr>
        <w:t>0</w:t>
      </w:r>
      <w:r w:rsidR="00BD3D0F">
        <w:rPr>
          <w:lang w:val="es-MX" w:eastAsia="es-SV"/>
        </w:rPr>
        <w:t>/2019 ACP-UGP</w:t>
      </w:r>
      <w:r w:rsidRPr="00A82133">
        <w:rPr>
          <w:lang w:val="es-MX" w:eastAsia="es-SV"/>
        </w:rPr>
        <w:t xml:space="preserve">, de fecha </w:t>
      </w:r>
      <w:r w:rsidR="00BD3D0F">
        <w:rPr>
          <w:lang w:val="es-MX" w:eastAsia="es-SV"/>
        </w:rPr>
        <w:t>cinco de diciembre de dos mil diecinueve</w:t>
      </w:r>
      <w:r w:rsidRPr="00A82133">
        <w:rPr>
          <w:lang w:val="es-MX" w:eastAsia="es-SV"/>
        </w:rPr>
        <w:t>; d) Las Resoluciones Modificativas si las hubiere; e) La Garantía. En caso de alguna discrepancia o inconsistencia entre los documentos contractuales y el Contrato, prevalecerá el Contrato.</w:t>
      </w:r>
    </w:p>
    <w:p w14:paraId="1C907047" w14:textId="395513F8" w:rsidR="00DE66AC" w:rsidRPr="001A7C29" w:rsidRDefault="00DE66AC" w:rsidP="001A7C29">
      <w:pPr>
        <w:spacing w:line="360" w:lineRule="auto"/>
        <w:jc w:val="both"/>
        <w:rPr>
          <w:lang w:val="es-NI" w:eastAsia="es-SV"/>
        </w:rPr>
      </w:pPr>
      <w:r w:rsidRPr="00A82133">
        <w:rPr>
          <w:b/>
          <w:bCs/>
          <w:lang w:val="es-MX" w:eastAsia="es-SV"/>
        </w:rPr>
        <w:lastRenderedPageBreak/>
        <w:t>CLÁUSULA CUARTA: PLAZO.</w:t>
      </w:r>
      <w:r w:rsidRPr="00A82133">
        <w:rPr>
          <w:lang w:val="es-MX" w:eastAsia="es-SV"/>
        </w:rPr>
        <w:t xml:space="preserve"> EL PROVEEDOR se obliga a Suministrar los [bienes o servicios] objeto del presente contrato por el plazo de </w:t>
      </w:r>
      <w:r w:rsidR="001A7C29">
        <w:rPr>
          <w:lang w:val="es-MX" w:eastAsia="es-SV"/>
        </w:rPr>
        <w:t xml:space="preserve">NOVENTA (90) </w:t>
      </w:r>
      <w:r w:rsidRPr="00A82133">
        <w:rPr>
          <w:lang w:val="es-MX" w:eastAsia="es-SV"/>
        </w:rPr>
        <w:t xml:space="preserve">DÍAS, </w:t>
      </w:r>
      <w:r w:rsidRPr="00A82133">
        <w:rPr>
          <w:lang w:val="es-NI" w:eastAsia="es-SV"/>
        </w:rPr>
        <w:t xml:space="preserve">contados </w:t>
      </w:r>
      <w:r w:rsidR="00540B18">
        <w:rPr>
          <w:lang w:val="es-NI" w:eastAsia="es-SV"/>
        </w:rPr>
        <w:t xml:space="preserve">a partir </w:t>
      </w:r>
      <w:r w:rsidRPr="00A82133">
        <w:rPr>
          <w:lang w:val="es-NI" w:eastAsia="es-SV"/>
        </w:rPr>
        <w:t>de la distribución del contrato.</w:t>
      </w:r>
    </w:p>
    <w:p w14:paraId="6C301581" w14:textId="0D74D8D7" w:rsidR="00DE66AC" w:rsidRPr="00163C4B" w:rsidRDefault="00DE66AC" w:rsidP="00163C4B">
      <w:pPr>
        <w:suppressAutoHyphens/>
        <w:spacing w:line="360" w:lineRule="auto"/>
        <w:jc w:val="both"/>
        <w:rPr>
          <w:rFonts w:asciiTheme="minorHAnsi" w:hAnsiTheme="minorHAnsi"/>
          <w:kern w:val="1"/>
          <w:lang w:val="es-HN" w:eastAsia="zh-CN" w:bidi="hi-IN"/>
        </w:rPr>
      </w:pPr>
      <w:r w:rsidRPr="00A82133">
        <w:rPr>
          <w:rFonts w:eastAsia="Arial Unicode MS" w:cs="Tahoma"/>
          <w:b/>
          <w:bCs/>
          <w:kern w:val="3"/>
          <w:lang w:val="es-MX" w:eastAsia="es-EC"/>
        </w:rPr>
        <w:t>CLÁUSULA QUINTA: PRECIO DEL CONTRATO</w:t>
      </w:r>
      <w:r w:rsidRPr="00A82133">
        <w:rPr>
          <w:rFonts w:eastAsia="Arial Unicode MS" w:cs="Tahoma"/>
          <w:kern w:val="3"/>
          <w:lang w:val="es-MX" w:eastAsia="es-EC"/>
        </w:rPr>
        <w:t xml:space="preserve">. El monto total </w:t>
      </w:r>
      <w:r w:rsidR="00163C4B">
        <w:rPr>
          <w:rFonts w:eastAsia="Arial Unicode MS" w:cs="Tahoma"/>
          <w:kern w:val="3"/>
          <w:lang w:val="es-MX" w:eastAsia="es-EC"/>
        </w:rPr>
        <w:t xml:space="preserve">para el pago del suministro de </w:t>
      </w:r>
      <w:r w:rsidRPr="00A82133">
        <w:rPr>
          <w:rFonts w:eastAsia="Arial Unicode MS" w:cs="Tahoma"/>
          <w:kern w:val="3"/>
          <w:lang w:val="es-MX" w:eastAsia="es-EC"/>
        </w:rPr>
        <w:t xml:space="preserve">bienes objeto del citado contrato, es por la cantidad de </w:t>
      </w:r>
      <w:r w:rsidR="005B6AE2">
        <w:rPr>
          <w:rFonts w:asciiTheme="minorHAnsi" w:hAnsiTheme="minorHAnsi"/>
          <w:kern w:val="1"/>
          <w:lang w:val="es-HN" w:eastAsia="zh-CN" w:bidi="hi-IN"/>
        </w:rPr>
        <w:t xml:space="preserve">VEINTIDÓS MIL OCHOCIENTOS OCHENTA Y DOS </w:t>
      </w:r>
      <w:r w:rsidR="005B6AE2" w:rsidRPr="00540B18">
        <w:rPr>
          <w:rFonts w:asciiTheme="minorHAnsi" w:hAnsiTheme="minorHAnsi"/>
          <w:kern w:val="1"/>
          <w:lang w:val="es-HN" w:eastAsia="zh-CN" w:bidi="hi-IN"/>
        </w:rPr>
        <w:t>50</w:t>
      </w:r>
      <w:r w:rsidR="00163C4B" w:rsidRPr="00163C4B">
        <w:rPr>
          <w:rFonts w:asciiTheme="minorHAnsi" w:hAnsiTheme="minorHAnsi"/>
          <w:kern w:val="1"/>
          <w:lang w:val="es-HN" w:eastAsia="zh-CN" w:bidi="hi-IN"/>
        </w:rPr>
        <w:t>/100 DÓLARES DE LOS ESTADOS UNIDOS DE AMÉRICA, ($</w:t>
      </w:r>
      <w:r w:rsidR="005B6AE2" w:rsidRPr="005B6AE2">
        <w:rPr>
          <w:rFonts w:asciiTheme="minorHAnsi" w:hAnsiTheme="minorHAnsi"/>
          <w:kern w:val="1"/>
          <w:lang w:val="es-HN" w:eastAsia="zh-CN" w:bidi="hi-IN"/>
        </w:rPr>
        <w:t>22, 882.50</w:t>
      </w:r>
      <w:r w:rsidR="00163C4B" w:rsidRPr="00163C4B">
        <w:rPr>
          <w:rFonts w:asciiTheme="minorHAnsi" w:hAnsiTheme="minorHAnsi"/>
          <w:kern w:val="1"/>
          <w:lang w:val="es-HN" w:eastAsia="zh-CN" w:bidi="hi-IN"/>
        </w:rPr>
        <w:t>)</w:t>
      </w:r>
      <w:r w:rsidR="00163C4B">
        <w:rPr>
          <w:rFonts w:asciiTheme="minorHAnsi" w:hAnsiTheme="minorHAnsi"/>
          <w:kern w:val="1"/>
          <w:lang w:val="es-HN" w:eastAsia="zh-CN" w:bidi="hi-IN"/>
        </w:rPr>
        <w:t>, impuestos incluidos.</w:t>
      </w:r>
    </w:p>
    <w:p w14:paraId="2A4894F9" w14:textId="1A0D58A8" w:rsidR="00A739F2" w:rsidRDefault="00DE66AC" w:rsidP="00A739F2">
      <w:pPr>
        <w:spacing w:line="360" w:lineRule="auto"/>
        <w:jc w:val="both"/>
        <w:rPr>
          <w:lang w:val="es-MX" w:eastAsia="es-SV"/>
        </w:rPr>
      </w:pPr>
      <w:r w:rsidRPr="00A82133">
        <w:rPr>
          <w:b/>
          <w:bCs/>
          <w:lang w:val="es-MX" w:eastAsia="es-SV"/>
        </w:rPr>
        <w:t>CLÁUSULA SEXTA: LUGAR Y FORMA DE ENTREGA.</w:t>
      </w:r>
      <w:r w:rsidRPr="00A82133">
        <w:rPr>
          <w:lang w:val="es-MX" w:eastAsia="es-SV"/>
        </w:rPr>
        <w:t xml:space="preserve"> EL PROVEEDOR se obliga a entregar el suministro objeto del presente Contrato, </w:t>
      </w:r>
      <w:r w:rsidR="002F5E8F" w:rsidRPr="002F5E8F">
        <w:rPr>
          <w:lang w:val="es-MX" w:eastAsia="es-SV"/>
        </w:rPr>
        <w:t xml:space="preserve">a entera satisfacción de los administradores de contrato, </w:t>
      </w:r>
      <w:r w:rsidR="00163C4B" w:rsidRPr="00163C4B">
        <w:rPr>
          <w:rFonts w:asciiTheme="minorHAnsi" w:hAnsiTheme="minorHAnsi"/>
          <w:kern w:val="1"/>
          <w:lang w:val="es-HN" w:eastAsia="zh-CN" w:bidi="hi-IN"/>
        </w:rPr>
        <w:t>de conformidad al cuadro de distribución anexa al presente contrato, que forma parte integral del mismo</w:t>
      </w:r>
      <w:r w:rsidRPr="00A82133">
        <w:rPr>
          <w:lang w:val="es-MX" w:eastAsia="es-SV"/>
        </w:rPr>
        <w:t xml:space="preserve">. </w:t>
      </w:r>
      <w:r w:rsidRPr="00A82133">
        <w:rPr>
          <w:b/>
          <w:bCs/>
          <w:lang w:val="es-MX" w:eastAsia="es-SV"/>
        </w:rPr>
        <w:t xml:space="preserve">RECEPCIÓN DE LOS BIENES. </w:t>
      </w:r>
      <w:r w:rsidRPr="00A82133">
        <w:rPr>
          <w:lang w:val="es-MX" w:eastAsia="es-SV"/>
        </w:rPr>
        <w:t xml:space="preserve">Una vez recibido el suministro a satisfacción por parte del Comprador, se firmará por ambas partes el Acta de Recepción de los mismos, posteriormente EL PROVEEDOR presentará la factura correspondiente, con ésta se procederá a la realización del pago. </w:t>
      </w:r>
      <w:r w:rsidRPr="00A82133">
        <w:rPr>
          <w:b/>
          <w:lang w:val="es-MX" w:eastAsia="es-SV"/>
        </w:rPr>
        <w:t>ADMINISTRACIÓN DE CONTRATO</w:t>
      </w:r>
      <w:r w:rsidRPr="00A82133">
        <w:rPr>
          <w:lang w:val="es-MX" w:eastAsia="es-SV"/>
        </w:rPr>
        <w:t>. La administración y Seguimiento del Contrato, será de conformidad a lo</w:t>
      </w:r>
      <w:r w:rsidR="00B7717D">
        <w:rPr>
          <w:lang w:val="es-MX" w:eastAsia="es-SV"/>
        </w:rPr>
        <w:t xml:space="preserve"> establecido en el Nu</w:t>
      </w:r>
      <w:r w:rsidR="000F70D5">
        <w:rPr>
          <w:lang w:val="es-MX" w:eastAsia="es-SV"/>
        </w:rPr>
        <w:t xml:space="preserve">meral </w:t>
      </w:r>
      <w:r w:rsidR="008861FF">
        <w:rPr>
          <w:lang w:val="es-MX" w:eastAsia="es-SV"/>
        </w:rPr>
        <w:t>cinco puntos</w:t>
      </w:r>
      <w:r w:rsidR="000F70D5">
        <w:rPr>
          <w:lang w:val="es-MX" w:eastAsia="es-SV"/>
        </w:rPr>
        <w:t xml:space="preserve"> </w:t>
      </w:r>
      <w:proofErr w:type="gramStart"/>
      <w:r w:rsidR="000F70D5">
        <w:rPr>
          <w:lang w:val="es-MX" w:eastAsia="es-SV"/>
        </w:rPr>
        <w:t>dos punto</w:t>
      </w:r>
      <w:proofErr w:type="gramEnd"/>
      <w:r w:rsidR="000F70D5">
        <w:rPr>
          <w:lang w:val="es-MX" w:eastAsia="es-SV"/>
        </w:rPr>
        <w:t xml:space="preserve"> uno </w:t>
      </w:r>
      <w:r w:rsidRPr="00A82133">
        <w:rPr>
          <w:lang w:val="es-MX" w:eastAsia="es-SV"/>
        </w:rPr>
        <w:t xml:space="preserve">del Manual de Operaciones del Banco Interamericano de Desarrollo, en adelante BID, la cual corresponde a la Unidad Solicitante o a la persona que esta delegue, en este sentido se ha designado </w:t>
      </w:r>
      <w:r w:rsidR="008861FF">
        <w:rPr>
          <w:lang w:val="es-MX" w:eastAsia="es-SV"/>
        </w:rPr>
        <w:t>para:</w:t>
      </w:r>
    </w:p>
    <w:p w14:paraId="2F733F2E" w14:textId="5EAC777F" w:rsidR="008861FF" w:rsidRDefault="008861FF" w:rsidP="008861FF">
      <w:pPr>
        <w:spacing w:line="360" w:lineRule="auto"/>
        <w:jc w:val="both"/>
        <w:rPr>
          <w:lang w:val="es-MX" w:eastAsia="es-SV"/>
        </w:rPr>
      </w:pPr>
      <w:r>
        <w:rPr>
          <w:lang w:val="es-MX" w:eastAsia="es-SV"/>
        </w:rPr>
        <w:t xml:space="preserve">-Hospital Nacional </w:t>
      </w:r>
      <w:r w:rsidR="00EC018F">
        <w:rPr>
          <w:lang w:val="es-MX" w:eastAsia="es-SV"/>
        </w:rPr>
        <w:t>“</w:t>
      </w:r>
      <w:r w:rsidR="003936BC">
        <w:rPr>
          <w:lang w:val="es-MX" w:eastAsia="es-SV"/>
        </w:rPr>
        <w:t>San Rafael</w:t>
      </w:r>
      <w:r w:rsidR="00EC018F">
        <w:rPr>
          <w:lang w:val="es-MX" w:eastAsia="es-SV"/>
        </w:rPr>
        <w:t>”</w:t>
      </w:r>
      <w:r>
        <w:rPr>
          <w:lang w:val="es-MX" w:eastAsia="es-SV"/>
        </w:rPr>
        <w:t xml:space="preserve">, </w:t>
      </w:r>
      <w:r w:rsidR="003936BC">
        <w:rPr>
          <w:lang w:val="es-MX" w:eastAsia="es-SV"/>
        </w:rPr>
        <w:t>Santa Tecla</w:t>
      </w:r>
      <w:r w:rsidRPr="008861FF">
        <w:rPr>
          <w:lang w:val="es-MX" w:eastAsia="es-SV"/>
        </w:rPr>
        <w:t xml:space="preserve">: a </w:t>
      </w:r>
      <w:r w:rsidR="003936BC" w:rsidRPr="003936BC">
        <w:rPr>
          <w:lang w:val="es-MX" w:eastAsia="es-SV"/>
        </w:rPr>
        <w:t xml:space="preserve">Licda. Edna Jacqueline Cruz, con cargo de Profesional en Laboratorio Clínico 2do Nivel; </w:t>
      </w:r>
      <w:bookmarkStart w:id="13" w:name="_Hlk27469996"/>
      <w:r w:rsidRPr="008861FF">
        <w:rPr>
          <w:lang w:val="es-MX" w:eastAsia="es-SV"/>
        </w:rPr>
        <w:t>como responsable de la Administración del Contrato, de conformidad a la distribución del equipo anexo al presente contrato, con correo electrónico</w:t>
      </w:r>
      <w:bookmarkEnd w:id="13"/>
      <w:r w:rsidRPr="008861FF">
        <w:rPr>
          <w:lang w:val="es-MX" w:eastAsia="es-SV"/>
        </w:rPr>
        <w:t>:</w:t>
      </w:r>
      <w:r w:rsidR="00E27B6F">
        <w:rPr>
          <w:lang w:val="es-MX" w:eastAsia="es-SV"/>
        </w:rPr>
        <w:t xml:space="preserve"> </w:t>
      </w:r>
      <w:hyperlink r:id="rId8" w:history="1">
        <w:r w:rsidR="003936BC" w:rsidRPr="003936BC">
          <w:rPr>
            <w:rStyle w:val="Hipervnculo"/>
            <w:color w:val="auto"/>
            <w:u w:val="none"/>
            <w:lang w:val="es-MX" w:eastAsia="es-SV"/>
          </w:rPr>
          <w:t>ednajackyas@gmail.com</w:t>
        </w:r>
      </w:hyperlink>
      <w:r w:rsidR="003936BC" w:rsidRPr="003936BC">
        <w:rPr>
          <w:lang w:val="es-MX" w:eastAsia="es-SV"/>
        </w:rPr>
        <w:t xml:space="preserve"> y Teléfono: 7900-4911</w:t>
      </w:r>
    </w:p>
    <w:p w14:paraId="3D176A2F" w14:textId="37334096" w:rsidR="003936BC" w:rsidRPr="008861FF" w:rsidRDefault="003936BC" w:rsidP="008861FF">
      <w:pPr>
        <w:spacing w:line="360" w:lineRule="auto"/>
        <w:jc w:val="both"/>
        <w:rPr>
          <w:lang w:val="es-MX" w:eastAsia="es-SV"/>
        </w:rPr>
      </w:pPr>
      <w:r>
        <w:rPr>
          <w:lang w:val="es-MX" w:eastAsia="es-SV"/>
        </w:rPr>
        <w:t>-</w:t>
      </w:r>
      <w:r w:rsidRPr="003936BC">
        <w:t xml:space="preserve"> </w:t>
      </w:r>
      <w:r w:rsidRPr="003936BC">
        <w:rPr>
          <w:lang w:val="es-MX" w:eastAsia="es-SV"/>
        </w:rPr>
        <w:t xml:space="preserve">Hospital Nacional </w:t>
      </w:r>
      <w:r w:rsidR="006430D9" w:rsidRPr="003936BC">
        <w:rPr>
          <w:lang w:val="es-MX" w:eastAsia="es-SV"/>
        </w:rPr>
        <w:t>“Santa</w:t>
      </w:r>
      <w:r w:rsidRPr="003936BC">
        <w:rPr>
          <w:lang w:val="es-MX" w:eastAsia="es-SV"/>
        </w:rPr>
        <w:t xml:space="preserve"> Gertrudis” San Vicente</w:t>
      </w:r>
      <w:r>
        <w:rPr>
          <w:lang w:val="es-MX" w:eastAsia="es-SV"/>
        </w:rPr>
        <w:t xml:space="preserve">: a </w:t>
      </w:r>
      <w:r w:rsidR="00E27B6F" w:rsidRPr="00E27B6F">
        <w:rPr>
          <w:lang w:val="es-MX" w:eastAsia="es-SV"/>
        </w:rPr>
        <w:t>Licda. Blanca Miriam Pérez, con cargo de Jefe de Laboratorio Clínico</w:t>
      </w:r>
      <w:r w:rsidR="00CC1702">
        <w:rPr>
          <w:lang w:val="es-MX" w:eastAsia="es-SV"/>
        </w:rPr>
        <w:t xml:space="preserve">; </w:t>
      </w:r>
      <w:r w:rsidR="00E27B6F" w:rsidRPr="00E27B6F">
        <w:rPr>
          <w:lang w:val="es-MX" w:eastAsia="es-SV"/>
        </w:rPr>
        <w:t>como responsable de la Administración del Contrato, de conformidad a la distribución del equipo anexo al presente contrato, con correo electrónico</w:t>
      </w:r>
      <w:r w:rsidR="00E27B6F">
        <w:rPr>
          <w:lang w:val="es-MX" w:eastAsia="es-SV"/>
        </w:rPr>
        <w:t xml:space="preserve">: </w:t>
      </w:r>
      <w:hyperlink r:id="rId9" w:history="1">
        <w:r w:rsidR="00E27B6F" w:rsidRPr="00E27B6F">
          <w:rPr>
            <w:rStyle w:val="Hipervnculo"/>
            <w:u w:val="none"/>
            <w:lang w:val="es-MX" w:eastAsia="es-SV"/>
          </w:rPr>
          <w:t>blami98@hotmail.com</w:t>
        </w:r>
      </w:hyperlink>
      <w:r w:rsidR="00E27B6F">
        <w:rPr>
          <w:lang w:val="es-MX" w:eastAsia="es-SV"/>
        </w:rPr>
        <w:t xml:space="preserve"> y </w:t>
      </w:r>
      <w:r w:rsidR="00E27B6F" w:rsidRPr="00E27B6F">
        <w:rPr>
          <w:lang w:val="es-MX" w:eastAsia="es-SV"/>
        </w:rPr>
        <w:t>Teléfono:</w:t>
      </w:r>
      <w:r w:rsidR="00E27B6F">
        <w:rPr>
          <w:lang w:val="es-MX" w:eastAsia="es-SV"/>
        </w:rPr>
        <w:t xml:space="preserve"> </w:t>
      </w:r>
      <w:r w:rsidR="00E27B6F" w:rsidRPr="00E27B6F">
        <w:rPr>
          <w:lang w:val="es-MX" w:eastAsia="es-SV"/>
        </w:rPr>
        <w:t>7874-</w:t>
      </w:r>
      <w:r w:rsidR="00CC1702">
        <w:rPr>
          <w:lang w:val="es-MX" w:eastAsia="es-SV"/>
        </w:rPr>
        <w:t>9650</w:t>
      </w:r>
      <w:r w:rsidR="00E27B6F" w:rsidRPr="00E27B6F">
        <w:rPr>
          <w:lang w:val="es-MX" w:eastAsia="es-SV"/>
        </w:rPr>
        <w:t xml:space="preserve"> y 2393-9594</w:t>
      </w:r>
    </w:p>
    <w:p w14:paraId="02FC39DB" w14:textId="092F16F3" w:rsidR="008861FF" w:rsidRDefault="008861FF" w:rsidP="008861FF">
      <w:pPr>
        <w:spacing w:line="360" w:lineRule="auto"/>
        <w:jc w:val="both"/>
        <w:rPr>
          <w:lang w:val="es-MX" w:eastAsia="es-SV"/>
        </w:rPr>
      </w:pPr>
      <w:r w:rsidRPr="008861FF">
        <w:rPr>
          <w:lang w:val="es-MX" w:eastAsia="es-SV"/>
        </w:rPr>
        <w:t>-</w:t>
      </w:r>
      <w:r w:rsidR="00087CA7" w:rsidRPr="00087CA7">
        <w:t xml:space="preserve"> </w:t>
      </w:r>
      <w:r w:rsidR="00087CA7" w:rsidRPr="00087CA7">
        <w:rPr>
          <w:lang w:val="es-MX" w:eastAsia="es-SV"/>
        </w:rPr>
        <w:t>Hospital Nacional de Ilobasco</w:t>
      </w:r>
      <w:r w:rsidRPr="008861FF">
        <w:rPr>
          <w:lang w:val="es-MX" w:eastAsia="es-SV"/>
        </w:rPr>
        <w:t xml:space="preserve">: a Licda. </w:t>
      </w:r>
      <w:proofErr w:type="spellStart"/>
      <w:r w:rsidR="00087CA7">
        <w:rPr>
          <w:lang w:val="es-MX" w:eastAsia="es-SV"/>
        </w:rPr>
        <w:t>Arline</w:t>
      </w:r>
      <w:proofErr w:type="spellEnd"/>
      <w:r w:rsidR="00087CA7">
        <w:rPr>
          <w:lang w:val="es-MX" w:eastAsia="es-SV"/>
        </w:rPr>
        <w:t xml:space="preserve"> Guadalupe Martínez Lara</w:t>
      </w:r>
      <w:r w:rsidRPr="008861FF">
        <w:rPr>
          <w:lang w:val="es-MX" w:eastAsia="es-SV"/>
        </w:rPr>
        <w:t xml:space="preserve">, con cargo de Jefe de Laboratorio, como responsable de la Administración del Contrato, de conformidad a la distribución del equipo anexo al presente contrato, con correo electrónico: </w:t>
      </w:r>
      <w:r w:rsidR="00087CA7">
        <w:rPr>
          <w:lang w:val="es-MX" w:eastAsia="es-SV"/>
        </w:rPr>
        <w:t>arlinemartinez40@yahoo.com</w:t>
      </w:r>
      <w:r w:rsidRPr="008861FF">
        <w:rPr>
          <w:lang w:val="es-MX" w:eastAsia="es-SV"/>
        </w:rPr>
        <w:t xml:space="preserve"> y teléfono: </w:t>
      </w:r>
      <w:r w:rsidR="00087CA7">
        <w:rPr>
          <w:lang w:val="es-MX" w:eastAsia="es-SV"/>
        </w:rPr>
        <w:t>2347-5000. Ext 5034.</w:t>
      </w:r>
    </w:p>
    <w:p w14:paraId="04DE22C6" w14:textId="1C4B5D8C" w:rsidR="00EC018F" w:rsidRDefault="00EC018F" w:rsidP="008861FF">
      <w:pPr>
        <w:spacing w:line="360" w:lineRule="auto"/>
        <w:jc w:val="both"/>
        <w:rPr>
          <w:lang w:val="es-MX" w:eastAsia="es-SV"/>
        </w:rPr>
      </w:pPr>
      <w:r w:rsidRPr="00EC018F">
        <w:rPr>
          <w:lang w:val="es-MX" w:eastAsia="es-SV"/>
        </w:rPr>
        <w:lastRenderedPageBreak/>
        <w:t>-</w:t>
      </w:r>
      <w:r w:rsidR="00087CA7" w:rsidRPr="00087CA7">
        <w:t xml:space="preserve"> </w:t>
      </w:r>
      <w:r w:rsidR="00087CA7" w:rsidRPr="00087CA7">
        <w:rPr>
          <w:lang w:val="es-MX" w:eastAsia="es-SV"/>
        </w:rPr>
        <w:t xml:space="preserve">Hospital Nacional </w:t>
      </w:r>
      <w:r w:rsidR="00CC4EDE">
        <w:rPr>
          <w:lang w:val="es-MX" w:eastAsia="es-SV"/>
        </w:rPr>
        <w:t xml:space="preserve">“ Nuestra Señora de </w:t>
      </w:r>
      <w:proofErr w:type="spellStart"/>
      <w:r w:rsidR="00CC4EDE">
        <w:rPr>
          <w:lang w:val="es-MX" w:eastAsia="es-SV"/>
        </w:rPr>
        <w:t>Fatima</w:t>
      </w:r>
      <w:proofErr w:type="spellEnd"/>
      <w:r w:rsidR="00CC4EDE">
        <w:rPr>
          <w:lang w:val="es-MX" w:eastAsia="es-SV"/>
        </w:rPr>
        <w:t xml:space="preserve">” </w:t>
      </w:r>
      <w:r w:rsidR="00087CA7" w:rsidRPr="00087CA7">
        <w:rPr>
          <w:lang w:val="es-MX" w:eastAsia="es-SV"/>
        </w:rPr>
        <w:t>de Cojutepeque: Lic. José Alberto Rivas Molina, con cargo de Jefe de Laboratorio Clínico, Hospital Nacional de Cojutepeque</w:t>
      </w:r>
      <w:r w:rsidRPr="00EC018F">
        <w:rPr>
          <w:lang w:val="es-MX" w:eastAsia="es-SV"/>
        </w:rPr>
        <w:t xml:space="preserve">, como responsable de la Administración del Contrato, de conformidad a la distribución del equipo anexo al presente contrato, con correo electrónico: </w:t>
      </w:r>
      <w:hyperlink r:id="rId10" w:history="1">
        <w:r w:rsidR="00087CA7" w:rsidRPr="00087CA7">
          <w:rPr>
            <w:rStyle w:val="Hipervnculo"/>
            <w:rFonts w:eastAsia="SimSun" w:cs="Arial"/>
            <w:kern w:val="1"/>
            <w:u w:val="none"/>
            <w:lang w:eastAsia="zh-CN" w:bidi="hi-IN"/>
          </w:rPr>
          <w:t>jarivas@salud.gob.sv</w:t>
        </w:r>
      </w:hyperlink>
      <w:r w:rsidR="00087CA7">
        <w:rPr>
          <w:rFonts w:eastAsia="SimSun" w:cs="Arial"/>
          <w:kern w:val="1"/>
          <w:sz w:val="20"/>
          <w:szCs w:val="20"/>
          <w:lang w:eastAsia="zh-CN" w:bidi="hi-IN"/>
        </w:rPr>
        <w:t xml:space="preserve"> </w:t>
      </w:r>
      <w:r w:rsidRPr="00EC018F">
        <w:rPr>
          <w:lang w:val="es-MX" w:eastAsia="es-SV"/>
        </w:rPr>
        <w:t xml:space="preserve">y teléfono: </w:t>
      </w:r>
      <w:r w:rsidR="00087CA7">
        <w:rPr>
          <w:lang w:val="es-MX" w:eastAsia="es-SV"/>
        </w:rPr>
        <w:t>7058-0498</w:t>
      </w:r>
    </w:p>
    <w:p w14:paraId="75ABC4E7" w14:textId="46E77ADE" w:rsidR="00476DA9" w:rsidRDefault="00476DA9" w:rsidP="008861FF">
      <w:pPr>
        <w:spacing w:line="360" w:lineRule="auto"/>
        <w:jc w:val="both"/>
        <w:rPr>
          <w:lang w:val="es-MX" w:eastAsia="es-SV"/>
        </w:rPr>
      </w:pPr>
      <w:r w:rsidRPr="00476DA9">
        <w:rPr>
          <w:lang w:val="es-MX" w:eastAsia="es-SV"/>
        </w:rPr>
        <w:t>-</w:t>
      </w:r>
      <w:r w:rsidR="005407E5" w:rsidRPr="005407E5">
        <w:t xml:space="preserve"> </w:t>
      </w:r>
      <w:r w:rsidR="005407E5" w:rsidRPr="005407E5">
        <w:rPr>
          <w:lang w:val="es-MX" w:eastAsia="es-SV"/>
        </w:rPr>
        <w:t>Hospital Nacional “Santa Teresa”, Zacatecoluca</w:t>
      </w:r>
      <w:r w:rsidRPr="00476DA9">
        <w:rPr>
          <w:lang w:val="es-MX" w:eastAsia="es-SV"/>
        </w:rPr>
        <w:t xml:space="preserve">: a </w:t>
      </w:r>
      <w:r w:rsidR="005407E5">
        <w:rPr>
          <w:lang w:val="es-MX" w:eastAsia="es-SV"/>
        </w:rPr>
        <w:t>Licda. Sandra Vaquerano</w:t>
      </w:r>
      <w:r w:rsidRPr="00476DA9">
        <w:rPr>
          <w:lang w:val="es-MX" w:eastAsia="es-SV"/>
        </w:rPr>
        <w:t xml:space="preserve">, con cargo de </w:t>
      </w:r>
      <w:r w:rsidR="005407E5">
        <w:rPr>
          <w:lang w:val="es-MX" w:eastAsia="es-SV"/>
        </w:rPr>
        <w:t>Jefe de Laboratorio</w:t>
      </w:r>
      <w:r w:rsidRPr="00476DA9">
        <w:rPr>
          <w:lang w:val="es-MX" w:eastAsia="es-SV"/>
        </w:rPr>
        <w:t xml:space="preserve">, como responsable de la Administración del Contrato, de conformidad a la distribución del equipo anexo al presente contrato, con correo electrónico: </w:t>
      </w:r>
      <w:r w:rsidR="005407E5">
        <w:rPr>
          <w:lang w:val="es-MX" w:eastAsia="es-SV"/>
        </w:rPr>
        <w:t>pvaquerano@salud.gob.sv</w:t>
      </w:r>
      <w:r w:rsidRPr="00476DA9">
        <w:rPr>
          <w:lang w:val="es-MX" w:eastAsia="es-SV"/>
        </w:rPr>
        <w:t xml:space="preserve"> y teléfono: </w:t>
      </w:r>
      <w:r w:rsidR="005407E5">
        <w:rPr>
          <w:lang w:val="es-MX" w:eastAsia="es-SV"/>
        </w:rPr>
        <w:t>7744-6285</w:t>
      </w:r>
    </w:p>
    <w:p w14:paraId="39616C84" w14:textId="7303F3EC" w:rsidR="005407E5" w:rsidRDefault="005407E5" w:rsidP="008861FF">
      <w:pPr>
        <w:spacing w:line="360" w:lineRule="auto"/>
        <w:jc w:val="both"/>
        <w:rPr>
          <w:lang w:val="es-MX" w:eastAsia="es-SV"/>
        </w:rPr>
      </w:pPr>
      <w:r>
        <w:rPr>
          <w:lang w:val="es-MX" w:eastAsia="es-SV"/>
        </w:rPr>
        <w:t>-</w:t>
      </w:r>
      <w:r w:rsidRPr="005407E5">
        <w:t xml:space="preserve"> </w:t>
      </w:r>
      <w:r w:rsidRPr="005407E5">
        <w:rPr>
          <w:lang w:val="es-MX" w:eastAsia="es-SV"/>
        </w:rPr>
        <w:t>Hospital Nacional “Francisco Menéndez”</w:t>
      </w:r>
      <w:r w:rsidR="00593BDA">
        <w:rPr>
          <w:lang w:val="es-MX" w:eastAsia="es-SV"/>
        </w:rPr>
        <w:t xml:space="preserve">, </w:t>
      </w:r>
      <w:r w:rsidRPr="005407E5">
        <w:rPr>
          <w:lang w:val="es-MX" w:eastAsia="es-SV"/>
        </w:rPr>
        <w:t>Ahuachapán: a Licda. Miriam Elena Cuellar de Vanegas, con cargo de Jefe de Laboratorio Clínico, 2Do Nive</w:t>
      </w:r>
      <w:r>
        <w:rPr>
          <w:lang w:val="es-MX" w:eastAsia="es-SV"/>
        </w:rPr>
        <w:t>l</w:t>
      </w:r>
      <w:r w:rsidRPr="005407E5">
        <w:rPr>
          <w:lang w:val="es-MX" w:eastAsia="es-SV"/>
        </w:rPr>
        <w:t>, como responsable de la Administración del Contrato, de conformidad a la distribución del equipo anexo al presente contrato, con correo electrónico:</w:t>
      </w:r>
      <w:r w:rsidRPr="00D2384E">
        <w:rPr>
          <w:lang w:val="es-MX" w:eastAsia="es-SV"/>
        </w:rPr>
        <w:t xml:space="preserve"> </w:t>
      </w:r>
      <w:hyperlink r:id="rId11" w:history="1">
        <w:r w:rsidR="00D2384E" w:rsidRPr="00D2384E">
          <w:rPr>
            <w:rStyle w:val="Hipervnculo"/>
            <w:color w:val="auto"/>
            <w:u w:val="none"/>
            <w:lang w:val="es-MX" w:eastAsia="es-SV"/>
          </w:rPr>
          <w:t>miriam_grijalva@hotmail.com</w:t>
        </w:r>
      </w:hyperlink>
      <w:r w:rsidR="00D2384E">
        <w:rPr>
          <w:lang w:val="es-MX" w:eastAsia="es-SV"/>
        </w:rPr>
        <w:t xml:space="preserve"> </w:t>
      </w:r>
      <w:r w:rsidRPr="005407E5">
        <w:rPr>
          <w:lang w:val="es-MX" w:eastAsia="es-SV"/>
        </w:rPr>
        <w:t xml:space="preserve">y teléfono: </w:t>
      </w:r>
      <w:r w:rsidR="00D2384E">
        <w:rPr>
          <w:lang w:val="es-MX" w:eastAsia="es-SV"/>
        </w:rPr>
        <w:t>7885-0026 y 2445-6800</w:t>
      </w:r>
    </w:p>
    <w:p w14:paraId="537CC06B" w14:textId="7D6316EC" w:rsidR="00053868" w:rsidRPr="00053868" w:rsidRDefault="00053868" w:rsidP="00053868">
      <w:pPr>
        <w:spacing w:line="360" w:lineRule="auto"/>
        <w:jc w:val="both"/>
        <w:rPr>
          <w:lang w:val="es-MX" w:eastAsia="es-SV"/>
        </w:rPr>
      </w:pPr>
      <w:r w:rsidRPr="00053868">
        <w:rPr>
          <w:lang w:val="es-MX" w:eastAsia="es-SV"/>
        </w:rPr>
        <w:t xml:space="preserve">Hospital Nacional “San Jerónimo </w:t>
      </w:r>
      <w:proofErr w:type="spellStart"/>
      <w:r w:rsidRPr="00053868">
        <w:rPr>
          <w:lang w:val="es-MX" w:eastAsia="es-SV"/>
        </w:rPr>
        <w:t>Emilianí</w:t>
      </w:r>
      <w:proofErr w:type="spellEnd"/>
      <w:r w:rsidRPr="00053868">
        <w:rPr>
          <w:lang w:val="es-MX" w:eastAsia="es-SV"/>
        </w:rPr>
        <w:t xml:space="preserve">”, Sensuntepeque: a Licda. Ana Jacqueline Moreno Valladares, con cargo de Jefe de Laboratorio Clínico, como responsable de la Administración del Contrato, de conformidad a la distribución del equipo anexo al presente contrato, con correo electrónico: jacqueline38moreno@hotmail.com y teléfono: 7743-3272 </w:t>
      </w:r>
      <w:r w:rsidR="00593BDA" w:rsidRPr="00053868">
        <w:rPr>
          <w:lang w:val="es-MX" w:eastAsia="es-SV"/>
        </w:rPr>
        <w:t xml:space="preserve">y </w:t>
      </w:r>
      <w:r w:rsidR="00593BDA">
        <w:rPr>
          <w:lang w:val="es-MX" w:eastAsia="es-SV"/>
        </w:rPr>
        <w:t>2361</w:t>
      </w:r>
      <w:r w:rsidRPr="00053868">
        <w:rPr>
          <w:lang w:val="es-MX" w:eastAsia="es-SV"/>
        </w:rPr>
        <w:t>-0749.</w:t>
      </w:r>
    </w:p>
    <w:p w14:paraId="73EEBD28" w14:textId="77777777" w:rsidR="00053868" w:rsidRPr="00053868" w:rsidRDefault="00053868" w:rsidP="00053868">
      <w:pPr>
        <w:spacing w:line="360" w:lineRule="auto"/>
        <w:jc w:val="both"/>
        <w:rPr>
          <w:lang w:val="es-MX" w:eastAsia="es-SV"/>
        </w:rPr>
      </w:pPr>
      <w:r w:rsidRPr="00053868">
        <w:rPr>
          <w:lang w:val="es-MX" w:eastAsia="es-SV"/>
        </w:rPr>
        <w:t>-Hospital Nacional “Dr. Héctor Antonio Hernández Flores”, San Francisco Morazán, Gotera: a Flor de María García, con cargo de Jefe de Laboratorio, como responsable de la Administración del Contrato, de conformidad a la distribución del equipo anexo al presente contrato, con correo electrónico: florymar83@hotmail.com y teléfono: 2645-7137</w:t>
      </w:r>
    </w:p>
    <w:p w14:paraId="5F3BEE19" w14:textId="063AFAB6" w:rsidR="00053868" w:rsidRPr="00A739F2" w:rsidRDefault="00053868" w:rsidP="00053868">
      <w:pPr>
        <w:spacing w:line="360" w:lineRule="auto"/>
        <w:jc w:val="both"/>
        <w:rPr>
          <w:lang w:val="es-MX" w:eastAsia="es-SV"/>
        </w:rPr>
      </w:pPr>
      <w:r w:rsidRPr="00053868">
        <w:rPr>
          <w:lang w:val="es-MX" w:eastAsia="es-SV"/>
        </w:rPr>
        <w:t>-Hospital Nacional “Hospital Nacional de Santa Rosa de Lima”: a Glenda Patricia Medrano Ramírez, con cargo de Médico Asesor de Medicamentos, como responsable de la Administración del Contrato, de conformidad a la distribución del equipo anexo al presente contrato, con correo electrónico: gmedranoramirez@yahoo.com y teléfono: 76080844</w:t>
      </w:r>
      <w:r w:rsidR="003B0F84">
        <w:rPr>
          <w:lang w:val="es-MX" w:eastAsia="es-SV"/>
        </w:rPr>
        <w:t>.</w:t>
      </w:r>
    </w:p>
    <w:p w14:paraId="1B0D786E" w14:textId="0335B9E7" w:rsidR="008C5966" w:rsidRPr="008C5966" w:rsidRDefault="00DE66AC" w:rsidP="008C5966">
      <w:pPr>
        <w:spacing w:after="0" w:line="360" w:lineRule="auto"/>
        <w:jc w:val="both"/>
        <w:rPr>
          <w:rFonts w:cs="Calibri"/>
        </w:rPr>
      </w:pPr>
      <w:r w:rsidRPr="00A82133">
        <w:rPr>
          <w:b/>
          <w:bCs/>
          <w:lang w:val="es-MX" w:eastAsia="es-SV"/>
        </w:rPr>
        <w:t>CLÁUSULA SÉPTIMA: FORMA DE PAGO</w:t>
      </w:r>
      <w:r w:rsidRPr="00A82133">
        <w:rPr>
          <w:lang w:val="es-MX" w:eastAsia="es-SV"/>
        </w:rPr>
        <w:t xml:space="preserve">.  </w:t>
      </w:r>
      <w:r w:rsidR="007269B9" w:rsidRPr="007269B9">
        <w:rPr>
          <w:rFonts w:cs="Calibri"/>
        </w:rPr>
        <w:t xml:space="preserve">Para el pago de los bienes, el Proveedor </w:t>
      </w:r>
      <w:r w:rsidR="008C5966" w:rsidRPr="008C5966">
        <w:rPr>
          <w:rFonts w:cs="Calibri"/>
        </w:rPr>
        <w:t xml:space="preserve">presentará a la Tesorería del Programa en la Unidad Financiera Institucional, factura de consumidor final en duplicado cliente a nombre del MINSAL/CONVENIO INDIVIDUAL DE FINANCIAMIENTO NO REEMBOLSABLE DE INVERSIÓN DEL FONDO MESOAMERICANO DE LA SALUD-TERCERA OPERACIÓN, </w:t>
      </w:r>
      <w:r w:rsidR="008C5966" w:rsidRPr="008C5966">
        <w:rPr>
          <w:rFonts w:cs="Calibri"/>
        </w:rPr>
        <w:lastRenderedPageBreak/>
        <w:t>Convenio GTR/HE-16714-ES GTR/HE-16715-ES, adjuntando acta de recepción a satisfacción por parte de la Unidad solicitante o a la que esta delegue y copia del contrato. En la factura correspondiente, en el apartado de la descripción de los bienes, deberá hacer referencia al número y concepto del Contrato suscrito con el Ministerio de Salud, cifrado presupuestario, Categoría de Inversión, detalle del pago menos las retenciones correspondientes según ley y líquido a pagar, deberá ser por el número de servicios entregados.</w:t>
      </w:r>
    </w:p>
    <w:p w14:paraId="6ED1E69B" w14:textId="77777777" w:rsidR="008C5966" w:rsidRPr="008C5966" w:rsidRDefault="008C5966" w:rsidP="008C5966">
      <w:pPr>
        <w:spacing w:after="0" w:line="360" w:lineRule="auto"/>
        <w:jc w:val="both"/>
        <w:rPr>
          <w:rFonts w:cs="Calibri"/>
        </w:rPr>
      </w:pPr>
      <w:r w:rsidRPr="008C5966">
        <w:rPr>
          <w:rFonts w:cs="Calibri"/>
        </w:rPr>
        <w:t>El pago se hará mediante abono a cuenta según la declaración jurada firmada por el proveedor al momento de suscribir el contrato.</w:t>
      </w:r>
    </w:p>
    <w:p w14:paraId="67C3E67A" w14:textId="73F6933D" w:rsidR="008C5966" w:rsidRPr="008C5966" w:rsidRDefault="008C5966" w:rsidP="008C5966">
      <w:pPr>
        <w:spacing w:after="0" w:line="360" w:lineRule="auto"/>
        <w:jc w:val="both"/>
        <w:rPr>
          <w:rFonts w:cs="Calibri"/>
        </w:rPr>
      </w:pPr>
      <w:r w:rsidRPr="008C5966">
        <w:rPr>
          <w:rFonts w:cs="Calibri"/>
        </w:rPr>
        <w:t>Los pagos en virtud del Contrato serán efectuados en un periodo no mayor a 30 días posterior a la fecha determinada para cada pago.</w:t>
      </w:r>
      <w:r w:rsidR="00CB1E54">
        <w:rPr>
          <w:rFonts w:cs="Calibri"/>
        </w:rPr>
        <w:t xml:space="preserve"> </w:t>
      </w:r>
      <w:r w:rsidRPr="008C5966">
        <w:rPr>
          <w:rFonts w:cs="Calibri"/>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p w14:paraId="2EED312E" w14:textId="77777777" w:rsidR="008C5966" w:rsidRDefault="008C5966" w:rsidP="008C5966">
      <w:pPr>
        <w:spacing w:after="0" w:line="360" w:lineRule="auto"/>
        <w:jc w:val="both"/>
        <w:rPr>
          <w:rFonts w:cs="Calibri"/>
        </w:rPr>
      </w:pPr>
      <w:r w:rsidRPr="008C5966">
        <w:rPr>
          <w:rFonts w:cs="Calibri"/>
        </w:rPr>
        <w:t xml:space="preserve">Impuestos: El precio deberá incluir todos los tributos, impuesto y/o cargos, comisiones, etc. y cualquier gravamen que pueda recaer sobre el bien a proveer o la actividad del PROVEEDOR, incluido el IVA; En consecuencia, el PROVEEDOR será el único responsable de </w:t>
      </w:r>
      <w:proofErr w:type="gramStart"/>
      <w:r w:rsidRPr="008C5966">
        <w:rPr>
          <w:rFonts w:cs="Calibri"/>
        </w:rPr>
        <w:t>los mismos</w:t>
      </w:r>
      <w:proofErr w:type="gramEnd"/>
      <w:r w:rsidRPr="008C5966">
        <w:rPr>
          <w:rFonts w:cs="Calibri"/>
        </w:rPr>
        <w:t>.</w:t>
      </w:r>
    </w:p>
    <w:p w14:paraId="5FF69F6A" w14:textId="77777777" w:rsidR="008C5966" w:rsidRDefault="008C5966" w:rsidP="008C5966">
      <w:pPr>
        <w:spacing w:after="0" w:line="360" w:lineRule="auto"/>
        <w:jc w:val="both"/>
        <w:rPr>
          <w:b/>
          <w:bCs/>
          <w:lang w:val="es-MX" w:eastAsia="es-SV"/>
        </w:rPr>
      </w:pPr>
    </w:p>
    <w:p w14:paraId="0B5B1198" w14:textId="47751F28" w:rsidR="00A739F2" w:rsidRPr="00CB1E54" w:rsidRDefault="00DE66AC" w:rsidP="00CB1E54">
      <w:pPr>
        <w:spacing w:line="360" w:lineRule="auto"/>
        <w:jc w:val="both"/>
        <w:rPr>
          <w:rFonts w:asciiTheme="minorHAnsi" w:hAnsiTheme="minorHAnsi"/>
          <w:lang w:val="es-ES" w:eastAsia="zh-CN"/>
        </w:rPr>
      </w:pPr>
      <w:r w:rsidRPr="00A82133">
        <w:rPr>
          <w:b/>
          <w:bCs/>
          <w:lang w:val="es-MX" w:eastAsia="es-SV"/>
        </w:rPr>
        <w:t xml:space="preserve">CLÁUSULA OCTAVA: PAGO DEL SUMINISTRO. </w:t>
      </w:r>
      <w:r w:rsidRPr="00A82133">
        <w:rPr>
          <w:lang w:val="es-MX" w:eastAsia="es-SV"/>
        </w:rPr>
        <w:t xml:space="preserve">El pago del Suministro bajo el presente Contrato será </w:t>
      </w:r>
      <w:r w:rsidR="0067499D">
        <w:rPr>
          <w:lang w:val="es-MX" w:eastAsia="es-SV"/>
        </w:rPr>
        <w:t xml:space="preserve">de conformidad a los </w:t>
      </w:r>
      <w:r w:rsidR="00CB1E54" w:rsidRPr="00CB1E54">
        <w:rPr>
          <w:rFonts w:asciiTheme="minorHAnsi" w:hAnsiTheme="minorHAnsi"/>
          <w:lang w:val="es-ES" w:eastAsia="zh-CN"/>
        </w:rPr>
        <w:t>FONDOS EXTERNOS: CONVENIO INDIVIDUAL DE FINANCIAMIENTO NO REEMBOLSABLE DE INVERSIÓN DEL FONDO MESOAMERICANO DE SALUD N° GRT/HE-16714-ES GRT/HE-16715-ES, TERCERA OPERACIÓN, CATEGORÍA DE INVERSIÓN 1. ATENCIÓN DE MUJERES EN EDAD FÉRTIL Y NIÑOS MENORES DE CINCO AÑOS, SUB-CATEGORÍA 1.2 MEDICAMENTOS E INSUMOS, PROYECTO 6015, cifrado presupuestario: 2019-3200-3-09-03-22-5-54113.</w:t>
      </w:r>
    </w:p>
    <w:p w14:paraId="7CF5041B" w14:textId="77777777" w:rsidR="00DE66AC" w:rsidRPr="00A82133" w:rsidRDefault="00DE66AC" w:rsidP="00DE66AC">
      <w:pPr>
        <w:spacing w:line="360" w:lineRule="auto"/>
        <w:jc w:val="both"/>
        <w:rPr>
          <w:lang w:val="es-MX" w:eastAsia="es-SV"/>
        </w:rPr>
      </w:pPr>
      <w:r w:rsidRPr="00A82133">
        <w:rPr>
          <w:b/>
          <w:bCs/>
          <w:lang w:val="es-MX" w:eastAsia="es-SV"/>
        </w:rPr>
        <w:t>CLÁUSULA NOVENA: GARANTÍAS.</w:t>
      </w:r>
      <w:r w:rsidRPr="00A82133">
        <w:rPr>
          <w:lang w:val="es-MX" w:eastAsia="es-SV"/>
        </w:rPr>
        <w:t xml:space="preserve"> </w:t>
      </w:r>
    </w:p>
    <w:p w14:paraId="2D7CA7BD" w14:textId="33992C67" w:rsidR="00EF1962" w:rsidRPr="00252A5B" w:rsidRDefault="00DE66AC" w:rsidP="00252A5B">
      <w:pPr>
        <w:spacing w:line="360" w:lineRule="auto"/>
        <w:jc w:val="both"/>
        <w:rPr>
          <w:lang w:val="es-MX" w:eastAsia="es-SV"/>
        </w:rPr>
      </w:pPr>
      <w:r w:rsidRPr="00252A5B">
        <w:rPr>
          <w:lang w:val="es-MX" w:eastAsia="es-SV"/>
        </w:rPr>
        <w:t xml:space="preserve">EL PROVEEDOR rendirá por su cuenta y a favor del MINSAL, la GARANTÍA DE CUMPLIMIENTO DE CONTRATO para garantizar el cumplimiento estricto de este Contrato, por un valor equivalente al DIEZ POR CIENTO (10%) del monto total del Contrato, la cual deberá ser entregada dentro de los 15 días siguientes a la fecha de distribución de contrato. La vigencia de esta garantía será de </w:t>
      </w:r>
      <w:r w:rsidR="00F25834" w:rsidRPr="00252A5B">
        <w:rPr>
          <w:lang w:val="es-MX" w:eastAsia="es-SV"/>
        </w:rPr>
        <w:t xml:space="preserve">CIENTO </w:t>
      </w:r>
      <w:r w:rsidR="00F25834" w:rsidRPr="00252A5B">
        <w:rPr>
          <w:lang w:val="es-MX" w:eastAsia="es-SV"/>
        </w:rPr>
        <w:lastRenderedPageBreak/>
        <w:t xml:space="preserve">OCHENTA </w:t>
      </w:r>
      <w:r w:rsidRPr="00252A5B">
        <w:rPr>
          <w:lang w:val="es-MX" w:eastAsia="es-SV"/>
        </w:rPr>
        <w:t xml:space="preserve">DÍAS CALENDARIO, contados a partir de la distribución del Contrato. Posterior a dicha fecha será devuelta al Proveedor. Dicha garantía se emitirá utilizando el formato Anexo al documento de </w:t>
      </w:r>
      <w:r w:rsidR="00CB1E54">
        <w:rPr>
          <w:lang w:val="es-MX" w:eastAsia="es-SV"/>
        </w:rPr>
        <w:t>Comparación de Precios</w:t>
      </w:r>
      <w:r w:rsidRPr="00252A5B">
        <w:rPr>
          <w:lang w:val="es-MX" w:eastAsia="es-SV"/>
        </w:rPr>
        <w:t>, por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p>
    <w:p w14:paraId="7553FC46" w14:textId="77F8D1BA" w:rsidR="00DE66AC" w:rsidRPr="00EF1962" w:rsidRDefault="00DE66AC" w:rsidP="00EF1962">
      <w:pPr>
        <w:tabs>
          <w:tab w:val="left" w:pos="604"/>
        </w:tabs>
        <w:spacing w:after="120" w:line="360" w:lineRule="auto"/>
        <w:jc w:val="both"/>
        <w:rPr>
          <w:rFonts w:ascii="Times New Roman" w:hAnsi="Times New Roman"/>
          <w:b/>
          <w:lang w:val="es-ES_tradnl"/>
        </w:rPr>
      </w:pPr>
      <w:r w:rsidRPr="00EF1962">
        <w:rPr>
          <w:b/>
          <w:bCs/>
          <w:lang w:val="es-MX" w:eastAsia="es-SV"/>
        </w:rPr>
        <w:t xml:space="preserve">CLÁUSULA DÉCIMA: </w:t>
      </w:r>
      <w:r w:rsidRPr="00EF1962">
        <w:rPr>
          <w:b/>
          <w:bCs/>
          <w:lang w:eastAsia="es-SV"/>
        </w:rPr>
        <w:t xml:space="preserve">PRÁCTICAS PROHIBIDAS: </w:t>
      </w:r>
      <w:r w:rsidRPr="00EF1962">
        <w:rPr>
          <w:bCs/>
          <w:lang w:eastAsia="es-SV"/>
        </w:rPr>
        <w:t xml:space="preserve">1.1 </w:t>
      </w:r>
      <w:r w:rsidRPr="00EF1962">
        <w:rPr>
          <w:lang w:val="es-MX" w:eastAsia="es-SV"/>
        </w:rPr>
        <w:t xml:space="preserve">El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sidRPr="00EF1962">
        <w:rPr>
          <w:lang w:val="es-MX" w:eastAsia="es-SV"/>
        </w:rPr>
        <w:t>subconsultores</w:t>
      </w:r>
      <w:proofErr w:type="spellEnd"/>
      <w:r w:rsidRPr="00EF1962">
        <w:rPr>
          <w:lang w:val="es-MX" w:eastAsia="es-SV"/>
        </w:rPr>
        <w:t>, proveedores de servicios y concesionarios (incluidos sus respectivos funcionarios, empleados y representantes, ya sean sus atribuciones expresas o implícitas), observar los más altos niveles éticos y denuncien al Banco  todo acto sospechoso de constituir una Práctica Prohibida del cual tenga conocimiento o sea informado, durante el proceso de selección y las negociaciones o la ejecución de un contrato.  Las Prácticas Prohibidas comprenden actos de: (i) prácticas corruptivas; (</w:t>
      </w:r>
      <w:proofErr w:type="spellStart"/>
      <w:r w:rsidRPr="00EF1962">
        <w:rPr>
          <w:lang w:val="es-MX" w:eastAsia="es-SV"/>
        </w:rPr>
        <w:t>ii</w:t>
      </w:r>
      <w:proofErr w:type="spellEnd"/>
      <w:r w:rsidRPr="00EF1962">
        <w:rPr>
          <w:lang w:val="es-MX" w:eastAsia="es-SV"/>
        </w:rPr>
        <w:t>) prácticas fraudulentas; (</w:t>
      </w:r>
      <w:proofErr w:type="spellStart"/>
      <w:r w:rsidRPr="00EF1962">
        <w:rPr>
          <w:lang w:val="es-MX" w:eastAsia="es-SV"/>
        </w:rPr>
        <w:t>iii</w:t>
      </w:r>
      <w:proofErr w:type="spellEnd"/>
      <w:r w:rsidRPr="00EF1962">
        <w:rPr>
          <w:lang w:val="es-MX" w:eastAsia="es-SV"/>
        </w:rPr>
        <w:t>) prácticas coercitivas; y (</w:t>
      </w:r>
      <w:proofErr w:type="spellStart"/>
      <w:r w:rsidRPr="00EF1962">
        <w:rPr>
          <w:lang w:val="es-MX" w:eastAsia="es-SV"/>
        </w:rPr>
        <w:t>iv</w:t>
      </w:r>
      <w:proofErr w:type="spellEnd"/>
      <w:r w:rsidRPr="00EF1962">
        <w:rPr>
          <w:lang w:val="es-MX" w:eastAsia="es-SV"/>
        </w:rPr>
        <w:t>)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14:paraId="320205BD"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(a)</w:t>
      </w:r>
      <w:r w:rsidRPr="00A82133">
        <w:rPr>
          <w:sz w:val="23"/>
          <w:szCs w:val="23"/>
          <w:lang w:val="es-MX" w:eastAsia="es-SV"/>
        </w:rPr>
        <w:tab/>
        <w:t>El Banco define, para efectos de esta disposición, los términos que figuran a continuación:</w:t>
      </w:r>
    </w:p>
    <w:p w14:paraId="12A2E454"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(i)</w:t>
      </w:r>
      <w:r w:rsidRPr="00A82133">
        <w:rPr>
          <w:sz w:val="23"/>
          <w:szCs w:val="23"/>
          <w:lang w:val="es-MX" w:eastAsia="es-SV"/>
        </w:rPr>
        <w:tab/>
        <w:t>Una práctica corruptiva consiste en ofrecer, dar, recibir o solicitar, directa o indirectamente, cualquier cosa de valor para influenciar indebidamente las acciones de otra parte;</w:t>
      </w:r>
    </w:p>
    <w:p w14:paraId="0E1E14A1"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lastRenderedPageBreak/>
        <w:t>(</w:t>
      </w:r>
      <w:proofErr w:type="spellStart"/>
      <w:r w:rsidRPr="00A82133">
        <w:rPr>
          <w:sz w:val="23"/>
          <w:szCs w:val="23"/>
          <w:lang w:val="es-MX" w:eastAsia="es-SV"/>
        </w:rPr>
        <w:t>ii</w:t>
      </w:r>
      <w:proofErr w:type="spellEnd"/>
      <w:r w:rsidRPr="00A82133">
        <w:rPr>
          <w:sz w:val="23"/>
          <w:szCs w:val="23"/>
          <w:lang w:val="es-MX" w:eastAsia="es-SV"/>
        </w:rPr>
        <w:t>)</w:t>
      </w:r>
      <w:r w:rsidRPr="00A82133">
        <w:rPr>
          <w:sz w:val="23"/>
          <w:szCs w:val="23"/>
          <w:lang w:val="es-MX" w:eastAsia="es-SV"/>
        </w:rPr>
        <w:tab/>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330A1B1D"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iii</w:t>
      </w:r>
      <w:proofErr w:type="spellEnd"/>
      <w:r w:rsidRPr="00A82133">
        <w:rPr>
          <w:sz w:val="23"/>
          <w:szCs w:val="23"/>
          <w:lang w:val="es-MX" w:eastAsia="es-SV"/>
        </w:rPr>
        <w:t>)</w:t>
      </w:r>
      <w:r w:rsidRPr="00A82133">
        <w:rPr>
          <w:sz w:val="23"/>
          <w:szCs w:val="23"/>
          <w:lang w:val="es-MX" w:eastAsia="es-SV"/>
        </w:rPr>
        <w:tab/>
        <w:t>Una práctica coercitiva consiste en perjudicar o causar daño, o amenazar con perjudicar o causar daño, directa o indirectamente, a cualquier parte o a sus bienes para influenciar indebidamente las acciones de una parte; y</w:t>
      </w:r>
    </w:p>
    <w:p w14:paraId="25BEEAF9"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iv</w:t>
      </w:r>
      <w:proofErr w:type="spellEnd"/>
      <w:r w:rsidRPr="00A82133">
        <w:rPr>
          <w:sz w:val="23"/>
          <w:szCs w:val="23"/>
          <w:lang w:val="es-MX" w:eastAsia="es-SV"/>
        </w:rPr>
        <w:t>)</w:t>
      </w:r>
      <w:r w:rsidRPr="00A82133">
        <w:rPr>
          <w:sz w:val="23"/>
          <w:szCs w:val="23"/>
          <w:lang w:val="es-MX" w:eastAsia="es-SV"/>
        </w:rPr>
        <w:tab/>
        <w:t>Una práctica colusoria es un acuerdo entre dos o más partes realizado con la intención de alcanzar un propósito inapropiado, lo que incluye influenciar en forma inapropiada las acciones de otra parte; y</w:t>
      </w:r>
    </w:p>
    <w:p w14:paraId="2849183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(v)</w:t>
      </w:r>
      <w:r w:rsidRPr="00A82133">
        <w:rPr>
          <w:sz w:val="23"/>
          <w:szCs w:val="23"/>
          <w:lang w:val="es-MX" w:eastAsia="es-SV"/>
        </w:rPr>
        <w:tab/>
        <w:t>Una práctica obstructiva consiste en:</w:t>
      </w:r>
    </w:p>
    <w:p w14:paraId="1732D3F2" w14:textId="77777777" w:rsidR="00DE66AC" w:rsidRPr="00A82133" w:rsidRDefault="00DE66AC" w:rsidP="00DE66AC">
      <w:pPr>
        <w:spacing w:line="360" w:lineRule="auto"/>
        <w:jc w:val="both"/>
        <w:rPr>
          <w:sz w:val="23"/>
          <w:szCs w:val="23"/>
          <w:lang w:val="es-MX" w:eastAsia="es-SV"/>
        </w:rPr>
      </w:pPr>
      <w:proofErr w:type="spellStart"/>
      <w:r w:rsidRPr="00A82133">
        <w:rPr>
          <w:sz w:val="23"/>
          <w:szCs w:val="23"/>
          <w:lang w:val="es-MX" w:eastAsia="es-SV"/>
        </w:rPr>
        <w:t>a.a</w:t>
      </w:r>
      <w:proofErr w:type="spellEnd"/>
      <w:r w:rsidRPr="00A82133">
        <w:rPr>
          <w:sz w:val="23"/>
          <w:szCs w:val="23"/>
          <w:lang w:val="es-MX" w:eastAsia="es-SV"/>
        </w:rPr>
        <w:t>.</w:t>
      </w:r>
      <w:r w:rsidRPr="00A82133">
        <w:rPr>
          <w:sz w:val="23"/>
          <w:szCs w:val="23"/>
          <w:lang w:val="es-MX" w:eastAsia="es-SV"/>
        </w:rPr>
        <w:tab/>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 todo acto dirigido a impedir materialmente el ejercicio de inspección del Banco y los derechos de auditoría previstos en el párrafo 1.1 (e) de abajo.</w:t>
      </w:r>
    </w:p>
    <w:p w14:paraId="13F995DA"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(b)</w:t>
      </w:r>
      <w:r w:rsidRPr="00A82133">
        <w:rPr>
          <w:sz w:val="23"/>
          <w:szCs w:val="23"/>
          <w:lang w:val="es-MX" w:eastAsia="es-SV"/>
        </w:rPr>
        <w:tab/>
        <w:t xml:space="preserve">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p>
    <w:p w14:paraId="68F682BE"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lastRenderedPageBreak/>
        <w:t>(i)</w:t>
      </w:r>
      <w:r w:rsidRPr="00A82133">
        <w:rPr>
          <w:sz w:val="23"/>
          <w:szCs w:val="23"/>
          <w:lang w:val="es-MX" w:eastAsia="es-SV"/>
        </w:rPr>
        <w:tab/>
        <w:t>no financiar ninguna propuesta de adjudicación de un contrato para la adquisición de bienes o servicios, la contratación de obras, o servicios de consultoría;</w:t>
      </w:r>
    </w:p>
    <w:p w14:paraId="540295DA"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w:t>
      </w:r>
      <w:proofErr w:type="spellEnd"/>
      <w:r w:rsidRPr="00A82133">
        <w:rPr>
          <w:sz w:val="23"/>
          <w:szCs w:val="23"/>
          <w:lang w:val="es-MX" w:eastAsia="es-SV"/>
        </w:rPr>
        <w:t>)</w:t>
      </w:r>
      <w:r w:rsidRPr="00A82133">
        <w:rPr>
          <w:sz w:val="23"/>
          <w:szCs w:val="23"/>
          <w:lang w:val="es-MX" w:eastAsia="es-SV"/>
        </w:rPr>
        <w:tab/>
        <w:t>suspender los desembolsos de la operación, si se determina, en cualquier etapa, que un empleado, agencia o representante del Prestatario, el Organismo Ejecutor o el Organismo Contratante ha cometido una Práctica Prohibida;</w:t>
      </w:r>
    </w:p>
    <w:p w14:paraId="023BBC71"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iii</w:t>
      </w:r>
      <w:proofErr w:type="spellEnd"/>
      <w:r w:rsidRPr="00A82133">
        <w:rPr>
          <w:sz w:val="23"/>
          <w:szCs w:val="23"/>
          <w:lang w:val="es-MX" w:eastAsia="es-SV"/>
        </w:rPr>
        <w:t>)</w:t>
      </w:r>
      <w:r w:rsidRPr="00A82133">
        <w:rPr>
          <w:sz w:val="23"/>
          <w:szCs w:val="23"/>
          <w:lang w:val="es-MX" w:eastAsia="es-SV"/>
        </w:rPr>
        <w:tab/>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48B8F246"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iv</w:t>
      </w:r>
      <w:proofErr w:type="spellEnd"/>
      <w:r w:rsidRPr="00A82133">
        <w:rPr>
          <w:sz w:val="23"/>
          <w:szCs w:val="23"/>
          <w:lang w:val="es-MX" w:eastAsia="es-SV"/>
        </w:rPr>
        <w:t>)</w:t>
      </w:r>
      <w:r w:rsidRPr="00A82133">
        <w:rPr>
          <w:sz w:val="23"/>
          <w:szCs w:val="23"/>
          <w:lang w:val="es-MX" w:eastAsia="es-SV"/>
        </w:rPr>
        <w:tab/>
        <w:t>emitir una amonestación a la firma, entidad o individuo en el formato de una carta formal de censura por su conducta;</w:t>
      </w:r>
    </w:p>
    <w:p w14:paraId="7A333C3F"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(v)</w:t>
      </w:r>
      <w:r w:rsidRPr="00A82133">
        <w:rPr>
          <w:sz w:val="23"/>
          <w:szCs w:val="23"/>
          <w:lang w:val="es-MX" w:eastAsia="es-SV"/>
        </w:rPr>
        <w:tab/>
        <w:t>declarar a una firma, entidad o individuo inelegible, en forma permanente o por determinado período de tiempo, para que (i) se le adjudiquen contratos o participe en actividades financiadas por el Banco, y (</w:t>
      </w:r>
      <w:proofErr w:type="spellStart"/>
      <w:r w:rsidRPr="00A82133">
        <w:rPr>
          <w:sz w:val="23"/>
          <w:szCs w:val="23"/>
          <w:lang w:val="es-MX" w:eastAsia="es-SV"/>
        </w:rPr>
        <w:t>ii</w:t>
      </w:r>
      <w:proofErr w:type="spellEnd"/>
      <w:r w:rsidRPr="00A82133">
        <w:rPr>
          <w:sz w:val="23"/>
          <w:szCs w:val="23"/>
          <w:lang w:val="es-MX" w:eastAsia="es-SV"/>
        </w:rPr>
        <w:t xml:space="preserve">) sea designado </w:t>
      </w:r>
      <w:proofErr w:type="spellStart"/>
      <w:r w:rsidRPr="00A82133">
        <w:rPr>
          <w:sz w:val="23"/>
          <w:szCs w:val="23"/>
          <w:lang w:val="es-MX" w:eastAsia="es-SV"/>
        </w:rPr>
        <w:t>subconsultor</w:t>
      </w:r>
      <w:proofErr w:type="spellEnd"/>
      <w:r w:rsidRPr="00A82133">
        <w:rPr>
          <w:sz w:val="23"/>
          <w:szCs w:val="23"/>
          <w:lang w:val="es-MX" w:eastAsia="es-SV"/>
        </w:rPr>
        <w:t xml:space="preserve">, subcontratista o proveedor de bienes o servicios por otra firma elegible a la que se adjudique un contrato para ejecutar actividades financiadas por el Banco; </w:t>
      </w:r>
    </w:p>
    <w:p w14:paraId="1A9B4569"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(vi)</w:t>
      </w:r>
      <w:r w:rsidRPr="00A82133">
        <w:rPr>
          <w:sz w:val="23"/>
          <w:szCs w:val="23"/>
          <w:lang w:val="es-MX" w:eastAsia="es-SV"/>
        </w:rPr>
        <w:tab/>
        <w:t>remitir el tema a las autoridades pertinentes encargadas de hacer cumplir las leyes; y/o;</w:t>
      </w:r>
    </w:p>
    <w:p w14:paraId="2D88288A" w14:textId="093B91D4"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vii</w:t>
      </w:r>
      <w:proofErr w:type="spellEnd"/>
      <w:r w:rsidRPr="00A82133">
        <w:rPr>
          <w:sz w:val="23"/>
          <w:szCs w:val="23"/>
          <w:lang w:val="es-MX" w:eastAsia="es-SV"/>
        </w:rPr>
        <w:t>)</w:t>
      </w:r>
      <w:r w:rsidRPr="00A82133">
        <w:rPr>
          <w:sz w:val="23"/>
          <w:szCs w:val="23"/>
          <w:lang w:val="es-MX" w:eastAsia="es-SV"/>
        </w:rPr>
        <w:tab/>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14:paraId="5B87FF56"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(c)</w:t>
      </w:r>
      <w:r w:rsidRPr="00A82133">
        <w:rPr>
          <w:sz w:val="23"/>
          <w:szCs w:val="23"/>
          <w:lang w:val="es-MX" w:eastAsia="es-SV"/>
        </w:rPr>
        <w:tab/>
        <w:t>Lo dispuesto en los incisos (i) y (</w:t>
      </w:r>
      <w:proofErr w:type="spellStart"/>
      <w:r w:rsidRPr="00A82133">
        <w:rPr>
          <w:sz w:val="23"/>
          <w:szCs w:val="23"/>
          <w:lang w:val="es-MX" w:eastAsia="es-SV"/>
        </w:rPr>
        <w:t>ii</w:t>
      </w:r>
      <w:proofErr w:type="spellEnd"/>
      <w:r w:rsidRPr="00A82133">
        <w:rPr>
          <w:sz w:val="23"/>
          <w:szCs w:val="23"/>
          <w:lang w:val="es-MX" w:eastAsia="es-SV"/>
        </w:rPr>
        <w:t xml:space="preserve">) del párrafo 1.1 (b) se aplicará también en casos en los que las partes hayan sido temporalmente declaradas inelegibles para la adjudicación de nuevos </w:t>
      </w:r>
      <w:r w:rsidRPr="00A82133">
        <w:rPr>
          <w:sz w:val="23"/>
          <w:szCs w:val="23"/>
          <w:lang w:val="es-MX" w:eastAsia="es-SV"/>
        </w:rPr>
        <w:lastRenderedPageBreak/>
        <w:t>contratos en espera de que se adopte una decisión definitiva en un proceso de sanción, o cualquier otra resolución.</w:t>
      </w:r>
    </w:p>
    <w:p w14:paraId="0B5B71D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(d)</w:t>
      </w:r>
      <w:r w:rsidRPr="00A82133">
        <w:rPr>
          <w:sz w:val="23"/>
          <w:szCs w:val="23"/>
          <w:lang w:val="es-MX" w:eastAsia="es-SV"/>
        </w:rPr>
        <w:tab/>
        <w:t>La imposición de cualquier medida que sea tomada por el Banco de conformidad con las provisiones referidas anteriormente será de carácter público.</w:t>
      </w:r>
    </w:p>
    <w:p w14:paraId="4E2B18A6"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(e)</w:t>
      </w:r>
      <w:r w:rsidRPr="00A82133">
        <w:rPr>
          <w:sz w:val="23"/>
          <w:szCs w:val="23"/>
          <w:lang w:val="es-MX" w:eastAsia="es-SV"/>
        </w:rPr>
        <w:tab/>
        <w:t xml:space="preserve">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14:paraId="665D8672"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(f)</w:t>
      </w:r>
      <w:r w:rsidRPr="00A82133">
        <w:rPr>
          <w:sz w:val="23"/>
          <w:szCs w:val="23"/>
          <w:lang w:val="es-MX" w:eastAsia="es-SV"/>
        </w:rPr>
        <w:tab/>
        <w:t xml:space="preserve">El Banco exige que los solicitantes, oferentes, proveedores de bienes y sus representantes,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sidRPr="00A82133">
        <w:rPr>
          <w:sz w:val="23"/>
          <w:szCs w:val="23"/>
          <w:lang w:val="es-MX" w:eastAsia="es-SV"/>
        </w:rPr>
        <w:t>subconsultor</w:t>
      </w:r>
      <w:proofErr w:type="spellEnd"/>
      <w:r w:rsidRPr="00A82133">
        <w:rPr>
          <w:sz w:val="23"/>
          <w:szCs w:val="23"/>
          <w:lang w:val="es-MX" w:eastAsia="es-SV"/>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xml:space="preserve">, proveedores de servicios y concesionarios: (i) conserven todos los documentos y </w:t>
      </w:r>
      <w:r w:rsidRPr="00A82133">
        <w:rPr>
          <w:sz w:val="23"/>
          <w:szCs w:val="23"/>
          <w:lang w:val="es-MX" w:eastAsia="es-SV"/>
        </w:rPr>
        <w:lastRenderedPageBreak/>
        <w:t>registros relacionados con actividades financiadas por el Banco por un período de siete (7) años luego de terminado el trabajo contemplado en el respectivo contrato; y (</w:t>
      </w:r>
      <w:proofErr w:type="spellStart"/>
      <w:r w:rsidRPr="00A82133">
        <w:rPr>
          <w:sz w:val="23"/>
          <w:szCs w:val="23"/>
          <w:lang w:val="es-MX" w:eastAsia="es-SV"/>
        </w:rPr>
        <w:t>ii</w:t>
      </w:r>
      <w:proofErr w:type="spellEnd"/>
      <w:r w:rsidRPr="00A82133">
        <w:rPr>
          <w:sz w:val="23"/>
          <w:szCs w:val="23"/>
          <w:lang w:val="es-MX" w:eastAsia="es-SV"/>
        </w:rPr>
        <w:t>) entreguen todo documento necesario para la investigación de denuncias de comisión de Prácticas Prohibidas y (</w:t>
      </w:r>
      <w:proofErr w:type="spellStart"/>
      <w:r w:rsidRPr="00A82133">
        <w:rPr>
          <w:sz w:val="23"/>
          <w:szCs w:val="23"/>
          <w:lang w:val="es-MX" w:eastAsia="es-SV"/>
        </w:rPr>
        <w:t>iii</w:t>
      </w:r>
      <w:proofErr w:type="spellEnd"/>
      <w:r w:rsidRPr="00A82133">
        <w:rPr>
          <w:sz w:val="23"/>
          <w:szCs w:val="23"/>
          <w:lang w:val="es-MX" w:eastAsia="es-SV"/>
        </w:rPr>
        <w:t xml:space="preserve">) aseguren que  los empleados o agentes de los solicitantes, oferentes, proveedores de bienes y sus representantes, contratistas, consultores, subcontratistas, </w:t>
      </w:r>
      <w:proofErr w:type="spellStart"/>
      <w:r w:rsidRPr="00A82133">
        <w:rPr>
          <w:sz w:val="23"/>
          <w:szCs w:val="23"/>
          <w:lang w:val="es-MX" w:eastAsia="es-SV"/>
        </w:rPr>
        <w:t>subconsultores</w:t>
      </w:r>
      <w:proofErr w:type="spellEnd"/>
      <w:r w:rsidRPr="00A82133">
        <w:rPr>
          <w:sz w:val="23"/>
          <w:szCs w:val="23"/>
          <w:lang w:val="es-MX" w:eastAsia="es-SV"/>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proofErr w:type="spellStart"/>
      <w:r w:rsidRPr="00A82133">
        <w:rPr>
          <w:sz w:val="23"/>
          <w:szCs w:val="23"/>
          <w:lang w:val="es-MX" w:eastAsia="es-SV"/>
        </w:rPr>
        <w:t>subconsultor</w:t>
      </w:r>
      <w:proofErr w:type="spellEnd"/>
      <w:r w:rsidRPr="00A82133">
        <w:rPr>
          <w:sz w:val="23"/>
          <w:szCs w:val="23"/>
          <w:lang w:val="es-MX" w:eastAsia="es-SV"/>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A82133">
        <w:rPr>
          <w:sz w:val="23"/>
          <w:szCs w:val="23"/>
          <w:lang w:val="es-MX" w:eastAsia="es-SV"/>
        </w:rPr>
        <w:t>subconsultor</w:t>
      </w:r>
      <w:proofErr w:type="spellEnd"/>
      <w:r w:rsidRPr="00A82133">
        <w:rPr>
          <w:sz w:val="23"/>
          <w:szCs w:val="23"/>
          <w:lang w:val="es-MX" w:eastAsia="es-SV"/>
        </w:rPr>
        <w:t>, proveedor de servicios, o concesionario.</w:t>
      </w:r>
    </w:p>
    <w:p w14:paraId="2CFBC411"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(g)</w:t>
      </w:r>
      <w:r w:rsidRPr="00A82133">
        <w:rPr>
          <w:sz w:val="23"/>
          <w:szCs w:val="23"/>
          <w:lang w:val="es-MX" w:eastAsia="es-SV"/>
        </w:rPr>
        <w:tab/>
        <w:t xml:space="preserve">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xml:space="preserve">,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w:t>
      </w:r>
      <w:r w:rsidRPr="00A82133">
        <w:rPr>
          <w:sz w:val="23"/>
          <w:szCs w:val="23"/>
          <w:lang w:val="es-MX" w:eastAsia="es-SV"/>
        </w:rPr>
        <w:lastRenderedPageBreak/>
        <w:t>declarado inelegible de forma temporal o permanente por el Banco, el Banco no financiará los gastos conexos y se acogerá a otras medidas que considere convenientes.</w:t>
      </w:r>
    </w:p>
    <w:p w14:paraId="519D954B"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1.2.</w:t>
      </w:r>
      <w:r w:rsidRPr="00A82133">
        <w:rPr>
          <w:sz w:val="23"/>
          <w:szCs w:val="23"/>
          <w:lang w:val="es-MX" w:eastAsia="es-SV"/>
        </w:rPr>
        <w:tab/>
        <w:t>Los Oferentes, al presentar sus ofertas, declaran y garantizan:</w:t>
      </w:r>
    </w:p>
    <w:p w14:paraId="25754546"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(i)</w:t>
      </w:r>
      <w:r w:rsidRPr="00A82133">
        <w:rPr>
          <w:sz w:val="23"/>
          <w:szCs w:val="23"/>
          <w:lang w:val="es-MX" w:eastAsia="es-SV"/>
        </w:rPr>
        <w:tab/>
        <w:t>que han leído y entendido las definiciones de Prácticas Prohibidas del Banco y las sanciones aplicables a la comisión de las mismas que constan de este documento y se obligan a observar las normas pertinentes sobre las mismas;</w:t>
      </w:r>
    </w:p>
    <w:p w14:paraId="1EEF5EE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w:t>
      </w:r>
      <w:proofErr w:type="spellEnd"/>
      <w:r w:rsidRPr="00A82133">
        <w:rPr>
          <w:sz w:val="23"/>
          <w:szCs w:val="23"/>
          <w:lang w:val="es-MX" w:eastAsia="es-SV"/>
        </w:rPr>
        <w:t>)</w:t>
      </w:r>
      <w:r w:rsidRPr="00A82133">
        <w:rPr>
          <w:sz w:val="23"/>
          <w:szCs w:val="23"/>
          <w:lang w:val="es-MX" w:eastAsia="es-SV"/>
        </w:rPr>
        <w:tab/>
        <w:t>que no han incurrido en ninguna Práctica Prohibida descrita en este documento;</w:t>
      </w:r>
    </w:p>
    <w:p w14:paraId="6018A0E7"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iii</w:t>
      </w:r>
      <w:proofErr w:type="spellEnd"/>
      <w:r w:rsidRPr="00A82133">
        <w:rPr>
          <w:sz w:val="23"/>
          <w:szCs w:val="23"/>
          <w:lang w:val="es-MX" w:eastAsia="es-SV"/>
        </w:rPr>
        <w:t>)</w:t>
      </w:r>
      <w:r w:rsidRPr="00A82133">
        <w:rPr>
          <w:sz w:val="23"/>
          <w:szCs w:val="23"/>
          <w:lang w:val="es-MX" w:eastAsia="es-SV"/>
        </w:rPr>
        <w:tab/>
        <w:t>que no han tergiversado ni ocultado ningún hecho sustancial durante los procesos de selección, negociación, adjudicación o ejecución de un contrato;</w:t>
      </w:r>
    </w:p>
    <w:p w14:paraId="2BE1A7B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iv</w:t>
      </w:r>
      <w:proofErr w:type="spellEnd"/>
      <w:r w:rsidRPr="00A82133">
        <w:rPr>
          <w:sz w:val="23"/>
          <w:szCs w:val="23"/>
          <w:lang w:val="es-MX" w:eastAsia="es-SV"/>
        </w:rPr>
        <w:t>)</w:t>
      </w:r>
      <w:r w:rsidRPr="00A82133">
        <w:rPr>
          <w:sz w:val="23"/>
          <w:szCs w:val="23"/>
          <w:lang w:val="es-MX" w:eastAsia="es-SV"/>
        </w:rPr>
        <w:tab/>
        <w:t xml:space="preserve">que ni ellos ni sus agentes, personal, subcontratistas, </w:t>
      </w:r>
      <w:proofErr w:type="spellStart"/>
      <w:r w:rsidRPr="00A82133">
        <w:rPr>
          <w:sz w:val="23"/>
          <w:szCs w:val="23"/>
          <w:lang w:val="es-MX" w:eastAsia="es-SV"/>
        </w:rPr>
        <w:t>subconsultores</w:t>
      </w:r>
      <w:proofErr w:type="spellEnd"/>
      <w:r w:rsidRPr="00A82133">
        <w:rPr>
          <w:sz w:val="23"/>
          <w:szCs w:val="23"/>
          <w:lang w:val="es-MX" w:eastAsia="es-SV"/>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11D4F696" w14:textId="4D56196D" w:rsidR="00A739F2" w:rsidRPr="00A82133" w:rsidRDefault="00DE66AC" w:rsidP="00DE66AC">
      <w:pPr>
        <w:spacing w:line="360" w:lineRule="auto"/>
        <w:jc w:val="both"/>
        <w:rPr>
          <w:sz w:val="23"/>
          <w:szCs w:val="23"/>
          <w:lang w:val="es-MX" w:eastAsia="es-SV"/>
        </w:rPr>
      </w:pPr>
      <w:r w:rsidRPr="00A82133">
        <w:rPr>
          <w:sz w:val="23"/>
          <w:szCs w:val="23"/>
          <w:lang w:val="es-MX" w:eastAsia="es-SV"/>
        </w:rPr>
        <w:t>(v)</w:t>
      </w:r>
      <w:r w:rsidRPr="00A82133">
        <w:rPr>
          <w:sz w:val="23"/>
          <w:szCs w:val="23"/>
          <w:lang w:val="es-MX" w:eastAsia="es-SV"/>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1B5308E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(vi)</w:t>
      </w:r>
      <w:r w:rsidRPr="00A82133">
        <w:rPr>
          <w:sz w:val="23"/>
          <w:szCs w:val="23"/>
          <w:lang w:val="es-MX" w:eastAsia="es-SV"/>
        </w:rPr>
        <w:tab/>
        <w:t>que han declarado todas las comisiones, honorarios de representantes, pagos por servicios de facilitación o acuerdos para compartir ingresos relacionados con actividades financiadas por el Banco;</w:t>
      </w:r>
    </w:p>
    <w:p w14:paraId="5B897D94"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lastRenderedPageBreak/>
        <w:t>(</w:t>
      </w:r>
      <w:proofErr w:type="spellStart"/>
      <w:r w:rsidRPr="00A82133">
        <w:rPr>
          <w:sz w:val="23"/>
          <w:szCs w:val="23"/>
          <w:lang w:val="es-MX" w:eastAsia="es-SV"/>
        </w:rPr>
        <w:t>vii</w:t>
      </w:r>
      <w:proofErr w:type="spellEnd"/>
      <w:r w:rsidRPr="00A82133">
        <w:rPr>
          <w:sz w:val="23"/>
          <w:szCs w:val="23"/>
          <w:lang w:val="es-MX" w:eastAsia="es-SV"/>
        </w:rPr>
        <w:t>)</w:t>
      </w:r>
      <w:r w:rsidRPr="00A82133">
        <w:rPr>
          <w:sz w:val="23"/>
          <w:szCs w:val="23"/>
          <w:lang w:val="es-MX" w:eastAsia="es-SV"/>
        </w:rPr>
        <w:tab/>
        <w:t xml:space="preserve">que reconocen que el incumplimiento de cualquiera de estas garantías constituye el fundamento para la imposición por el Banco de una o más de las medidas que se describen en la Cláusula 1.1 </w:t>
      </w:r>
    </w:p>
    <w:p w14:paraId="44A373AD" w14:textId="77777777" w:rsidR="00DE66AC" w:rsidRPr="00A82133" w:rsidRDefault="00DE66AC" w:rsidP="00DE66AC">
      <w:pPr>
        <w:spacing w:line="360" w:lineRule="auto"/>
        <w:jc w:val="both"/>
        <w:rPr>
          <w:lang w:val="es-MX" w:eastAsia="es-SV"/>
        </w:rPr>
      </w:pPr>
      <w:r w:rsidRPr="00A82133">
        <w:rPr>
          <w:b/>
          <w:bCs/>
          <w:lang w:val="es-MX" w:eastAsia="es-SV"/>
        </w:rPr>
        <w:t>CLÁUSULA DÉCIMA PRIMERA: RETRASO EN LA ENTREGA</w:t>
      </w:r>
      <w:r w:rsidRPr="00A82133">
        <w:rPr>
          <w:lang w:val="es-MX" w:eastAsia="es-SV"/>
        </w:rPr>
        <w:t xml:space="preserve">. El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persona encargada de la Administración del Contrato, el mismo día de conocido el hecho que causa el retraso, dicha solicitud debe efectuarse antes de expirar el plazo de entrega contratada, presentando por escrito las pruebas que motiven su petición.  </w:t>
      </w:r>
    </w:p>
    <w:p w14:paraId="4D9996AD" w14:textId="77777777" w:rsidR="00DE66AC" w:rsidRPr="00A82133" w:rsidRDefault="00DE66AC" w:rsidP="00DE66AC">
      <w:pPr>
        <w:spacing w:line="360" w:lineRule="auto"/>
        <w:jc w:val="both"/>
        <w:rPr>
          <w:lang w:val="es-MX" w:eastAsia="es-SV"/>
        </w:rPr>
      </w:pPr>
      <w:r w:rsidRPr="00A82133">
        <w:rPr>
          <w:b/>
          <w:bCs/>
          <w:lang w:val="es-MX" w:eastAsia="es-SV"/>
        </w:rPr>
        <w:t xml:space="preserve">CLÁUSULA DÉCIMA SEGUNDA: </w:t>
      </w:r>
      <w:r w:rsidRPr="00A82133">
        <w:rPr>
          <w:b/>
          <w:lang w:eastAsia="es-SV"/>
        </w:rPr>
        <w:t>INCUMPLIMIENTOS</w:t>
      </w:r>
      <w:r w:rsidRPr="00A82133">
        <w:rPr>
          <w:b/>
          <w:bCs/>
          <w:lang w:val="es-MX" w:eastAsia="es-SV"/>
        </w:rPr>
        <w:t>.</w:t>
      </w:r>
      <w:r w:rsidRPr="00A82133">
        <w:rPr>
          <w:b/>
          <w:bCs/>
          <w:color w:val="FF0000"/>
          <w:lang w:val="es-MX" w:eastAsia="es-SV"/>
        </w:rPr>
        <w:t xml:space="preserve"> </w:t>
      </w:r>
      <w:r w:rsidRPr="00A82133">
        <w:rPr>
          <w:lang w:val="es-MX" w:eastAsia="es-SV"/>
        </w:rPr>
        <w:t>En caso de mora en el cumplimiento por parte del proveedor de las obligaciones emanadas del Contrato según sea el caso, la multa que se aplicará por cada semana de retraso en la entrega de los bienes será del 0.5%, hasta un máximo del 10% del valor total del contrato.</w:t>
      </w:r>
    </w:p>
    <w:p w14:paraId="63AE88DC" w14:textId="7B1A5943" w:rsidR="00FF295C" w:rsidRDefault="00DE66AC" w:rsidP="00DE66AC">
      <w:pPr>
        <w:spacing w:line="360" w:lineRule="auto"/>
        <w:jc w:val="both"/>
        <w:rPr>
          <w:lang w:val="es-MX" w:eastAsia="es-SV"/>
        </w:rPr>
      </w:pPr>
      <w:r w:rsidRPr="00A82133">
        <w:rPr>
          <w:b/>
          <w:bCs/>
          <w:lang w:val="es-MX" w:eastAsia="es-SV"/>
        </w:rPr>
        <w:t>CLÁUSULA DÉCIMA TERCERA: SOLUCIÓN DE CONTROVERSIAS.</w:t>
      </w:r>
      <w:r w:rsidRPr="00A82133">
        <w:rPr>
          <w:b/>
          <w:bCs/>
          <w:color w:val="FF0000"/>
          <w:lang w:val="es-MX" w:eastAsia="es-SV"/>
        </w:rPr>
        <w:t xml:space="preserve"> </w:t>
      </w:r>
      <w:r w:rsidRPr="00A82133">
        <w:rPr>
          <w:color w:val="000000"/>
          <w:lang w:eastAsia="es-SV"/>
        </w:rPr>
        <w:t xml:space="preserve"> </w:t>
      </w:r>
      <w:r w:rsidRPr="00A82133">
        <w:rPr>
          <w:lang w:val="es-MX" w:eastAsia="es-SV"/>
        </w:rPr>
        <w:t>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Contratante y el Proveedor que en la ejecución del contrato surgiere, se resolverá intentando primero el Resolución amigable de conflictos y si por esta forma no se llegare a una solución, se recurrirá a los Tribunales comunes.</w:t>
      </w:r>
    </w:p>
    <w:p w14:paraId="6C17BFAA" w14:textId="66B257ED" w:rsidR="00DE66AC" w:rsidRDefault="00DE66AC" w:rsidP="00DE66AC">
      <w:pPr>
        <w:spacing w:line="360" w:lineRule="auto"/>
        <w:jc w:val="both"/>
        <w:rPr>
          <w:lang w:val="es-MX" w:eastAsia="es-SV"/>
        </w:rPr>
      </w:pPr>
      <w:r w:rsidRPr="00A82133">
        <w:rPr>
          <w:lang w:val="es-MX" w:eastAsia="es-SV"/>
        </w:rPr>
        <w:t xml:space="preserve">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w:t>
      </w:r>
      <w:r w:rsidRPr="00A82133">
        <w:rPr>
          <w:lang w:val="es-MX" w:eastAsia="es-SV"/>
        </w:rPr>
        <w:lastRenderedPageBreak/>
        <w:t>amigable dentro de siete (7) días hábiles siguientes a la respuesta de esa Parte, dicha disputa podrá ser presentada a la jurisdicción establecida en el presente contrato.</w:t>
      </w:r>
    </w:p>
    <w:p w14:paraId="6620BDB7" w14:textId="77777777" w:rsidR="00DE66AC" w:rsidRPr="00A82133" w:rsidRDefault="00DE66AC" w:rsidP="00DE66AC">
      <w:pPr>
        <w:spacing w:line="360" w:lineRule="auto"/>
        <w:jc w:val="both"/>
        <w:rPr>
          <w:lang w:val="es-MX" w:eastAsia="es-SV"/>
        </w:rPr>
      </w:pPr>
      <w:r w:rsidRPr="00A82133">
        <w:rPr>
          <w:b/>
          <w:bCs/>
          <w:lang w:val="es-MX" w:eastAsia="es-SV"/>
        </w:rPr>
        <w:t>CLÁUSULA DÉCIMA CUARTA: TERMINACIÓN DEL CONTRATO.</w:t>
      </w:r>
      <w:r w:rsidRPr="00A82133">
        <w:rPr>
          <w:lang w:val="es-MX" w:eastAsia="es-SV"/>
        </w:rPr>
        <w:t xml:space="preserve"> EL CONTRATANTE tendrá derecho a rescindir el Contrato, mediante comunicación enviada al PROVEEDOR por cualquiera de las siguientes razones:</w:t>
      </w:r>
    </w:p>
    <w:p w14:paraId="111AF11F" w14:textId="77777777" w:rsidR="00DE66AC" w:rsidRPr="00A82133" w:rsidRDefault="00DE66AC" w:rsidP="00DE66AC">
      <w:pPr>
        <w:numPr>
          <w:ilvl w:val="0"/>
          <w:numId w:val="9"/>
        </w:numPr>
        <w:spacing w:after="0" w:line="360" w:lineRule="auto"/>
        <w:jc w:val="both"/>
        <w:rPr>
          <w:lang w:val="es-MX" w:eastAsia="es-SV"/>
        </w:rPr>
      </w:pPr>
      <w:r w:rsidRPr="00A82133">
        <w:rPr>
          <w:lang w:val="es-MX" w:eastAsia="es-SV"/>
        </w:rPr>
        <w:t>Actúe con dolo, culpa grave o reiterada negligencia en el cumplimiento de sus obligaciones.</w:t>
      </w:r>
    </w:p>
    <w:p w14:paraId="51A0EB5B" w14:textId="77777777" w:rsidR="00DE66AC" w:rsidRPr="00A82133" w:rsidRDefault="00DE66AC" w:rsidP="00DE66AC">
      <w:pPr>
        <w:numPr>
          <w:ilvl w:val="0"/>
          <w:numId w:val="9"/>
        </w:numPr>
        <w:spacing w:after="0" w:line="360" w:lineRule="auto"/>
        <w:jc w:val="both"/>
        <w:rPr>
          <w:lang w:val="es-MX" w:eastAsia="es-SV"/>
        </w:rPr>
      </w:pPr>
      <w:r w:rsidRPr="00A82133">
        <w:rPr>
          <w:lang w:val="es-MX" w:eastAsia="es-SV"/>
        </w:rPr>
        <w:t xml:space="preserve">A juicio del CONTRATANTE haya empleado prácticas corruptas, fraudulentas, </w:t>
      </w:r>
      <w:proofErr w:type="spellStart"/>
      <w:r w:rsidRPr="00A82133">
        <w:rPr>
          <w:lang w:val="es-MX" w:eastAsia="es-SV"/>
        </w:rPr>
        <w:t>colusivas</w:t>
      </w:r>
      <w:proofErr w:type="spellEnd"/>
      <w:r w:rsidRPr="00A82133">
        <w:rPr>
          <w:lang w:val="es-MX" w:eastAsia="es-SV"/>
        </w:rPr>
        <w:t>, coercitivas u obstructivas de acuerdo a lo establecido en el presente contrato.</w:t>
      </w:r>
    </w:p>
    <w:p w14:paraId="2571EBA2" w14:textId="77777777" w:rsidR="00DE66AC" w:rsidRPr="00A82133" w:rsidRDefault="00DE66AC" w:rsidP="00DE66AC">
      <w:pPr>
        <w:spacing w:line="360" w:lineRule="auto"/>
        <w:ind w:left="426"/>
        <w:contextualSpacing/>
        <w:jc w:val="both"/>
        <w:rPr>
          <w:lang w:val="es-MX" w:eastAsia="es-SV"/>
        </w:rPr>
      </w:pPr>
      <w:r w:rsidRPr="00A82133">
        <w:rPr>
          <w:lang w:val="es-MX" w:eastAsia="es-SV"/>
        </w:rPr>
        <w:t>c.  La mora del PROVEEDOR en el cumplimiento del plazo de entrega del suministro o de cualquier otra obligación contractual, no obstante encontrarse dentro del plazo de imposición de multa.</w:t>
      </w:r>
    </w:p>
    <w:p w14:paraId="1E697D12" w14:textId="77777777" w:rsidR="00DE66AC" w:rsidRPr="00A82133" w:rsidRDefault="00DE66AC" w:rsidP="00DE66AC">
      <w:pPr>
        <w:numPr>
          <w:ilvl w:val="0"/>
          <w:numId w:val="10"/>
        </w:numPr>
        <w:spacing w:after="0" w:line="360" w:lineRule="auto"/>
        <w:jc w:val="both"/>
        <w:rPr>
          <w:lang w:val="es-MX" w:eastAsia="es-SV"/>
        </w:rPr>
      </w:pPr>
      <w:r w:rsidRPr="00A82133">
        <w:rPr>
          <w:lang w:val="es-MX" w:eastAsia="es-SV"/>
        </w:rPr>
        <w:t>EL PROVEEDOR entregue el suministro en inferior calidad a lo ofertado o no cumpla con las condiciones pactadas en este Contrato.</w:t>
      </w:r>
    </w:p>
    <w:p w14:paraId="4FEFDF80" w14:textId="77777777" w:rsidR="00DE66AC" w:rsidRPr="00A82133" w:rsidRDefault="00DE66AC" w:rsidP="00DE66AC">
      <w:pPr>
        <w:numPr>
          <w:ilvl w:val="0"/>
          <w:numId w:val="10"/>
        </w:numPr>
        <w:spacing w:after="0" w:line="360" w:lineRule="auto"/>
        <w:jc w:val="both"/>
        <w:rPr>
          <w:lang w:val="es-MX" w:eastAsia="es-SV"/>
        </w:rPr>
      </w:pPr>
      <w:r w:rsidRPr="00A82133">
        <w:rPr>
          <w:lang w:val="es-MX" w:eastAsia="es-SV"/>
        </w:rPr>
        <w:t>Por mutuo acuerdo entre ambas partes.</w:t>
      </w:r>
    </w:p>
    <w:p w14:paraId="405E01AC" w14:textId="77777777" w:rsidR="00DE66AC" w:rsidRDefault="00DE66AC" w:rsidP="00DE66AC">
      <w:pPr>
        <w:spacing w:after="0" w:line="240" w:lineRule="auto"/>
        <w:jc w:val="both"/>
        <w:rPr>
          <w:b/>
          <w:bCs/>
          <w:lang w:val="es-MX" w:eastAsia="es-SV"/>
        </w:rPr>
      </w:pPr>
    </w:p>
    <w:p w14:paraId="3CDF6A68" w14:textId="77777777" w:rsidR="00F235F0" w:rsidRPr="00A82133" w:rsidRDefault="00F235F0" w:rsidP="00DE66AC">
      <w:pPr>
        <w:spacing w:after="0" w:line="240" w:lineRule="auto"/>
        <w:jc w:val="both"/>
        <w:rPr>
          <w:b/>
          <w:bCs/>
          <w:lang w:val="es-MX" w:eastAsia="es-SV"/>
        </w:rPr>
      </w:pPr>
    </w:p>
    <w:p w14:paraId="23D61C7D" w14:textId="32049BC7" w:rsidR="002F3E95" w:rsidRPr="00A739F2" w:rsidRDefault="00DE66AC" w:rsidP="00DE66AC">
      <w:pPr>
        <w:spacing w:line="360" w:lineRule="auto"/>
        <w:jc w:val="both"/>
        <w:rPr>
          <w:lang w:val="es-MX" w:eastAsia="es-SV"/>
        </w:rPr>
      </w:pPr>
      <w:r w:rsidRPr="00A82133">
        <w:rPr>
          <w:b/>
          <w:bCs/>
          <w:lang w:val="es-MX" w:eastAsia="es-SV"/>
        </w:rPr>
        <w:t>CLÁUSULA DÉCIMA QUINTA: MODIFICACIONES</w:t>
      </w:r>
      <w:r w:rsidRPr="00A82133">
        <w:rPr>
          <w:lang w:val="es-MX" w:eastAsia="es-SV"/>
        </w:rPr>
        <w:t>. Si en la ejecución del presente Contrato hubiere necesidad de introducir modificaciones al mismo, que no afecten el objeto del Contrato, éstas se llevarán a cabo mediante Resolución Ministerial firmada por La Titular del MINSAL; y las que afecten el objeto del Contrato como incremento y disminución del mismo, únicamente podrán llevarse a cabo a través de Resolución Modificativa de Contrato, firmada por ambas partes.</w:t>
      </w:r>
    </w:p>
    <w:p w14:paraId="75D8FF7A" w14:textId="6201F66A" w:rsidR="00A739F2" w:rsidRPr="00F235F0" w:rsidRDefault="00DE66AC" w:rsidP="00DE66AC">
      <w:pPr>
        <w:spacing w:line="360" w:lineRule="auto"/>
        <w:jc w:val="both"/>
        <w:rPr>
          <w:lang w:val="es-MX" w:eastAsia="es-SV"/>
        </w:rPr>
      </w:pPr>
      <w:r w:rsidRPr="00A82133">
        <w:rPr>
          <w:b/>
          <w:bCs/>
          <w:lang w:val="es-MX" w:eastAsia="es-SV"/>
        </w:rPr>
        <w:t>CLÁUSULA DÉCIMA SEXTA: VIGENCIA</w:t>
      </w:r>
      <w:r w:rsidRPr="00A82133">
        <w:rPr>
          <w:lang w:val="es-MX" w:eastAsia="es-SV"/>
        </w:rPr>
        <w:t>. La vigencia de este Contrato será a partir de la distribución del mismo y finalizará treinta (30) días adicionales, después de que la Unidad Solicitante o</w:t>
      </w:r>
      <w:r>
        <w:rPr>
          <w:lang w:val="es-MX" w:eastAsia="es-SV"/>
        </w:rPr>
        <w:t xml:space="preserve"> </w:t>
      </w:r>
      <w:r w:rsidRPr="00A82133">
        <w:rPr>
          <w:lang w:val="es-MX" w:eastAsia="es-SV"/>
        </w:rPr>
        <w:t>la persona que esta delegue, hayan firmado el Acta de Recepción de haber recibido los bienes a entera satisfacción del MINSAL.</w:t>
      </w:r>
    </w:p>
    <w:p w14:paraId="54200224" w14:textId="77777777" w:rsidR="00DE66AC" w:rsidRPr="00A82133" w:rsidRDefault="00DE66AC" w:rsidP="00DE66AC">
      <w:pPr>
        <w:spacing w:line="360" w:lineRule="auto"/>
        <w:jc w:val="both"/>
        <w:rPr>
          <w:lang w:val="es-MX" w:eastAsia="es-SV"/>
        </w:rPr>
      </w:pPr>
      <w:r w:rsidRPr="00A82133">
        <w:rPr>
          <w:b/>
          <w:bCs/>
          <w:lang w:val="es-MX" w:eastAsia="es-SV"/>
        </w:rPr>
        <w:t xml:space="preserve">CLAUSULA DÉCIMA SÉPTIMA: JURISDICCIÓN. </w:t>
      </w:r>
      <w:r w:rsidRPr="00A82133">
        <w:rPr>
          <w:lang w:val="es-MX" w:eastAsia="es-SV"/>
        </w:rPr>
        <w:t>Para los efectos jurisdiccionales de este Contrato, las partes señalamos como domicilio especial el de esta ciudad, a la jurisdicción de cuyos tribunales competentes nos sometemos.</w:t>
      </w:r>
    </w:p>
    <w:p w14:paraId="6AFF0B1F" w14:textId="77777777" w:rsidR="00DE66AC" w:rsidRPr="00A82133" w:rsidRDefault="00DE66AC" w:rsidP="00DE66AC">
      <w:pPr>
        <w:spacing w:line="360" w:lineRule="auto"/>
        <w:jc w:val="both"/>
        <w:rPr>
          <w:lang w:val="es-MX" w:eastAsia="es-SV"/>
        </w:rPr>
      </w:pPr>
      <w:r w:rsidRPr="00A82133">
        <w:rPr>
          <w:b/>
          <w:bCs/>
          <w:lang w:val="es-MX" w:eastAsia="es-SV"/>
        </w:rPr>
        <w:lastRenderedPageBreak/>
        <w:t>CLAUSULA DÉCIMA OCTAVA: NOTIFICACIONES</w:t>
      </w:r>
      <w:r w:rsidRPr="00A82133">
        <w:rPr>
          <w:lang w:val="es-MX" w:eastAsia="es-SV"/>
        </w:rPr>
        <w:t>. Las notificaciones entre las partes deberán hacerse por escrito y dirigidas a la dirección indicada. El término “por escrito” significa comunicación en forma escrita con prueba de recibo.</w:t>
      </w:r>
    </w:p>
    <w:p w14:paraId="2A07FC35" w14:textId="61004015" w:rsidR="00DE66AC" w:rsidRPr="00FF295C" w:rsidRDefault="00DE66AC" w:rsidP="00FF295C">
      <w:pPr>
        <w:spacing w:line="360" w:lineRule="auto"/>
        <w:rPr>
          <w:lang w:val="es-MX" w:eastAsia="es-SV"/>
        </w:rPr>
      </w:pPr>
      <w:r w:rsidRPr="00A82133">
        <w:rPr>
          <w:lang w:val="es-MX" w:eastAsia="es-SV"/>
        </w:rPr>
        <w:t>Para notificaciones, las direcciones serán:</w:t>
      </w:r>
    </w:p>
    <w:p w14:paraId="4706EFD7" w14:textId="2ADDF1C5" w:rsidR="004C3B14" w:rsidRDefault="004C3B14" w:rsidP="004C3B14">
      <w:pPr>
        <w:spacing w:after="0" w:line="240" w:lineRule="auto"/>
        <w:rPr>
          <w:u w:val="single"/>
          <w:lang w:val="es-MX" w:eastAsia="es-SV"/>
        </w:rPr>
      </w:pPr>
      <w:r w:rsidRPr="00A82133">
        <w:rPr>
          <w:u w:val="single"/>
          <w:lang w:val="es-MX" w:eastAsia="es-SV"/>
        </w:rPr>
        <w:t>del Comprador</w:t>
      </w:r>
    </w:p>
    <w:p w14:paraId="1F90CAC4" w14:textId="77777777" w:rsidR="00164FE7" w:rsidRPr="00A82133" w:rsidRDefault="00164FE7" w:rsidP="004C3B14">
      <w:pPr>
        <w:spacing w:after="0" w:line="240" w:lineRule="auto"/>
        <w:rPr>
          <w:u w:val="single"/>
          <w:lang w:val="es-MX" w:eastAsia="es-SV"/>
        </w:rPr>
      </w:pPr>
    </w:p>
    <w:p w14:paraId="701CE4CE" w14:textId="3022CA78" w:rsidR="0019129C" w:rsidRPr="0019129C" w:rsidRDefault="0019129C" w:rsidP="0019129C">
      <w:pPr>
        <w:spacing w:line="276" w:lineRule="auto"/>
        <w:jc w:val="both"/>
        <w:rPr>
          <w:b/>
          <w:bCs/>
          <w:lang w:val="es-MX"/>
        </w:rPr>
      </w:pPr>
      <w:r w:rsidRPr="00672E3F">
        <w:rPr>
          <w:lang w:val="es-MX"/>
        </w:rPr>
        <w:t xml:space="preserve">Atención: </w:t>
      </w:r>
      <w:r w:rsidRPr="00934508">
        <w:rPr>
          <w:b/>
          <w:bCs/>
          <w:lang w:val="es-MX"/>
        </w:rPr>
        <w:t>MINISTERIO DE SALUD</w:t>
      </w:r>
    </w:p>
    <w:p w14:paraId="1F82B178" w14:textId="77777777" w:rsidR="0019129C" w:rsidRPr="00672E3F" w:rsidRDefault="0019129C" w:rsidP="00F235F0">
      <w:pPr>
        <w:spacing w:line="360" w:lineRule="auto"/>
        <w:jc w:val="both"/>
        <w:rPr>
          <w:lang w:val="es-MX"/>
        </w:rPr>
      </w:pPr>
      <w:r w:rsidRPr="00672E3F">
        <w:rPr>
          <w:lang w:val="es-MX"/>
        </w:rPr>
        <w:t xml:space="preserve">Dirección: </w:t>
      </w:r>
      <w:r w:rsidRPr="00672E3F">
        <w:rPr>
          <w:lang w:val="es-ES"/>
        </w:rPr>
        <w:t>Edificio del Instituto Nacional de Salud, Urbanización Lomas de Altamira, Boulevard Altamira y Avenida Republica de Ecuador N° 33, San Salvador.</w:t>
      </w:r>
    </w:p>
    <w:p w14:paraId="73DEFB2B" w14:textId="77777777" w:rsidR="0019129C" w:rsidRPr="00672E3F" w:rsidRDefault="0019129C" w:rsidP="00F235F0">
      <w:pPr>
        <w:spacing w:line="360" w:lineRule="auto"/>
        <w:jc w:val="both"/>
        <w:rPr>
          <w:lang w:val="es-MX"/>
        </w:rPr>
      </w:pPr>
      <w:r w:rsidRPr="00672E3F">
        <w:rPr>
          <w:lang w:val="es-MX"/>
        </w:rPr>
        <w:t>Teléfono: 2591-8293</w:t>
      </w:r>
    </w:p>
    <w:p w14:paraId="4C5691C3" w14:textId="77777777" w:rsidR="0019129C" w:rsidRPr="00672E3F" w:rsidRDefault="0019129C" w:rsidP="00F235F0">
      <w:pPr>
        <w:spacing w:line="360" w:lineRule="auto"/>
        <w:jc w:val="both"/>
        <w:rPr>
          <w:lang w:val="es-MX"/>
        </w:rPr>
      </w:pPr>
      <w:r w:rsidRPr="00672E3F">
        <w:rPr>
          <w:lang w:val="es-MX"/>
        </w:rPr>
        <w:t>Dirección de correo electrónico: acp_ugp@salud.gob.sv</w:t>
      </w:r>
    </w:p>
    <w:p w14:paraId="79E9DB44" w14:textId="77777777" w:rsidR="004C3B14" w:rsidRPr="00A82133" w:rsidRDefault="004C3B14" w:rsidP="00F235F0">
      <w:pPr>
        <w:spacing w:after="0" w:line="360" w:lineRule="auto"/>
        <w:jc w:val="both"/>
        <w:rPr>
          <w:lang w:val="es-MX" w:eastAsia="es-SV"/>
        </w:rPr>
      </w:pPr>
      <w:r w:rsidRPr="00A82133">
        <w:rPr>
          <w:lang w:val="es-MX" w:eastAsia="es-SV"/>
        </w:rPr>
        <w:t>El correo electrónico es solamente el medio para enviar las consultas, pero las mismas deben presentarse en nota adjunta en el correo, debidamente firmadas por la persona responsable.</w:t>
      </w:r>
    </w:p>
    <w:p w14:paraId="233E5F62" w14:textId="77777777" w:rsidR="00164FE7" w:rsidRDefault="00164FE7" w:rsidP="004C3B14">
      <w:pPr>
        <w:spacing w:after="0" w:line="240" w:lineRule="auto"/>
        <w:rPr>
          <w:u w:val="single"/>
          <w:lang w:val="es-MX" w:eastAsia="es-SV"/>
        </w:rPr>
      </w:pPr>
    </w:p>
    <w:p w14:paraId="1B8DC5D4" w14:textId="10BF7D86" w:rsidR="004C3B14" w:rsidRDefault="004C3B14" w:rsidP="004C3B14">
      <w:pPr>
        <w:spacing w:after="0" w:line="240" w:lineRule="auto"/>
        <w:rPr>
          <w:rFonts w:asciiTheme="minorHAnsi" w:hAnsiTheme="minorHAnsi"/>
          <w:u w:val="single"/>
          <w:lang w:val="es-MX" w:eastAsia="es-SV"/>
        </w:rPr>
      </w:pPr>
      <w:r w:rsidRPr="00F31CBC">
        <w:rPr>
          <w:rFonts w:asciiTheme="minorHAnsi" w:hAnsiTheme="minorHAnsi"/>
          <w:u w:val="single"/>
          <w:lang w:val="es-MX" w:eastAsia="es-SV"/>
        </w:rPr>
        <w:t>del Proveedor</w:t>
      </w:r>
    </w:p>
    <w:p w14:paraId="1D3F39A0" w14:textId="77777777" w:rsidR="00164FE7" w:rsidRPr="00F31CBC" w:rsidRDefault="00164FE7" w:rsidP="004C3B14">
      <w:pPr>
        <w:spacing w:after="0" w:line="240" w:lineRule="auto"/>
        <w:rPr>
          <w:rFonts w:asciiTheme="minorHAnsi" w:hAnsiTheme="minorHAnsi"/>
          <w:u w:val="single"/>
          <w:lang w:val="es-MX" w:eastAsia="es-SV"/>
        </w:rPr>
      </w:pPr>
    </w:p>
    <w:p w14:paraId="28EB0EE3" w14:textId="0F9ED4AD" w:rsidR="004C3B14" w:rsidRPr="00164FD2" w:rsidRDefault="004C3B14" w:rsidP="00F235F0">
      <w:pPr>
        <w:spacing w:after="0" w:line="360" w:lineRule="auto"/>
        <w:rPr>
          <w:rFonts w:asciiTheme="minorHAnsi" w:hAnsiTheme="minorHAnsi"/>
          <w:lang w:val="es-MX" w:eastAsia="es-SV"/>
        </w:rPr>
      </w:pPr>
      <w:r w:rsidRPr="00164FD2">
        <w:rPr>
          <w:rFonts w:asciiTheme="minorHAnsi" w:hAnsiTheme="minorHAnsi"/>
          <w:lang w:val="es-MX" w:eastAsia="es-SV"/>
        </w:rPr>
        <w:t xml:space="preserve">Atención: </w:t>
      </w:r>
      <w:r w:rsidR="00164FE7" w:rsidRPr="00164FE7">
        <w:rPr>
          <w:rFonts w:asciiTheme="minorHAnsi" w:hAnsiTheme="minorHAnsi"/>
          <w:b/>
          <w:kern w:val="1"/>
          <w:lang w:val="es-HN" w:eastAsia="zh-CN" w:bidi="hi-IN"/>
        </w:rPr>
        <w:t>FARLAB, S.A. DE C.V.</w:t>
      </w:r>
    </w:p>
    <w:p w14:paraId="7414E330" w14:textId="4C76B5F2" w:rsidR="00F31CBC" w:rsidRPr="00164FD2" w:rsidRDefault="004C3B14" w:rsidP="00164FE7">
      <w:pPr>
        <w:spacing w:after="120" w:line="360" w:lineRule="auto"/>
        <w:rPr>
          <w:rFonts w:asciiTheme="minorHAnsi" w:hAnsiTheme="minorHAnsi"/>
          <w:lang w:val="es-ES_tradnl"/>
        </w:rPr>
      </w:pPr>
      <w:r w:rsidRPr="00164FD2">
        <w:rPr>
          <w:rFonts w:asciiTheme="minorHAnsi" w:hAnsiTheme="minorHAnsi"/>
          <w:lang w:val="es-MX" w:eastAsia="es-SV"/>
        </w:rPr>
        <w:t>Dirección:</w:t>
      </w:r>
      <w:r w:rsidR="00F31CBC" w:rsidRPr="00164FD2">
        <w:rPr>
          <w:rFonts w:asciiTheme="minorHAnsi" w:hAnsiTheme="minorHAnsi"/>
          <w:lang w:val="es-ES_tradnl"/>
        </w:rPr>
        <w:t xml:space="preserve"> </w:t>
      </w:r>
      <w:r w:rsidR="00164FE7" w:rsidRPr="00164FE7">
        <w:rPr>
          <w:rFonts w:asciiTheme="minorHAnsi" w:hAnsiTheme="minorHAnsi"/>
          <w:lang w:val="es-ES_tradnl"/>
        </w:rPr>
        <w:t>37 Calle Oriente, Pje. YSI, N° 365 y</w:t>
      </w:r>
      <w:r w:rsidR="00164FE7">
        <w:rPr>
          <w:rFonts w:asciiTheme="minorHAnsi" w:hAnsiTheme="minorHAnsi"/>
          <w:lang w:val="es-ES_tradnl"/>
        </w:rPr>
        <w:t xml:space="preserve"> </w:t>
      </w:r>
      <w:r w:rsidR="00164FE7" w:rsidRPr="00164FE7">
        <w:rPr>
          <w:rFonts w:asciiTheme="minorHAnsi" w:hAnsiTheme="minorHAnsi"/>
          <w:lang w:val="es-ES_tradnl"/>
        </w:rPr>
        <w:t>Colonia La Rábida, San Salvador</w:t>
      </w:r>
      <w:r w:rsidR="00164FD2" w:rsidRPr="00164FD2">
        <w:rPr>
          <w:rFonts w:asciiTheme="minorHAnsi" w:hAnsiTheme="minorHAnsi"/>
          <w:lang w:val="es-ES_tradnl"/>
        </w:rPr>
        <w:t>.</w:t>
      </w:r>
    </w:p>
    <w:p w14:paraId="0B30CEEF" w14:textId="72B13C15" w:rsidR="004C3B14" w:rsidRPr="00164FD2" w:rsidRDefault="004C3B14" w:rsidP="00F235F0">
      <w:pPr>
        <w:spacing w:after="0" w:line="360" w:lineRule="auto"/>
        <w:rPr>
          <w:rFonts w:asciiTheme="minorHAnsi" w:hAnsiTheme="minorHAnsi"/>
          <w:lang w:val="es-MX" w:eastAsia="es-SV"/>
        </w:rPr>
      </w:pPr>
      <w:r w:rsidRPr="00164FD2">
        <w:rPr>
          <w:rFonts w:asciiTheme="minorHAnsi" w:hAnsiTheme="minorHAnsi"/>
          <w:lang w:val="es-MX" w:eastAsia="es-SV"/>
        </w:rPr>
        <w:t xml:space="preserve">País: </w:t>
      </w:r>
      <w:r w:rsidR="00F31CBC" w:rsidRPr="00164FD2">
        <w:rPr>
          <w:rFonts w:asciiTheme="minorHAnsi" w:hAnsiTheme="minorHAnsi"/>
          <w:lang w:val="es-MX" w:eastAsia="es-SV"/>
        </w:rPr>
        <w:t>El Salvador</w:t>
      </w:r>
    </w:p>
    <w:p w14:paraId="6A7F69A8" w14:textId="35B3749F" w:rsidR="004C3B14" w:rsidRPr="00164FD2" w:rsidRDefault="004C3B14" w:rsidP="00F235F0">
      <w:pPr>
        <w:spacing w:after="0" w:line="360" w:lineRule="auto"/>
        <w:rPr>
          <w:rFonts w:asciiTheme="minorHAnsi" w:hAnsiTheme="minorHAnsi"/>
          <w:lang w:val="es-MX" w:eastAsia="es-SV"/>
        </w:rPr>
      </w:pPr>
      <w:r w:rsidRPr="00164FD2">
        <w:rPr>
          <w:rFonts w:asciiTheme="minorHAnsi" w:hAnsiTheme="minorHAnsi"/>
          <w:lang w:val="es-MX" w:eastAsia="es-SV"/>
        </w:rPr>
        <w:t xml:space="preserve">Teléfono:    </w:t>
      </w:r>
      <w:r w:rsidR="00164FE7" w:rsidRPr="00164FE7">
        <w:rPr>
          <w:rFonts w:asciiTheme="minorHAnsi" w:hAnsiTheme="minorHAnsi"/>
        </w:rPr>
        <w:t>2235-2851</w:t>
      </w:r>
    </w:p>
    <w:p w14:paraId="1F82E2BF" w14:textId="2CBBB743" w:rsidR="00754194" w:rsidRDefault="004C3B14" w:rsidP="00872E99">
      <w:pPr>
        <w:spacing w:after="0" w:line="360" w:lineRule="auto"/>
        <w:rPr>
          <w:rFonts w:asciiTheme="minorHAnsi" w:hAnsiTheme="minorHAnsi"/>
        </w:rPr>
      </w:pPr>
      <w:r w:rsidRPr="00164FD2">
        <w:rPr>
          <w:rFonts w:asciiTheme="minorHAnsi" w:hAnsiTheme="minorHAnsi"/>
          <w:lang w:val="es-MX" w:eastAsia="es-SV"/>
        </w:rPr>
        <w:t>Dirección electrónica:</w:t>
      </w:r>
      <w:r w:rsidR="00164FD2" w:rsidRPr="00164FD2">
        <w:rPr>
          <w:rFonts w:asciiTheme="minorHAnsi" w:hAnsiTheme="minorHAnsi"/>
        </w:rPr>
        <w:t xml:space="preserve"> </w:t>
      </w:r>
    </w:p>
    <w:p w14:paraId="239C42F7" w14:textId="77777777" w:rsidR="00872E99" w:rsidRPr="00872E99" w:rsidRDefault="00872E99" w:rsidP="00872E99">
      <w:pPr>
        <w:spacing w:after="0" w:line="360" w:lineRule="auto"/>
        <w:rPr>
          <w:rFonts w:asciiTheme="minorHAnsi" w:hAnsiTheme="minorHAnsi"/>
        </w:rPr>
      </w:pPr>
    </w:p>
    <w:p w14:paraId="42FCE1BC" w14:textId="476C7F3D" w:rsidR="00035AA8" w:rsidRPr="000772AA" w:rsidRDefault="004C3B14" w:rsidP="000772AA">
      <w:pPr>
        <w:spacing w:line="360" w:lineRule="auto"/>
        <w:jc w:val="both"/>
        <w:rPr>
          <w:lang w:val="es-MX" w:eastAsia="es-SV"/>
        </w:rPr>
      </w:pPr>
      <w:r w:rsidRPr="00A82133">
        <w:rPr>
          <w:lang w:val="es-MX" w:eastAsia="es-SV"/>
        </w:rPr>
        <w:t>En fe de lo cual firmamos el presente contrato en la ciudad de San Salvador, a los</w:t>
      </w:r>
      <w:r w:rsidR="00BD3D0F">
        <w:rPr>
          <w:lang w:val="es-MX" w:eastAsia="es-SV"/>
        </w:rPr>
        <w:t xml:space="preserve"> diecisiete </w:t>
      </w:r>
      <w:r w:rsidRPr="00A82133">
        <w:rPr>
          <w:lang w:val="es-MX" w:eastAsia="es-SV"/>
        </w:rPr>
        <w:t xml:space="preserve">días del mes de </w:t>
      </w:r>
      <w:r w:rsidR="00BD3D0F">
        <w:rPr>
          <w:lang w:val="es-MX" w:eastAsia="es-SV"/>
        </w:rPr>
        <w:t xml:space="preserve">diciembre </w:t>
      </w:r>
      <w:r w:rsidRPr="00A82133">
        <w:rPr>
          <w:lang w:val="es-MX" w:eastAsia="es-SV"/>
        </w:rPr>
        <w:t>de dos mil diecinueve.</w:t>
      </w:r>
    </w:p>
    <w:p w14:paraId="1F9B78D3" w14:textId="468E2F7D" w:rsidR="00F235F0" w:rsidRDefault="00F235F0" w:rsidP="004C4EA9">
      <w:pPr>
        <w:spacing w:line="360" w:lineRule="auto"/>
        <w:jc w:val="both"/>
        <w:rPr>
          <w:rFonts w:asciiTheme="minorHAnsi" w:hAnsiTheme="minorHAnsi" w:cstheme="minorHAnsi"/>
          <w:b/>
        </w:rPr>
      </w:pPr>
    </w:p>
    <w:p w14:paraId="0FA27B29" w14:textId="77777777" w:rsidR="00872E99" w:rsidRPr="00F235F0" w:rsidRDefault="00872E99" w:rsidP="004C4EA9">
      <w:pPr>
        <w:spacing w:line="360" w:lineRule="auto"/>
        <w:jc w:val="both"/>
        <w:rPr>
          <w:rFonts w:asciiTheme="minorHAnsi" w:hAnsiTheme="minorHAnsi" w:cstheme="minorHAnsi"/>
          <w:b/>
          <w:sz w:val="20"/>
          <w:szCs w:val="20"/>
        </w:rPr>
      </w:pPr>
    </w:p>
    <w:p w14:paraId="6C0C564C" w14:textId="6321085B" w:rsidR="004C4EA9" w:rsidRPr="00F235F0" w:rsidRDefault="004C4EA9" w:rsidP="004C4EA9">
      <w:pPr>
        <w:spacing w:after="0" w:line="240" w:lineRule="auto"/>
        <w:jc w:val="both"/>
        <w:rPr>
          <w:rFonts w:asciiTheme="minorHAnsi" w:hAnsiTheme="minorHAnsi" w:cstheme="minorHAnsi"/>
          <w:b/>
          <w:sz w:val="20"/>
          <w:szCs w:val="20"/>
        </w:rPr>
      </w:pPr>
      <w:r w:rsidRPr="00F235F0">
        <w:rPr>
          <w:rFonts w:asciiTheme="minorHAnsi" w:hAnsiTheme="minorHAnsi" w:cstheme="minorHAnsi"/>
          <w:b/>
          <w:sz w:val="20"/>
          <w:szCs w:val="20"/>
        </w:rPr>
        <w:t xml:space="preserve">DRA.  ANA DEL CARMEN ORELLANA BENDEK                              </w:t>
      </w:r>
      <w:r w:rsidR="00F235F0">
        <w:rPr>
          <w:rFonts w:asciiTheme="minorHAnsi" w:hAnsiTheme="minorHAnsi" w:cstheme="minorHAnsi"/>
          <w:b/>
          <w:sz w:val="20"/>
          <w:szCs w:val="20"/>
        </w:rPr>
        <w:t xml:space="preserve">          </w:t>
      </w:r>
      <w:r w:rsidR="00164FE7" w:rsidRPr="00164FE7">
        <w:rPr>
          <w:rFonts w:asciiTheme="minorHAnsi" w:eastAsia="Times New Roman" w:hAnsiTheme="minorHAnsi"/>
          <w:b/>
          <w:sz w:val="20"/>
          <w:szCs w:val="20"/>
          <w:lang w:eastAsia="es-ES"/>
        </w:rPr>
        <w:t>JOSÉ REYNALDO FIGUEROA</w:t>
      </w:r>
    </w:p>
    <w:p w14:paraId="30579A05" w14:textId="6F96615D" w:rsidR="004C4EA9" w:rsidRPr="00F235F0" w:rsidRDefault="004C4EA9" w:rsidP="004F1B9C">
      <w:pPr>
        <w:spacing w:after="0" w:line="240" w:lineRule="auto"/>
        <w:jc w:val="center"/>
        <w:rPr>
          <w:rFonts w:asciiTheme="minorHAnsi" w:hAnsiTheme="minorHAnsi" w:cstheme="minorHAnsi"/>
          <w:b/>
          <w:sz w:val="20"/>
          <w:szCs w:val="20"/>
        </w:rPr>
      </w:pPr>
      <w:r w:rsidRPr="00F235F0">
        <w:rPr>
          <w:rFonts w:asciiTheme="minorHAnsi" w:hAnsiTheme="minorHAnsi" w:cstheme="minorHAnsi"/>
          <w:b/>
          <w:sz w:val="20"/>
          <w:szCs w:val="20"/>
        </w:rPr>
        <w:t xml:space="preserve">MINISTRA DE SALUD                    </w:t>
      </w:r>
      <w:r w:rsidR="00F235F0" w:rsidRPr="00F235F0">
        <w:rPr>
          <w:rFonts w:asciiTheme="minorHAnsi" w:hAnsiTheme="minorHAnsi" w:cstheme="minorHAnsi"/>
          <w:b/>
          <w:sz w:val="20"/>
          <w:szCs w:val="20"/>
        </w:rPr>
        <w:t xml:space="preserve">                   </w:t>
      </w:r>
      <w:r w:rsidRPr="00F235F0">
        <w:rPr>
          <w:rFonts w:asciiTheme="minorHAnsi" w:hAnsiTheme="minorHAnsi" w:cstheme="minorHAnsi"/>
          <w:b/>
          <w:sz w:val="20"/>
          <w:szCs w:val="20"/>
        </w:rPr>
        <w:t xml:space="preserve"> </w:t>
      </w:r>
      <w:r w:rsidR="00F235F0">
        <w:rPr>
          <w:rFonts w:asciiTheme="minorHAnsi" w:hAnsiTheme="minorHAnsi" w:cstheme="minorHAnsi"/>
          <w:b/>
          <w:sz w:val="20"/>
          <w:szCs w:val="20"/>
        </w:rPr>
        <w:t xml:space="preserve">            </w:t>
      </w:r>
      <w:r w:rsidR="004F1B9C">
        <w:rPr>
          <w:rFonts w:asciiTheme="minorHAnsi" w:hAnsiTheme="minorHAnsi" w:cstheme="minorHAnsi"/>
          <w:b/>
          <w:sz w:val="20"/>
          <w:szCs w:val="20"/>
        </w:rPr>
        <w:t>ADMINISTRADOR ÚNICO PROPIETARIO</w:t>
      </w:r>
    </w:p>
    <w:p w14:paraId="4DEEEB69" w14:textId="175C1CF2" w:rsidR="004C4EA9" w:rsidRDefault="004F1B9C" w:rsidP="004F1B9C">
      <w:pPr>
        <w:spacing w:after="0" w:line="360" w:lineRule="auto"/>
        <w:jc w:val="center"/>
        <w:rPr>
          <w:rFonts w:asciiTheme="minorHAnsi" w:hAnsiTheme="minorHAnsi"/>
          <w:b/>
          <w:kern w:val="1"/>
          <w:sz w:val="20"/>
          <w:szCs w:val="20"/>
          <w:lang w:val="es-HN" w:eastAsia="zh-CN" w:bidi="hi-IN"/>
        </w:rPr>
      </w:pPr>
      <w:r>
        <w:rPr>
          <w:rFonts w:asciiTheme="minorHAnsi" w:hAnsiTheme="minorHAnsi"/>
          <w:b/>
          <w:kern w:val="1"/>
          <w:sz w:val="20"/>
          <w:szCs w:val="20"/>
          <w:lang w:val="es-HN" w:eastAsia="zh-CN" w:bidi="hi-IN"/>
        </w:rPr>
        <w:t xml:space="preserve">                                                                                            </w:t>
      </w:r>
      <w:r w:rsidRPr="004F1B9C">
        <w:rPr>
          <w:rFonts w:asciiTheme="minorHAnsi" w:hAnsiTheme="minorHAnsi"/>
          <w:b/>
          <w:kern w:val="1"/>
          <w:sz w:val="20"/>
          <w:szCs w:val="20"/>
          <w:lang w:val="es-HN" w:eastAsia="zh-CN" w:bidi="hi-IN"/>
        </w:rPr>
        <w:t>FARLAB, S.A. DE C.V.</w:t>
      </w:r>
    </w:p>
    <w:p w14:paraId="43CF1D8C" w14:textId="77777777" w:rsidR="0079208E" w:rsidRPr="00F235F0" w:rsidRDefault="0079208E" w:rsidP="004F1B9C">
      <w:pPr>
        <w:spacing w:after="0" w:line="360" w:lineRule="auto"/>
        <w:jc w:val="center"/>
        <w:rPr>
          <w:rFonts w:asciiTheme="minorHAnsi" w:hAnsiTheme="minorHAnsi"/>
          <w:sz w:val="20"/>
          <w:szCs w:val="20"/>
          <w:lang w:val="es-MX" w:eastAsia="es-SV"/>
        </w:rPr>
      </w:pPr>
    </w:p>
    <w:p w14:paraId="7351551C" w14:textId="29AE6F94" w:rsidR="00020B08" w:rsidRPr="001E7FF5" w:rsidRDefault="0079208E" w:rsidP="00020B08">
      <w:pPr>
        <w:pStyle w:val="Textoindependiente"/>
        <w:jc w:val="center"/>
        <w:rPr>
          <w:rFonts w:asciiTheme="minorHAnsi" w:hAnsiTheme="minorHAnsi" w:cstheme="minorHAnsi"/>
          <w:sz w:val="18"/>
          <w:szCs w:val="18"/>
          <w:highlight w:val="yellow"/>
          <w:lang w:val="es-NI"/>
        </w:rPr>
      </w:pPr>
      <w:bookmarkStart w:id="14" w:name="_GoBack"/>
      <w:r w:rsidRPr="0079208E">
        <w:rPr>
          <w:rFonts w:asciiTheme="minorHAnsi" w:hAnsiTheme="minorHAnsi" w:cstheme="minorHAnsi"/>
          <w:noProof/>
          <w:sz w:val="18"/>
          <w:szCs w:val="18"/>
          <w:highlight w:val="yellow"/>
          <w:lang w:val="es-NI"/>
        </w:rPr>
        <w:drawing>
          <wp:inline distT="0" distB="0" distL="0" distR="0" wp14:anchorId="570A9CD0" wp14:editId="78FEC61D">
            <wp:extent cx="5743575" cy="36861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3686175"/>
                    </a:xfrm>
                    <a:prstGeom prst="rect">
                      <a:avLst/>
                    </a:prstGeom>
                    <a:noFill/>
                    <a:ln>
                      <a:noFill/>
                    </a:ln>
                  </pic:spPr>
                </pic:pic>
              </a:graphicData>
            </a:graphic>
          </wp:inline>
        </w:drawing>
      </w:r>
      <w:bookmarkEnd w:id="14"/>
    </w:p>
    <w:p w14:paraId="50AA38C5" w14:textId="2680D8A0" w:rsidR="00020B08" w:rsidRPr="00020B08" w:rsidRDefault="00267505" w:rsidP="00F235F0">
      <w:pPr>
        <w:tabs>
          <w:tab w:val="left" w:pos="5383"/>
        </w:tabs>
        <w:spacing w:line="360" w:lineRule="auto"/>
        <w:rPr>
          <w:rFonts w:asciiTheme="minorHAnsi" w:hAnsiTheme="minorHAnsi" w:cstheme="minorHAnsi"/>
          <w:sz w:val="18"/>
          <w:szCs w:val="18"/>
        </w:rPr>
      </w:pPr>
      <w:r w:rsidRPr="001262A3">
        <w:rPr>
          <w:rFonts w:cs="Calibri"/>
          <w:b/>
          <w:noProof/>
          <w:spacing w:val="-3"/>
          <w:lang w:val="es-ES_tradnl"/>
        </w:rPr>
        <w:lastRenderedPageBreak/>
        <w:drawing>
          <wp:inline distT="0" distB="0" distL="0" distR="0" wp14:anchorId="54329546" wp14:editId="373A1995">
            <wp:extent cx="5760720" cy="7444764"/>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7444764"/>
                    </a:xfrm>
                    <a:prstGeom prst="rect">
                      <a:avLst/>
                    </a:prstGeom>
                    <a:noFill/>
                    <a:ln>
                      <a:noFill/>
                    </a:ln>
                  </pic:spPr>
                </pic:pic>
              </a:graphicData>
            </a:graphic>
          </wp:inline>
        </w:drawing>
      </w:r>
    </w:p>
    <w:sectPr w:rsidR="00020B08" w:rsidRPr="00020B08" w:rsidSect="0000396B">
      <w:headerReference w:type="default" r:id="rId14"/>
      <w:footerReference w:type="default" r:id="rId15"/>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3C0C9" w14:textId="77777777" w:rsidR="00C72A1A" w:rsidRDefault="00C72A1A" w:rsidP="002174F7">
      <w:pPr>
        <w:spacing w:after="0" w:line="240" w:lineRule="auto"/>
      </w:pPr>
      <w:r>
        <w:separator/>
      </w:r>
    </w:p>
  </w:endnote>
  <w:endnote w:type="continuationSeparator" w:id="0">
    <w:p w14:paraId="13D8A6C5" w14:textId="77777777" w:rsidR="00C72A1A" w:rsidRDefault="00C72A1A" w:rsidP="0021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Sylfaen"/>
    <w:charset w:val="00"/>
    <w:family w:val="swiss"/>
    <w:pitch w:val="variable"/>
    <w:sig w:usb0="E7002EFF" w:usb1="D200F5FF" w:usb2="0A24602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roid Sans Fallback">
    <w:charset w:val="00"/>
    <w:family w:val="auto"/>
    <w:pitch w:val="variable"/>
  </w:font>
  <w:font w:name="FreeSans">
    <w:altName w:val="MS Gothic"/>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775701"/>
      <w:docPartObj>
        <w:docPartGallery w:val="Page Numbers (Bottom of Page)"/>
        <w:docPartUnique/>
      </w:docPartObj>
    </w:sdtPr>
    <w:sdtEndPr/>
    <w:sdtContent>
      <w:p w14:paraId="5A25248C" w14:textId="77777777" w:rsidR="003936BC" w:rsidRDefault="003936BC">
        <w:pPr>
          <w:pStyle w:val="Piedepgina"/>
          <w:jc w:val="right"/>
        </w:pPr>
        <w:r>
          <w:fldChar w:fldCharType="begin"/>
        </w:r>
        <w:r>
          <w:instrText>PAGE   \* MERGEFORMAT</w:instrText>
        </w:r>
        <w:r>
          <w:fldChar w:fldCharType="separate"/>
        </w:r>
        <w:r w:rsidRPr="00EE375E">
          <w:rPr>
            <w:noProof/>
            <w:lang w:val="es-ES"/>
          </w:rPr>
          <w:t>1</w:t>
        </w:r>
        <w:r>
          <w:fldChar w:fldCharType="end"/>
        </w:r>
      </w:p>
    </w:sdtContent>
  </w:sdt>
  <w:p w14:paraId="5DF80206" w14:textId="77777777" w:rsidR="003936BC" w:rsidRDefault="003936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83963" w14:textId="77777777" w:rsidR="00C72A1A" w:rsidRDefault="00C72A1A" w:rsidP="002174F7">
      <w:pPr>
        <w:spacing w:after="0" w:line="240" w:lineRule="auto"/>
      </w:pPr>
      <w:r>
        <w:separator/>
      </w:r>
    </w:p>
  </w:footnote>
  <w:footnote w:type="continuationSeparator" w:id="0">
    <w:p w14:paraId="2EC5C652" w14:textId="77777777" w:rsidR="00C72A1A" w:rsidRDefault="00C72A1A" w:rsidP="00217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9526" w14:textId="77777777" w:rsidR="003936BC" w:rsidRDefault="003936BC" w:rsidP="002174F7">
    <w:pPr>
      <w:pStyle w:val="Encabezado"/>
      <w:jc w:val="right"/>
      <w:rPr>
        <w:sz w:val="16"/>
        <w:szCs w:val="16"/>
      </w:rPr>
    </w:pPr>
    <w:r w:rsidRPr="002174F7">
      <w:rPr>
        <w:noProof/>
        <w:sz w:val="16"/>
        <w:szCs w:val="16"/>
        <w:lang w:val="es-ES" w:eastAsia="es-ES"/>
      </w:rPr>
      <w:drawing>
        <wp:anchor distT="0" distB="0" distL="114300" distR="114300" simplePos="0" relativeHeight="251660288" behindDoc="1" locked="0" layoutInCell="1" allowOverlap="1" wp14:anchorId="641B83A1" wp14:editId="0E95A88F">
          <wp:simplePos x="0" y="0"/>
          <wp:positionH relativeFrom="column">
            <wp:posOffset>-203835</wp:posOffset>
          </wp:positionH>
          <wp:positionV relativeFrom="paragraph">
            <wp:posOffset>-163830</wp:posOffset>
          </wp:positionV>
          <wp:extent cx="2438400" cy="11525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1152525"/>
                  </a:xfrm>
                  <a:prstGeom prst="rect">
                    <a:avLst/>
                  </a:prstGeom>
                  <a:noFill/>
                </pic:spPr>
              </pic:pic>
            </a:graphicData>
          </a:graphic>
          <wp14:sizeRelH relativeFrom="page">
            <wp14:pctWidth>0</wp14:pctWidth>
          </wp14:sizeRelH>
          <wp14:sizeRelV relativeFrom="page">
            <wp14:pctHeight>0</wp14:pctHeight>
          </wp14:sizeRelV>
        </wp:anchor>
      </w:drawing>
    </w:r>
  </w:p>
  <w:p w14:paraId="09B8C406" w14:textId="77777777" w:rsidR="003936BC" w:rsidRPr="002174F7" w:rsidRDefault="003936BC" w:rsidP="00DA7B10">
    <w:pPr>
      <w:pStyle w:val="Encabezado"/>
      <w:jc w:val="right"/>
      <w:rPr>
        <w:sz w:val="16"/>
        <w:szCs w:val="16"/>
      </w:rPr>
    </w:pPr>
    <w:r w:rsidRPr="002174F7">
      <w:rPr>
        <w:sz w:val="16"/>
        <w:szCs w:val="16"/>
      </w:rPr>
      <w:t>MINISTERIO DE SALUD</w:t>
    </w:r>
  </w:p>
  <w:p w14:paraId="1044DF44" w14:textId="77777777" w:rsidR="003936BC" w:rsidRDefault="003936BC" w:rsidP="004C3B14">
    <w:pPr>
      <w:pStyle w:val="Encabezado"/>
      <w:jc w:val="right"/>
      <w:rPr>
        <w:sz w:val="16"/>
        <w:szCs w:val="16"/>
      </w:rPr>
    </w:pPr>
    <w:r w:rsidRPr="00F94532">
      <w:rPr>
        <w:sz w:val="16"/>
        <w:szCs w:val="16"/>
      </w:rPr>
      <w:t>SAN SALVADOR, EL SALVADOR, C.A.</w:t>
    </w:r>
  </w:p>
  <w:p w14:paraId="0BC06AC4" w14:textId="030F6CAB" w:rsidR="003936BC" w:rsidRDefault="003936BC" w:rsidP="00DA7B10">
    <w:pPr>
      <w:tabs>
        <w:tab w:val="left" w:pos="-720"/>
      </w:tabs>
      <w:spacing w:after="0" w:line="240" w:lineRule="auto"/>
      <w:jc w:val="center"/>
      <w:rPr>
        <w:sz w:val="16"/>
        <w:szCs w:val="16"/>
        <w:lang w:eastAsia="es-SV"/>
      </w:rPr>
    </w:pPr>
    <w:r>
      <w:rPr>
        <w:sz w:val="16"/>
        <w:szCs w:val="16"/>
        <w:lang w:eastAsia="es-SV"/>
      </w:rPr>
      <w:t xml:space="preserve">                                                                                                                                    </w:t>
    </w:r>
    <w:r w:rsidRPr="00DA7B10">
      <w:rPr>
        <w:sz w:val="16"/>
        <w:szCs w:val="16"/>
        <w:lang w:eastAsia="es-SV"/>
      </w:rPr>
      <w:t>CONVENIO INDIVIDUAL DE FINANCIAMIENTO NO REEMBOLSABLE</w:t>
    </w:r>
  </w:p>
  <w:p w14:paraId="643B350A" w14:textId="37913BE4" w:rsidR="003936BC" w:rsidRDefault="003936BC" w:rsidP="00DA7B10">
    <w:pPr>
      <w:tabs>
        <w:tab w:val="left" w:pos="-720"/>
      </w:tabs>
      <w:spacing w:after="0" w:line="240" w:lineRule="auto"/>
      <w:jc w:val="center"/>
      <w:rPr>
        <w:sz w:val="16"/>
        <w:szCs w:val="16"/>
        <w:lang w:eastAsia="es-SV"/>
      </w:rPr>
    </w:pPr>
    <w:r w:rsidRPr="00DA7B10">
      <w:rPr>
        <w:sz w:val="16"/>
        <w:szCs w:val="16"/>
        <w:lang w:eastAsia="es-SV"/>
      </w:rPr>
      <w:t xml:space="preserve"> </w:t>
    </w:r>
    <w:r>
      <w:rPr>
        <w:sz w:val="16"/>
        <w:szCs w:val="16"/>
        <w:lang w:eastAsia="es-SV"/>
      </w:rPr>
      <w:t xml:space="preserve">                                                                                                                                                     </w:t>
    </w:r>
    <w:r w:rsidRPr="00DA7B10">
      <w:rPr>
        <w:sz w:val="16"/>
        <w:szCs w:val="16"/>
        <w:lang w:eastAsia="es-SV"/>
      </w:rPr>
      <w:t xml:space="preserve">DE INVERSIÓNDEL FONDO MESOAMERICANO DE SALUD </w:t>
    </w:r>
  </w:p>
  <w:p w14:paraId="093526BC" w14:textId="7C63F064" w:rsidR="003936BC" w:rsidRPr="00F94532" w:rsidRDefault="003936BC" w:rsidP="00DA7B10">
    <w:pPr>
      <w:tabs>
        <w:tab w:val="left" w:pos="-720"/>
      </w:tabs>
      <w:spacing w:after="0" w:line="240" w:lineRule="auto"/>
      <w:jc w:val="center"/>
      <w:rPr>
        <w:sz w:val="16"/>
        <w:szCs w:val="16"/>
        <w:lang w:eastAsia="es-SV"/>
      </w:rPr>
    </w:pPr>
    <w:r>
      <w:rPr>
        <w:sz w:val="16"/>
        <w:szCs w:val="16"/>
        <w:lang w:eastAsia="es-SV"/>
      </w:rPr>
      <w:t xml:space="preserve">                                                                                                                                                                                 </w:t>
    </w:r>
    <w:r w:rsidRPr="00DA7B10">
      <w:rPr>
        <w:sz w:val="16"/>
        <w:szCs w:val="16"/>
        <w:lang w:eastAsia="es-SV"/>
      </w:rPr>
      <w:t>No. GRT/HE-16714-ES GRT/HE-16715-ES</w:t>
    </w:r>
  </w:p>
  <w:p w14:paraId="5AAA4216" w14:textId="451668C3" w:rsidR="003936BC" w:rsidRPr="00F94532" w:rsidRDefault="003936BC" w:rsidP="00DA7B10">
    <w:pPr>
      <w:spacing w:after="0" w:line="240" w:lineRule="auto"/>
      <w:jc w:val="center"/>
      <w:rPr>
        <w:rFonts w:cs="Calibri"/>
        <w:sz w:val="16"/>
        <w:szCs w:val="16"/>
        <w:lang w:val="es-CO"/>
      </w:rPr>
    </w:pPr>
    <w:r>
      <w:rPr>
        <w:sz w:val="16"/>
        <w:szCs w:val="16"/>
        <w:lang w:eastAsia="es-SV"/>
      </w:rPr>
      <w:t xml:space="preserve">                                                                                                                                                            </w:t>
    </w:r>
    <w:r w:rsidRPr="0068104C">
      <w:rPr>
        <w:rFonts w:cs="Calibri"/>
        <w:sz w:val="16"/>
        <w:szCs w:val="16"/>
        <w:lang w:val="es-CO"/>
      </w:rPr>
      <w:t>COMPARACIÓN DE PRECIOS N°ISM3-5-CP-B-MINSAL</w:t>
    </w:r>
  </w:p>
  <w:p w14:paraId="50B61F88" w14:textId="2A70FF6A" w:rsidR="003936BC" w:rsidRPr="00F94532" w:rsidRDefault="003936BC" w:rsidP="00DA7B10">
    <w:pPr>
      <w:pStyle w:val="Encabezado"/>
      <w:jc w:val="right"/>
      <w:rPr>
        <w:sz w:val="16"/>
        <w:szCs w:val="16"/>
      </w:rPr>
    </w:pPr>
    <w:r w:rsidRPr="00F94532">
      <w:rPr>
        <w:sz w:val="16"/>
        <w:szCs w:val="16"/>
      </w:rPr>
      <w:t xml:space="preserve">CONTRATO DE </w:t>
    </w:r>
    <w:r>
      <w:rPr>
        <w:sz w:val="16"/>
        <w:szCs w:val="16"/>
      </w:rPr>
      <w:t>SUMINISTRO DE BIENES No.68</w:t>
    </w:r>
    <w:r w:rsidRPr="00F94532">
      <w:rPr>
        <w:sz w:val="16"/>
        <w:szCs w:val="16"/>
      </w:rPr>
      <w:t>/2019 ACP-UGP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24FD450C"/>
    <w:multiLevelType w:val="hybridMultilevel"/>
    <w:tmpl w:val="36FA63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2BC0AFD"/>
    <w:multiLevelType w:val="hybridMultilevel"/>
    <w:tmpl w:val="0FD02618"/>
    <w:lvl w:ilvl="0" w:tplc="0C0A0001">
      <w:start w:val="1"/>
      <w:numFmt w:val="bullet"/>
      <w:lvlText w:val=""/>
      <w:lvlJc w:val="left"/>
      <w:pPr>
        <w:ind w:left="360" w:hanging="360"/>
      </w:pPr>
      <w:rPr>
        <w:rFonts w:ascii="Symbol" w:hAnsi="Symbol" w:cs="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cs="Wingdings" w:hint="default"/>
      </w:rPr>
    </w:lvl>
    <w:lvl w:ilvl="3" w:tplc="440A0001">
      <w:start w:val="1"/>
      <w:numFmt w:val="bullet"/>
      <w:lvlText w:val=""/>
      <w:lvlJc w:val="left"/>
      <w:pPr>
        <w:ind w:left="2520" w:hanging="360"/>
      </w:pPr>
      <w:rPr>
        <w:rFonts w:ascii="Symbol" w:hAnsi="Symbol" w:cs="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cs="Wingdings" w:hint="default"/>
      </w:rPr>
    </w:lvl>
    <w:lvl w:ilvl="6" w:tplc="440A0001">
      <w:start w:val="1"/>
      <w:numFmt w:val="bullet"/>
      <w:lvlText w:val=""/>
      <w:lvlJc w:val="left"/>
      <w:pPr>
        <w:ind w:left="4680" w:hanging="360"/>
      </w:pPr>
      <w:rPr>
        <w:rFonts w:ascii="Symbol" w:hAnsi="Symbol" w:cs="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cs="Wingdings" w:hint="default"/>
      </w:rPr>
    </w:lvl>
  </w:abstractNum>
  <w:abstractNum w:abstractNumId="4" w15:restartNumberingAfterBreak="0">
    <w:nsid w:val="3D936937"/>
    <w:multiLevelType w:val="hybridMultilevel"/>
    <w:tmpl w:val="CAA810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2B72441"/>
    <w:multiLevelType w:val="hybridMultilevel"/>
    <w:tmpl w:val="29AE56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9771D6B"/>
    <w:multiLevelType w:val="multilevel"/>
    <w:tmpl w:val="6EFE8BCA"/>
    <w:lvl w:ilvl="0">
      <w:start w:val="1"/>
      <w:numFmt w:val="bullet"/>
      <w:lvlText w:val="-"/>
      <w:lvlJc w:val="left"/>
      <w:pPr>
        <w:tabs>
          <w:tab w:val="num" w:pos="360"/>
        </w:tabs>
        <w:ind w:left="360" w:hanging="360"/>
      </w:pPr>
      <w:rPr>
        <w:rFonts w:ascii="Times New Roman" w:eastAsia="Calibri" w:hAnsi="Times New Roman" w:cs="Times New Roman" w:hint="default"/>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8"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EB5F55"/>
    <w:multiLevelType w:val="hybridMultilevel"/>
    <w:tmpl w:val="C3F8A672"/>
    <w:lvl w:ilvl="0" w:tplc="00000005">
      <w:start w:val="1"/>
      <w:numFmt w:val="bullet"/>
      <w:lvlText w:val=""/>
      <w:lvlJc w:val="left"/>
      <w:pPr>
        <w:ind w:left="360" w:hanging="360"/>
      </w:pPr>
      <w:rPr>
        <w:rFonts w:ascii="Symbol" w:hAnsi="Symbol" w:cs="Symbol"/>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cs="Wingdings" w:hint="default"/>
      </w:rPr>
    </w:lvl>
    <w:lvl w:ilvl="3" w:tplc="440A0001">
      <w:start w:val="1"/>
      <w:numFmt w:val="bullet"/>
      <w:lvlText w:val=""/>
      <w:lvlJc w:val="left"/>
      <w:pPr>
        <w:ind w:left="2520" w:hanging="360"/>
      </w:pPr>
      <w:rPr>
        <w:rFonts w:ascii="Symbol" w:hAnsi="Symbol" w:cs="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cs="Wingdings" w:hint="default"/>
      </w:rPr>
    </w:lvl>
    <w:lvl w:ilvl="6" w:tplc="440A0001">
      <w:start w:val="1"/>
      <w:numFmt w:val="bullet"/>
      <w:lvlText w:val=""/>
      <w:lvlJc w:val="left"/>
      <w:pPr>
        <w:ind w:left="4680" w:hanging="360"/>
      </w:pPr>
      <w:rPr>
        <w:rFonts w:ascii="Symbol" w:hAnsi="Symbol" w:cs="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cs="Wingdings" w:hint="default"/>
      </w:rPr>
    </w:lvl>
  </w:abstractNum>
  <w:abstractNum w:abstractNumId="10" w15:restartNumberingAfterBreak="0">
    <w:nsid w:val="60142B90"/>
    <w:multiLevelType w:val="multilevel"/>
    <w:tmpl w:val="CCB6E7A6"/>
    <w:lvl w:ilvl="0">
      <w:start w:val="1"/>
      <w:numFmt w:val="bullet"/>
      <w:lvlText w:val="-"/>
      <w:lvlJc w:val="left"/>
      <w:pPr>
        <w:tabs>
          <w:tab w:val="num" w:pos="360"/>
        </w:tabs>
        <w:ind w:left="360" w:hanging="360"/>
      </w:pPr>
      <w:rPr>
        <w:rFonts w:ascii="Times New Roman" w:eastAsia="Calibri" w:hAnsi="Times New Roman" w:cs="Times New Roman" w:hint="default"/>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15:restartNumberingAfterBreak="0">
    <w:nsid w:val="676E4474"/>
    <w:multiLevelType w:val="multilevel"/>
    <w:tmpl w:val="BF327C9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A235946"/>
    <w:multiLevelType w:val="hybridMultilevel"/>
    <w:tmpl w:val="D424105C"/>
    <w:lvl w:ilvl="0" w:tplc="1320F41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1"/>
  </w:num>
  <w:num w:numId="3">
    <w:abstractNumId w:val="3"/>
  </w:num>
  <w:num w:numId="4">
    <w:abstractNumId w:val="5"/>
  </w:num>
  <w:num w:numId="5">
    <w:abstractNumId w:val="1"/>
  </w:num>
  <w:num w:numId="6">
    <w:abstractNumId w:val="10"/>
  </w:num>
  <w:num w:numId="7">
    <w:abstractNumId w:val="9"/>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4F7"/>
    <w:rsid w:val="0000396B"/>
    <w:rsid w:val="00006B3B"/>
    <w:rsid w:val="0002027D"/>
    <w:rsid w:val="00020B08"/>
    <w:rsid w:val="00035AA8"/>
    <w:rsid w:val="00036724"/>
    <w:rsid w:val="0004706D"/>
    <w:rsid w:val="00053868"/>
    <w:rsid w:val="000772AA"/>
    <w:rsid w:val="000776AC"/>
    <w:rsid w:val="00086158"/>
    <w:rsid w:val="00087CA7"/>
    <w:rsid w:val="00093679"/>
    <w:rsid w:val="000A0060"/>
    <w:rsid w:val="000A2CDE"/>
    <w:rsid w:val="000D58C9"/>
    <w:rsid w:val="000F70D5"/>
    <w:rsid w:val="00112443"/>
    <w:rsid w:val="00121411"/>
    <w:rsid w:val="00154682"/>
    <w:rsid w:val="0016151F"/>
    <w:rsid w:val="00163C4B"/>
    <w:rsid w:val="00164FD2"/>
    <w:rsid w:val="00164FE7"/>
    <w:rsid w:val="0019129C"/>
    <w:rsid w:val="001A1784"/>
    <w:rsid w:val="001A6B3A"/>
    <w:rsid w:val="001A7C29"/>
    <w:rsid w:val="001B67E0"/>
    <w:rsid w:val="001E0A71"/>
    <w:rsid w:val="001E7FF5"/>
    <w:rsid w:val="001F0641"/>
    <w:rsid w:val="001F0AB7"/>
    <w:rsid w:val="001F5CA9"/>
    <w:rsid w:val="00201348"/>
    <w:rsid w:val="00203814"/>
    <w:rsid w:val="00212DF8"/>
    <w:rsid w:val="002174F7"/>
    <w:rsid w:val="00252A5B"/>
    <w:rsid w:val="00263549"/>
    <w:rsid w:val="00267505"/>
    <w:rsid w:val="00292B2C"/>
    <w:rsid w:val="0029718B"/>
    <w:rsid w:val="002C2060"/>
    <w:rsid w:val="002D758C"/>
    <w:rsid w:val="002E409D"/>
    <w:rsid w:val="002F0DF2"/>
    <w:rsid w:val="002F2621"/>
    <w:rsid w:val="002F3E95"/>
    <w:rsid w:val="002F5E8F"/>
    <w:rsid w:val="00300BD3"/>
    <w:rsid w:val="003226AF"/>
    <w:rsid w:val="00330F1D"/>
    <w:rsid w:val="003409F0"/>
    <w:rsid w:val="003545EA"/>
    <w:rsid w:val="00384D2F"/>
    <w:rsid w:val="0038629D"/>
    <w:rsid w:val="003922E6"/>
    <w:rsid w:val="003936BC"/>
    <w:rsid w:val="003962F2"/>
    <w:rsid w:val="003A3CA6"/>
    <w:rsid w:val="003B0F84"/>
    <w:rsid w:val="003C56D1"/>
    <w:rsid w:val="003C7F69"/>
    <w:rsid w:val="003D3CFB"/>
    <w:rsid w:val="003E5F1C"/>
    <w:rsid w:val="003F4A87"/>
    <w:rsid w:val="00404C38"/>
    <w:rsid w:val="00412CF3"/>
    <w:rsid w:val="004320E1"/>
    <w:rsid w:val="00452584"/>
    <w:rsid w:val="00455913"/>
    <w:rsid w:val="00463DB1"/>
    <w:rsid w:val="0046587A"/>
    <w:rsid w:val="004676AC"/>
    <w:rsid w:val="00476DA9"/>
    <w:rsid w:val="00491C16"/>
    <w:rsid w:val="004B11EB"/>
    <w:rsid w:val="004B2355"/>
    <w:rsid w:val="004C3B14"/>
    <w:rsid w:val="004C4EA9"/>
    <w:rsid w:val="004E4DF1"/>
    <w:rsid w:val="004F1B9C"/>
    <w:rsid w:val="005032A9"/>
    <w:rsid w:val="00507D6D"/>
    <w:rsid w:val="00510C8E"/>
    <w:rsid w:val="005407E5"/>
    <w:rsid w:val="00540B18"/>
    <w:rsid w:val="005446F0"/>
    <w:rsid w:val="00550CB5"/>
    <w:rsid w:val="00563169"/>
    <w:rsid w:val="00582C85"/>
    <w:rsid w:val="00584BEC"/>
    <w:rsid w:val="00593057"/>
    <w:rsid w:val="005939FC"/>
    <w:rsid w:val="00593BDA"/>
    <w:rsid w:val="0059604B"/>
    <w:rsid w:val="005A26F9"/>
    <w:rsid w:val="005A4EAE"/>
    <w:rsid w:val="005B5965"/>
    <w:rsid w:val="005B6AE2"/>
    <w:rsid w:val="005C65A6"/>
    <w:rsid w:val="005D0346"/>
    <w:rsid w:val="005D5617"/>
    <w:rsid w:val="005E783A"/>
    <w:rsid w:val="005F5839"/>
    <w:rsid w:val="00601EBC"/>
    <w:rsid w:val="00631132"/>
    <w:rsid w:val="006430D9"/>
    <w:rsid w:val="0065155D"/>
    <w:rsid w:val="0067499D"/>
    <w:rsid w:val="0068104C"/>
    <w:rsid w:val="006A05F7"/>
    <w:rsid w:val="006B2B3E"/>
    <w:rsid w:val="006B5060"/>
    <w:rsid w:val="006B66BD"/>
    <w:rsid w:val="006C76A5"/>
    <w:rsid w:val="006D28B6"/>
    <w:rsid w:val="006F1634"/>
    <w:rsid w:val="006F527C"/>
    <w:rsid w:val="006F7314"/>
    <w:rsid w:val="006F7E23"/>
    <w:rsid w:val="00705596"/>
    <w:rsid w:val="007269B9"/>
    <w:rsid w:val="0074346E"/>
    <w:rsid w:val="00743E4D"/>
    <w:rsid w:val="00745C36"/>
    <w:rsid w:val="00754194"/>
    <w:rsid w:val="007670C7"/>
    <w:rsid w:val="007676DA"/>
    <w:rsid w:val="00785184"/>
    <w:rsid w:val="0079208E"/>
    <w:rsid w:val="0079563A"/>
    <w:rsid w:val="007A172C"/>
    <w:rsid w:val="007C00F7"/>
    <w:rsid w:val="007D6223"/>
    <w:rsid w:val="007E6118"/>
    <w:rsid w:val="007F409B"/>
    <w:rsid w:val="007F662F"/>
    <w:rsid w:val="008008E4"/>
    <w:rsid w:val="008321BC"/>
    <w:rsid w:val="00834976"/>
    <w:rsid w:val="00843B8A"/>
    <w:rsid w:val="0084570C"/>
    <w:rsid w:val="00860308"/>
    <w:rsid w:val="00861F95"/>
    <w:rsid w:val="00867ADE"/>
    <w:rsid w:val="00872E99"/>
    <w:rsid w:val="00884D20"/>
    <w:rsid w:val="008861FF"/>
    <w:rsid w:val="008862F2"/>
    <w:rsid w:val="008C5966"/>
    <w:rsid w:val="008C5F53"/>
    <w:rsid w:val="008F604E"/>
    <w:rsid w:val="009034BE"/>
    <w:rsid w:val="00923AC6"/>
    <w:rsid w:val="009449AE"/>
    <w:rsid w:val="00970127"/>
    <w:rsid w:val="00977404"/>
    <w:rsid w:val="00996917"/>
    <w:rsid w:val="009B149E"/>
    <w:rsid w:val="009B3223"/>
    <w:rsid w:val="009B5B7B"/>
    <w:rsid w:val="009C2ADD"/>
    <w:rsid w:val="009C3C80"/>
    <w:rsid w:val="009D23D4"/>
    <w:rsid w:val="009F0C6A"/>
    <w:rsid w:val="009F7DDC"/>
    <w:rsid w:val="00A066CE"/>
    <w:rsid w:val="00A07742"/>
    <w:rsid w:val="00A32AFD"/>
    <w:rsid w:val="00A335B3"/>
    <w:rsid w:val="00A408C5"/>
    <w:rsid w:val="00A54C62"/>
    <w:rsid w:val="00A60B16"/>
    <w:rsid w:val="00A739F2"/>
    <w:rsid w:val="00A7504B"/>
    <w:rsid w:val="00A875B5"/>
    <w:rsid w:val="00AC5A14"/>
    <w:rsid w:val="00AE041E"/>
    <w:rsid w:val="00AF3D32"/>
    <w:rsid w:val="00B2653A"/>
    <w:rsid w:val="00B46520"/>
    <w:rsid w:val="00B526F7"/>
    <w:rsid w:val="00B608A1"/>
    <w:rsid w:val="00B63FE0"/>
    <w:rsid w:val="00B65A71"/>
    <w:rsid w:val="00B74855"/>
    <w:rsid w:val="00B76579"/>
    <w:rsid w:val="00B7717D"/>
    <w:rsid w:val="00B96FB9"/>
    <w:rsid w:val="00BB5E78"/>
    <w:rsid w:val="00BD1C2B"/>
    <w:rsid w:val="00BD3D0F"/>
    <w:rsid w:val="00C14C86"/>
    <w:rsid w:val="00C1746A"/>
    <w:rsid w:val="00C257C6"/>
    <w:rsid w:val="00C33E4A"/>
    <w:rsid w:val="00C47010"/>
    <w:rsid w:val="00C63772"/>
    <w:rsid w:val="00C6606D"/>
    <w:rsid w:val="00C727A1"/>
    <w:rsid w:val="00C72A1A"/>
    <w:rsid w:val="00C72C17"/>
    <w:rsid w:val="00CB1E54"/>
    <w:rsid w:val="00CC1702"/>
    <w:rsid w:val="00CC4EDE"/>
    <w:rsid w:val="00CC533E"/>
    <w:rsid w:val="00D017F0"/>
    <w:rsid w:val="00D045C3"/>
    <w:rsid w:val="00D14B5E"/>
    <w:rsid w:val="00D2384E"/>
    <w:rsid w:val="00D36FFD"/>
    <w:rsid w:val="00D523E1"/>
    <w:rsid w:val="00D53A88"/>
    <w:rsid w:val="00D543D3"/>
    <w:rsid w:val="00D627CF"/>
    <w:rsid w:val="00D82EE5"/>
    <w:rsid w:val="00DA205B"/>
    <w:rsid w:val="00DA2367"/>
    <w:rsid w:val="00DA7B10"/>
    <w:rsid w:val="00DC0BC1"/>
    <w:rsid w:val="00DD202A"/>
    <w:rsid w:val="00DD22C9"/>
    <w:rsid w:val="00DD51F8"/>
    <w:rsid w:val="00DD5F6B"/>
    <w:rsid w:val="00DE3296"/>
    <w:rsid w:val="00DE66AC"/>
    <w:rsid w:val="00E03835"/>
    <w:rsid w:val="00E14E53"/>
    <w:rsid w:val="00E17BE8"/>
    <w:rsid w:val="00E24342"/>
    <w:rsid w:val="00E27B6F"/>
    <w:rsid w:val="00E561CC"/>
    <w:rsid w:val="00E61115"/>
    <w:rsid w:val="00E767F2"/>
    <w:rsid w:val="00E94EB6"/>
    <w:rsid w:val="00EA2168"/>
    <w:rsid w:val="00EC018F"/>
    <w:rsid w:val="00ED2D94"/>
    <w:rsid w:val="00EE375E"/>
    <w:rsid w:val="00EF135D"/>
    <w:rsid w:val="00EF1962"/>
    <w:rsid w:val="00F01FB5"/>
    <w:rsid w:val="00F02AAE"/>
    <w:rsid w:val="00F16B9E"/>
    <w:rsid w:val="00F17EA2"/>
    <w:rsid w:val="00F235F0"/>
    <w:rsid w:val="00F246AC"/>
    <w:rsid w:val="00F24794"/>
    <w:rsid w:val="00F25834"/>
    <w:rsid w:val="00F265EC"/>
    <w:rsid w:val="00F26766"/>
    <w:rsid w:val="00F301D2"/>
    <w:rsid w:val="00F31CBC"/>
    <w:rsid w:val="00F4281C"/>
    <w:rsid w:val="00F43E65"/>
    <w:rsid w:val="00F512BD"/>
    <w:rsid w:val="00F569A8"/>
    <w:rsid w:val="00F56FC3"/>
    <w:rsid w:val="00F63761"/>
    <w:rsid w:val="00F661E0"/>
    <w:rsid w:val="00F80BAA"/>
    <w:rsid w:val="00F933F5"/>
    <w:rsid w:val="00F94532"/>
    <w:rsid w:val="00FA59A7"/>
    <w:rsid w:val="00FD157D"/>
    <w:rsid w:val="00FD1CE6"/>
    <w:rsid w:val="00FF295C"/>
    <w:rsid w:val="00FF57EC"/>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7EE5EF"/>
  <w15:docId w15:val="{9328C211-D884-482C-A7F5-FF72F328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4F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4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74F7"/>
    <w:rPr>
      <w:rFonts w:ascii="Calibri" w:eastAsia="Calibri" w:hAnsi="Calibri" w:cs="Times New Roman"/>
    </w:rPr>
  </w:style>
  <w:style w:type="paragraph" w:styleId="Piedepgina">
    <w:name w:val="footer"/>
    <w:basedOn w:val="Normal"/>
    <w:link w:val="PiedepginaCar"/>
    <w:unhideWhenUsed/>
    <w:rsid w:val="002174F7"/>
    <w:pPr>
      <w:tabs>
        <w:tab w:val="center" w:pos="4419"/>
        <w:tab w:val="right" w:pos="8838"/>
      </w:tabs>
      <w:spacing w:after="0" w:line="240" w:lineRule="auto"/>
    </w:pPr>
  </w:style>
  <w:style w:type="character" w:customStyle="1" w:styleId="PiedepginaCar">
    <w:name w:val="Pie de página Car"/>
    <w:basedOn w:val="Fuentedeprrafopredeter"/>
    <w:link w:val="Piedepgina"/>
    <w:rsid w:val="002174F7"/>
    <w:rPr>
      <w:rFonts w:ascii="Calibri" w:eastAsia="Calibri" w:hAnsi="Calibri" w:cs="Times New Roman"/>
    </w:rPr>
  </w:style>
  <w:style w:type="character" w:styleId="Hipervnculo">
    <w:name w:val="Hyperlink"/>
    <w:basedOn w:val="Fuentedeprrafopredeter"/>
    <w:uiPriority w:val="99"/>
    <w:unhideWhenUsed/>
    <w:rsid w:val="00AE041E"/>
    <w:rPr>
      <w:color w:val="0563C1" w:themeColor="hyperlink"/>
      <w:u w:val="single"/>
    </w:rPr>
  </w:style>
  <w:style w:type="character" w:customStyle="1" w:styleId="Mencinsinresolver1">
    <w:name w:val="Mención sin resolver1"/>
    <w:basedOn w:val="Fuentedeprrafopredeter"/>
    <w:uiPriority w:val="99"/>
    <w:semiHidden/>
    <w:unhideWhenUsed/>
    <w:rsid w:val="00AE041E"/>
    <w:rPr>
      <w:color w:val="605E5C"/>
      <w:shd w:val="clear" w:color="auto" w:fill="E1DFDD"/>
    </w:rPr>
  </w:style>
  <w:style w:type="paragraph" w:styleId="Prrafodelista">
    <w:name w:val="List Paragraph"/>
    <w:aliases w:val="Citation List,본문(내용),List Paragraph (numbered (a))"/>
    <w:basedOn w:val="Normal"/>
    <w:link w:val="PrrafodelistaCar"/>
    <w:uiPriority w:val="34"/>
    <w:qFormat/>
    <w:rsid w:val="00112443"/>
    <w:pPr>
      <w:ind w:left="720"/>
      <w:contextualSpacing/>
    </w:pPr>
  </w:style>
  <w:style w:type="character" w:customStyle="1" w:styleId="PrrafodelistaCar">
    <w:name w:val="Párrafo de lista Car"/>
    <w:aliases w:val="Citation List Car,본문(내용) Car,List Paragraph (numbered (a)) Car"/>
    <w:basedOn w:val="Fuentedeprrafopredeter"/>
    <w:link w:val="Prrafodelista"/>
    <w:rsid w:val="00112443"/>
    <w:rPr>
      <w:rFonts w:ascii="Calibri" w:eastAsia="Calibri" w:hAnsi="Calibri" w:cs="Times New Roman"/>
    </w:rPr>
  </w:style>
  <w:style w:type="paragraph" w:styleId="Textodeglobo">
    <w:name w:val="Balloon Text"/>
    <w:basedOn w:val="Normal"/>
    <w:link w:val="TextodegloboCar"/>
    <w:uiPriority w:val="99"/>
    <w:semiHidden/>
    <w:unhideWhenUsed/>
    <w:rsid w:val="00BB5E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5E78"/>
    <w:rPr>
      <w:rFonts w:ascii="Segoe UI" w:eastAsia="Calibri" w:hAnsi="Segoe UI" w:cs="Segoe UI"/>
      <w:sz w:val="18"/>
      <w:szCs w:val="18"/>
    </w:rPr>
  </w:style>
  <w:style w:type="paragraph" w:customStyle="1" w:styleId="Contenidodelatabla">
    <w:name w:val="Contenido de la tabla"/>
    <w:basedOn w:val="Normal"/>
    <w:qFormat/>
    <w:rsid w:val="009034BE"/>
    <w:pPr>
      <w:widowControl w:val="0"/>
      <w:suppressLineNumbers/>
      <w:suppressAutoHyphens/>
      <w:spacing w:after="0" w:line="100" w:lineRule="atLeast"/>
      <w:textAlignment w:val="baseline"/>
    </w:pPr>
    <w:rPr>
      <w:rFonts w:ascii="DejaVu Sans" w:eastAsia="Times New Roman" w:hAnsi="DejaVu Sans" w:cs="DejaVu Sans"/>
      <w:sz w:val="24"/>
      <w:szCs w:val="24"/>
      <w:lang w:eastAsia="zh-CN"/>
    </w:rPr>
  </w:style>
  <w:style w:type="paragraph" w:styleId="Textoindependiente">
    <w:name w:val="Body Text"/>
    <w:basedOn w:val="Normal"/>
    <w:link w:val="TextoindependienteCar"/>
    <w:rsid w:val="009B3223"/>
    <w:pPr>
      <w:widowControl w:val="0"/>
      <w:suppressAutoHyphens/>
      <w:spacing w:after="120" w:line="276" w:lineRule="auto"/>
      <w:jc w:val="both"/>
    </w:pPr>
    <w:rPr>
      <w:rFonts w:ascii="Arial" w:eastAsia="Times New Roman" w:hAnsi="Arial" w:cs="Arial"/>
      <w:sz w:val="24"/>
      <w:szCs w:val="20"/>
      <w:lang w:eastAsia="zh-CN"/>
    </w:rPr>
  </w:style>
  <w:style w:type="character" w:customStyle="1" w:styleId="TextoindependienteCar">
    <w:name w:val="Texto independiente Car"/>
    <w:basedOn w:val="Fuentedeprrafopredeter"/>
    <w:link w:val="Textoindependiente"/>
    <w:rsid w:val="009B3223"/>
    <w:rPr>
      <w:rFonts w:ascii="Arial" w:eastAsia="Times New Roman" w:hAnsi="Arial" w:cs="Arial"/>
      <w:sz w:val="24"/>
      <w:szCs w:val="20"/>
      <w:lang w:eastAsia="zh-CN"/>
    </w:rPr>
  </w:style>
  <w:style w:type="character" w:styleId="Hipervnculovisitado">
    <w:name w:val="FollowedHyperlink"/>
    <w:basedOn w:val="Fuentedeprrafopredeter"/>
    <w:uiPriority w:val="99"/>
    <w:semiHidden/>
    <w:unhideWhenUsed/>
    <w:rsid w:val="00164FD2"/>
    <w:rPr>
      <w:color w:val="954F72" w:themeColor="followedHyperlink"/>
      <w:u w:val="single"/>
    </w:rPr>
  </w:style>
  <w:style w:type="character" w:styleId="Mencinsinresolver">
    <w:name w:val="Unresolved Mention"/>
    <w:basedOn w:val="Fuentedeprrafopredeter"/>
    <w:uiPriority w:val="99"/>
    <w:semiHidden/>
    <w:unhideWhenUsed/>
    <w:rsid w:val="00164FE7"/>
    <w:rPr>
      <w:color w:val="605E5C"/>
      <w:shd w:val="clear" w:color="auto" w:fill="E1DFDD"/>
    </w:rPr>
  </w:style>
  <w:style w:type="paragraph" w:customStyle="1" w:styleId="Prrafodelista1">
    <w:name w:val="Párrafo de lista1"/>
    <w:basedOn w:val="Normal"/>
    <w:rsid w:val="00020B08"/>
    <w:pPr>
      <w:widowControl w:val="0"/>
      <w:suppressAutoHyphens/>
      <w:spacing w:after="200" w:line="240" w:lineRule="auto"/>
      <w:ind w:left="720"/>
      <w:contextualSpacing/>
    </w:pPr>
    <w:rPr>
      <w:rFonts w:ascii="Liberation Serif" w:eastAsia="Droid Sans Fallback" w:hAnsi="Liberation Serif" w:cs="FreeSans"/>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959467">
      <w:bodyDiv w:val="1"/>
      <w:marLeft w:val="0"/>
      <w:marRight w:val="0"/>
      <w:marTop w:val="0"/>
      <w:marBottom w:val="0"/>
      <w:divBdr>
        <w:top w:val="none" w:sz="0" w:space="0" w:color="auto"/>
        <w:left w:val="none" w:sz="0" w:space="0" w:color="auto"/>
        <w:bottom w:val="none" w:sz="0" w:space="0" w:color="auto"/>
        <w:right w:val="none" w:sz="0" w:space="0" w:color="auto"/>
      </w:divBdr>
    </w:div>
    <w:div w:id="398020659">
      <w:bodyDiv w:val="1"/>
      <w:marLeft w:val="0"/>
      <w:marRight w:val="0"/>
      <w:marTop w:val="0"/>
      <w:marBottom w:val="0"/>
      <w:divBdr>
        <w:top w:val="none" w:sz="0" w:space="0" w:color="auto"/>
        <w:left w:val="none" w:sz="0" w:space="0" w:color="auto"/>
        <w:bottom w:val="none" w:sz="0" w:space="0" w:color="auto"/>
        <w:right w:val="none" w:sz="0" w:space="0" w:color="auto"/>
      </w:divBdr>
    </w:div>
    <w:div w:id="837647850">
      <w:bodyDiv w:val="1"/>
      <w:marLeft w:val="0"/>
      <w:marRight w:val="0"/>
      <w:marTop w:val="0"/>
      <w:marBottom w:val="0"/>
      <w:divBdr>
        <w:top w:val="none" w:sz="0" w:space="0" w:color="auto"/>
        <w:left w:val="none" w:sz="0" w:space="0" w:color="auto"/>
        <w:bottom w:val="none" w:sz="0" w:space="0" w:color="auto"/>
        <w:right w:val="none" w:sz="0" w:space="0" w:color="auto"/>
      </w:divBdr>
    </w:div>
    <w:div w:id="963729709">
      <w:bodyDiv w:val="1"/>
      <w:marLeft w:val="0"/>
      <w:marRight w:val="0"/>
      <w:marTop w:val="0"/>
      <w:marBottom w:val="0"/>
      <w:divBdr>
        <w:top w:val="none" w:sz="0" w:space="0" w:color="auto"/>
        <w:left w:val="none" w:sz="0" w:space="0" w:color="auto"/>
        <w:bottom w:val="none" w:sz="0" w:space="0" w:color="auto"/>
        <w:right w:val="none" w:sz="0" w:space="0" w:color="auto"/>
      </w:divBdr>
    </w:div>
    <w:div w:id="998922304">
      <w:bodyDiv w:val="1"/>
      <w:marLeft w:val="0"/>
      <w:marRight w:val="0"/>
      <w:marTop w:val="0"/>
      <w:marBottom w:val="0"/>
      <w:divBdr>
        <w:top w:val="none" w:sz="0" w:space="0" w:color="auto"/>
        <w:left w:val="none" w:sz="0" w:space="0" w:color="auto"/>
        <w:bottom w:val="none" w:sz="0" w:space="0" w:color="auto"/>
        <w:right w:val="none" w:sz="0" w:space="0" w:color="auto"/>
      </w:divBdr>
    </w:div>
    <w:div w:id="1278027996">
      <w:bodyDiv w:val="1"/>
      <w:marLeft w:val="0"/>
      <w:marRight w:val="0"/>
      <w:marTop w:val="0"/>
      <w:marBottom w:val="0"/>
      <w:divBdr>
        <w:top w:val="none" w:sz="0" w:space="0" w:color="auto"/>
        <w:left w:val="none" w:sz="0" w:space="0" w:color="auto"/>
        <w:bottom w:val="none" w:sz="0" w:space="0" w:color="auto"/>
        <w:right w:val="none" w:sz="0" w:space="0" w:color="auto"/>
      </w:divBdr>
    </w:div>
    <w:div w:id="1337345147">
      <w:bodyDiv w:val="1"/>
      <w:marLeft w:val="0"/>
      <w:marRight w:val="0"/>
      <w:marTop w:val="0"/>
      <w:marBottom w:val="0"/>
      <w:divBdr>
        <w:top w:val="none" w:sz="0" w:space="0" w:color="auto"/>
        <w:left w:val="none" w:sz="0" w:space="0" w:color="auto"/>
        <w:bottom w:val="none" w:sz="0" w:space="0" w:color="auto"/>
        <w:right w:val="none" w:sz="0" w:space="0" w:color="auto"/>
      </w:divBdr>
    </w:div>
    <w:div w:id="139323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najackyas@gmail.com" TargetMode="Externa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riam_grijalva@hot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arivas@salud.gob.sv" TargetMode="External"/><Relationship Id="rId4" Type="http://schemas.openxmlformats.org/officeDocument/2006/relationships/webSettings" Target="webSettings.xml"/><Relationship Id="rId9" Type="http://schemas.openxmlformats.org/officeDocument/2006/relationships/hyperlink" Target="mailto:blami98@hot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19</Pages>
  <Words>5575</Words>
  <Characters>30664</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kmolina</dc:creator>
  <cp:keywords/>
  <dc:description/>
  <cp:lastModifiedBy>kmolina</cp:lastModifiedBy>
  <cp:revision>143</cp:revision>
  <cp:lastPrinted>2019-12-17T13:49:00Z</cp:lastPrinted>
  <dcterms:created xsi:type="dcterms:W3CDTF">2019-11-19T16:41:00Z</dcterms:created>
  <dcterms:modified xsi:type="dcterms:W3CDTF">2020-01-30T19:46:00Z</dcterms:modified>
</cp:coreProperties>
</file>