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4A" w:rsidRDefault="00DF7C4A">
      <w:pPr>
        <w:widowControl w:val="0"/>
        <w:spacing w:line="276" w:lineRule="auto"/>
        <w:jc w:val="center"/>
        <w:rPr>
          <w:rFonts w:ascii="Century Gothic" w:hAnsi="Century Gothic" w:cs="Arial"/>
          <w:b/>
          <w:bCs/>
          <w:color w:val="0000FF"/>
          <w:sz w:val="22"/>
          <w:szCs w:val="22"/>
        </w:rPr>
      </w:pPr>
    </w:p>
    <w:p w:rsidR="00DF7C4A" w:rsidRDefault="008D3FBF">
      <w:pPr>
        <w:widowControl w:val="0"/>
        <w:spacing w:line="276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DF7C4A" w:rsidRDefault="008D3FBF">
      <w:pPr>
        <w:spacing w:line="264" w:lineRule="auto"/>
        <w:ind w:left="180"/>
        <w:jc w:val="center"/>
        <w:rPr>
          <w:rFonts w:ascii="Century Gothic" w:hAnsi="Century Gothic" w:cs="Arial"/>
          <w:b/>
          <w:bCs/>
          <w:color w:val="0000FF"/>
          <w:sz w:val="22"/>
          <w:szCs w:val="22"/>
        </w:rPr>
      </w:pPr>
      <w:bookmarkStart w:id="0" w:name="__DdeLink__703_3635863293"/>
      <w:bookmarkStart w:id="1" w:name="__DdeLink__3289_1257550962"/>
      <w:bookmarkStart w:id="2" w:name="__DdeLink__2948_456109885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  <w:bookmarkEnd w:id="0"/>
      <w:bookmarkEnd w:id="1"/>
      <w:bookmarkEnd w:id="2"/>
    </w:p>
    <w:p w:rsidR="00DF7C4A" w:rsidRDefault="00DF7C4A">
      <w:pPr>
        <w:widowControl w:val="0"/>
        <w:spacing w:line="276" w:lineRule="auto"/>
        <w:jc w:val="center"/>
        <w:rPr>
          <w:rFonts w:ascii="Century Gothic" w:hAnsi="Century Gothic" w:cs="Arial"/>
          <w:b/>
          <w:bCs/>
          <w:color w:val="0000FF"/>
          <w:sz w:val="22"/>
          <w:szCs w:val="22"/>
        </w:rPr>
      </w:pPr>
    </w:p>
    <w:p w:rsidR="00DF7C4A" w:rsidRDefault="008D3FBF">
      <w:pPr>
        <w:widowControl w:val="0"/>
        <w:spacing w:line="276" w:lineRule="auto"/>
        <w:jc w:val="center"/>
        <w:rPr>
          <w:rFonts w:ascii="Century Gothic" w:hAnsi="Century Gothic"/>
          <w:color w:val="0000FF"/>
          <w:sz w:val="22"/>
          <w:szCs w:val="22"/>
        </w:rPr>
      </w:pPr>
      <w:r>
        <w:rPr>
          <w:rFonts w:ascii="Century Gothic" w:hAnsi="Century Gothic" w:cs="Arial"/>
          <w:b/>
          <w:bCs/>
          <w:color w:val="0000FF"/>
          <w:sz w:val="22"/>
          <w:szCs w:val="22"/>
        </w:rPr>
        <w:t>CONTRATO MAG-LG-No. 078/2019</w:t>
      </w:r>
    </w:p>
    <w:p w:rsidR="00DF7C4A" w:rsidRDefault="008D3FBF">
      <w:pPr>
        <w:widowControl w:val="0"/>
        <w:tabs>
          <w:tab w:val="right" w:pos="9360"/>
        </w:tabs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 w:cs="Calibri"/>
          <w:b/>
          <w:bCs/>
          <w:color w:val="000000"/>
          <w:sz w:val="22"/>
          <w:szCs w:val="22"/>
          <w:lang w:val="es-SV"/>
        </w:rPr>
        <w:t>“</w:t>
      </w:r>
      <w:r>
        <w:rPr>
          <w:rFonts w:ascii="Century Gothic" w:hAnsi="Century Gothic" w:cs="Calibri"/>
          <w:b/>
          <w:bCs/>
          <w:color w:val="000000"/>
          <w:sz w:val="22"/>
          <w:szCs w:val="22"/>
          <w:lang w:val="es-SV"/>
        </w:rPr>
        <w:t xml:space="preserve">CONSULTORÍA PARA EL </w:t>
      </w:r>
      <w:r>
        <w:rPr>
          <w:rFonts w:ascii="Century Gothic" w:hAnsi="Century Gothic" w:cs="Calibri"/>
          <w:b/>
          <w:bCs/>
          <w:caps/>
          <w:color w:val="000000"/>
          <w:sz w:val="22"/>
          <w:szCs w:val="22"/>
          <w:lang w:val="es-SV"/>
        </w:rPr>
        <w:t>DiseñO y Elaboración DE una Política Integral de Seguridad de Información con Estándares Internacionales, que incluya un Plan Estratégico, Táctico y Operativo para la Modernización de los Sistemas DE INFORMACIÓN, Redes e Infraestructura</w:t>
      </w:r>
      <w:r>
        <w:rPr>
          <w:rFonts w:ascii="Century Gothic" w:hAnsi="Century Gothic" w:cs="Calibri"/>
          <w:b/>
          <w:bCs/>
          <w:caps/>
          <w:color w:val="000000"/>
          <w:sz w:val="22"/>
          <w:szCs w:val="22"/>
          <w:lang w:val="es-SV"/>
        </w:rPr>
        <w:t>, que utilice la Seguridad de Información como Base</w:t>
      </w:r>
      <w:r>
        <w:rPr>
          <w:rFonts w:ascii="Century Gothic" w:hAnsi="Century Gothic" w:cs="Calibri"/>
          <w:b/>
          <w:bCs/>
          <w:color w:val="000000"/>
          <w:sz w:val="22"/>
          <w:szCs w:val="22"/>
          <w:lang w:val="es-SV"/>
        </w:rPr>
        <w:t>”</w:t>
      </w:r>
    </w:p>
    <w:p w:rsidR="00DF7C4A" w:rsidRDefault="00DF7C4A">
      <w:pPr>
        <w:widowControl w:val="0"/>
        <w:tabs>
          <w:tab w:val="right" w:pos="9360"/>
        </w:tabs>
        <w:spacing w:line="276" w:lineRule="auto"/>
        <w:jc w:val="both"/>
        <w:rPr>
          <w:rFonts w:ascii="Century Gothic" w:hAnsi="Century Gothic" w:cs="Calibri"/>
          <w:bCs/>
          <w:color w:val="000000"/>
          <w:sz w:val="22"/>
          <w:szCs w:val="22"/>
          <w:lang w:val="es-SV"/>
        </w:rPr>
      </w:pPr>
    </w:p>
    <w:p w:rsidR="00DF7C4A" w:rsidRPr="008D3FBF" w:rsidRDefault="008D3FBF">
      <w:pPr>
        <w:pStyle w:val="Prrafodelista1"/>
        <w:spacing w:line="360" w:lineRule="auto"/>
        <w:ind w:left="0"/>
        <w:jc w:val="both"/>
      </w:pP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Nosotros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 xml:space="preserve">, </w:t>
      </w:r>
      <w:r>
        <w:rPr>
          <w:rFonts w:ascii="Century Gothic" w:hAnsi="Century Gothic" w:cs="Century Gothic"/>
          <w:b/>
          <w:i w:val="0"/>
          <w:sz w:val="22"/>
          <w:szCs w:val="22"/>
        </w:rPr>
        <w:t>ROLANDO ALFREDO MARTÍNEZ PINEDA</w:t>
      </w:r>
      <w:r>
        <w:rPr>
          <w:rFonts w:ascii="Century Gothic" w:hAnsi="Century Gothic" w:cs="Century Gothic"/>
          <w:i w:val="0"/>
          <w:sz w:val="22"/>
          <w:szCs w:val="22"/>
        </w:rPr>
        <w:t>, Mayor de edad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 xml:space="preserve">, administrador, del domicilio de ******************************, departamento de *****************************, con Documento Único de Identidad 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>número ********************************</w:t>
      </w:r>
      <w:r>
        <w:rPr>
          <w:rFonts w:ascii="Century Gothic" w:hAnsi="Century Gothic" w:cs="Century Gothic"/>
          <w:i w:val="0"/>
          <w:sz w:val="22"/>
          <w:szCs w:val="22"/>
        </w:rPr>
        <w:t>, y Número de Identificación Tributaria *******************************,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 xml:space="preserve">nistración y Finanzas </w:t>
      </w:r>
      <w:proofErr w:type="spellStart"/>
      <w:r>
        <w:rPr>
          <w:rFonts w:ascii="Century Gothic" w:hAnsi="Century Gothic" w:cs="Century Gothic"/>
          <w:i w:val="0"/>
          <w:sz w:val="22"/>
          <w:szCs w:val="22"/>
          <w:lang w:val="es-MX"/>
        </w:rPr>
        <w:t>adhonorem</w:t>
      </w:r>
      <w:proofErr w:type="spellEnd"/>
      <w:r>
        <w:rPr>
          <w:rFonts w:ascii="Century Gothic" w:hAnsi="Century Gothic" w:cs="Century Gothic"/>
          <w:i w:val="0"/>
          <w:sz w:val="22"/>
          <w:szCs w:val="22"/>
          <w:lang w:val="es-MX"/>
        </w:rPr>
        <w:t xml:space="preserve"> y designado por el señor Ministro de Agricultura y Ganadería para suscribir contratos  como el presente y que en el transcurso de este contrato me denominaré </w:t>
      </w:r>
      <w:r>
        <w:rPr>
          <w:rFonts w:ascii="Century Gothic" w:hAnsi="Century Gothic" w:cs="Century Gothic"/>
          <w:b/>
          <w:i w:val="0"/>
          <w:sz w:val="22"/>
          <w:szCs w:val="22"/>
          <w:lang w:val="es-MX"/>
        </w:rPr>
        <w:t>EL CONTRATANTE o EL MAG,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 xml:space="preserve"> institución, del domicilio de ***********</w:t>
      </w:r>
      <w:r>
        <w:rPr>
          <w:rFonts w:ascii="Century Gothic" w:hAnsi="Century Gothic" w:cs="Century Gothic"/>
          <w:i w:val="0"/>
          <w:sz w:val="22"/>
          <w:szCs w:val="22"/>
          <w:lang w:val="es-MX"/>
        </w:rPr>
        <w:t>********, departamento de **********************,  con Número de Identificación Tributaria *************************************</w:t>
      </w:r>
      <w:r>
        <w:rPr>
          <w:rFonts w:ascii="Century Gothic" w:hAnsi="Century Gothic" w:cs="Century Gothic"/>
          <w:i w:val="0"/>
          <w:iCs/>
          <w:sz w:val="22"/>
          <w:szCs w:val="22"/>
        </w:rPr>
        <w:t>;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y por otra parte el señor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 w:val="0"/>
          <w:sz w:val="22"/>
          <w:szCs w:val="22"/>
        </w:rPr>
        <w:t>CARLOS DANIEL ARIAS LÓPEZ</w:t>
      </w:r>
      <w:r>
        <w:rPr>
          <w:rFonts w:ascii="Century Gothic" w:hAnsi="Century Gothic" w:cs="Arial"/>
          <w:b/>
          <w:i w:val="0"/>
          <w:sz w:val="22"/>
          <w:szCs w:val="22"/>
        </w:rPr>
        <w:t xml:space="preserve">, </w:t>
      </w:r>
      <w:r>
        <w:rPr>
          <w:rFonts w:ascii="Century Gothic" w:hAnsi="Century Gothic" w:cs="Arial"/>
          <w:i w:val="0"/>
          <w:sz w:val="22"/>
          <w:szCs w:val="22"/>
        </w:rPr>
        <w:t>mayor de edad, Licenciado en Contaduría Pública, del domicilio de *******</w:t>
      </w:r>
      <w:r>
        <w:rPr>
          <w:rFonts w:ascii="Century Gothic" w:hAnsi="Century Gothic" w:cs="Arial"/>
          <w:i w:val="0"/>
          <w:sz w:val="22"/>
          <w:szCs w:val="22"/>
        </w:rPr>
        <w:t>*************, departamento de ************************** portador del Documento Único de Identidad número ******************************, con Número de Identificación Tributaria ********************************, actuando en mi calidad de Representante Leg</w:t>
      </w:r>
      <w:r>
        <w:rPr>
          <w:rFonts w:ascii="Century Gothic" w:hAnsi="Century Gothic" w:cs="Arial"/>
          <w:i w:val="0"/>
          <w:sz w:val="22"/>
          <w:szCs w:val="22"/>
        </w:rPr>
        <w:t xml:space="preserve">al de la Unión de Personas denominada </w:t>
      </w:r>
      <w:r>
        <w:rPr>
          <w:rFonts w:ascii="Century Gothic" w:hAnsi="Century Gothic" w:cs="Arial"/>
          <w:b/>
          <w:i w:val="0"/>
          <w:sz w:val="22"/>
          <w:szCs w:val="22"/>
        </w:rPr>
        <w:t>UDP INFORMATION SECURITY ADVISERS</w:t>
      </w:r>
      <w:r>
        <w:rPr>
          <w:rFonts w:ascii="Century Gothic" w:hAnsi="Century Gothic" w:cs="Arial"/>
          <w:i w:val="0"/>
          <w:sz w:val="22"/>
          <w:szCs w:val="22"/>
        </w:rPr>
        <w:t xml:space="preserve"> del domicilio de ************************, departamento de *********************** y con Número de Identificación Tributaria **********************************,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que en el transcurso de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l presente instrumento me denominaré 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 xml:space="preserve">"EL </w:t>
      </w:r>
      <w:r>
        <w:rPr>
          <w:rFonts w:ascii="Century Gothic" w:eastAsia="Times New Roman" w:hAnsi="Century Gothic"/>
          <w:b/>
          <w:i w:val="0"/>
          <w:color w:val="0000FF"/>
          <w:sz w:val="22"/>
          <w:szCs w:val="22"/>
          <w:lang w:val="es-ES"/>
        </w:rPr>
        <w:t>CONSULTOR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",</w:t>
      </w:r>
      <w:r>
        <w:rPr>
          <w:rFonts w:ascii="Century Gothic" w:hAnsi="Century Gothic" w:cs="Arial"/>
          <w:iCs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y en los caracteres antes dichos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MANIFESTAMOS: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Que hemos acordado otorgar y en efecto otorgamos el presente contrato de</w:t>
      </w:r>
      <w:r>
        <w:rPr>
          <w:rFonts w:ascii="Century Gothic" w:hAnsi="Century Gothic"/>
          <w:i w:val="0"/>
          <w:color w:val="CE181E"/>
          <w:sz w:val="22"/>
          <w:szCs w:val="22"/>
        </w:rPr>
        <w:t xml:space="preserve"> </w:t>
      </w:r>
      <w:r>
        <w:rPr>
          <w:rFonts w:ascii="Century Gothic" w:hAnsi="Century Gothic"/>
          <w:i w:val="0"/>
          <w:sz w:val="22"/>
          <w:szCs w:val="22"/>
        </w:rPr>
        <w:t>“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CONSULTORÍA PARA EL 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 xml:space="preserve">DiseñO y Elaboración DE una Política Integral de Seguridad de 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 xml:space="preserve">Información con Estándares Internacionales, que incluya un Plan Estratégico, Táctico y Operativo para la Modernización de los Sistemas DE INFORMACIÓN, Redes e Infraestructura, que utilice la Seguridad 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lastRenderedPageBreak/>
        <w:t>de Información como Base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>”</w:t>
      </w:r>
      <w:r>
        <w:rPr>
          <w:rFonts w:ascii="Century Gothic" w:eastAsia="Times New Roman" w:hAnsi="Century Gothic" w:cs="Calibri"/>
          <w:b/>
          <w:bCs/>
          <w:i w:val="0"/>
          <w:color w:val="000000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en virtud de lo establecido e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n la invitación para </w:t>
      </w:r>
      <w:r>
        <w:rPr>
          <w:rFonts w:ascii="Century Gothic" w:eastAsia="Times New Roman" w:hAnsi="Century Gothic"/>
          <w:i w:val="0"/>
          <w:color w:val="0000FF"/>
          <w:sz w:val="22"/>
          <w:szCs w:val="22"/>
          <w:lang w:val="es-ES"/>
        </w:rPr>
        <w:t>participar en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el proceso por Libre Gestión No. 089/2019-MAG, denominado “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CONSULTORÍA PARA EL 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DiseñO y Elaboración DE una Política Integral de Seguridad de Información con Estándares Internacionales, que incluya un Plan Estratégico, Tác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tico y Operativo para la Modernización de los Sistemas DE INFORMACIÓN, Redes e Infraestructura, que utilice la Seguridad de Información como Base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”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a favor y a satisfacción del Ministerio de Agricultura y Ganadería,  de conformidad a la Ley de Adquisiciones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y Contrataciones de la Administración Pública y su Reglamento, y en especial con las obligaciones, condiciones, pactos y renuncias siguientes: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I) OBJETO DEL CONTRATO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. El objeto del presente contrato es la prestación de </w:t>
      </w:r>
      <w:r>
        <w:rPr>
          <w:rFonts w:ascii="Century Gothic" w:eastAsia="Times New Roman" w:hAnsi="Century Gothic"/>
          <w:i w:val="0"/>
          <w:color w:val="0000FF"/>
          <w:sz w:val="22"/>
          <w:szCs w:val="22"/>
          <w:lang w:val="es-ES"/>
        </w:rPr>
        <w:t>los servicios de</w:t>
      </w:r>
      <w:r>
        <w:rPr>
          <w:rFonts w:ascii="Century Gothic" w:hAnsi="Century Gothic"/>
          <w:i w:val="0"/>
          <w:sz w:val="22"/>
          <w:szCs w:val="22"/>
        </w:rPr>
        <w:t xml:space="preserve"> “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>CONSULTORÍA PARA E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L 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DiseñO y Elaboración DE una Política Integral de Seguridad de Información con Estándares Internacionales, que incluya un Plan Estratégico, Táctico y Operativo para la Modernización de los Sistemas DE INFORMACIÓN, Redes e Infraestructura, que utilice la S</w:t>
      </w:r>
      <w:r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eguridad de Información como Base</w:t>
      </w:r>
      <w:r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>”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, de conformidad a lo establecido en </w:t>
      </w:r>
      <w:r>
        <w:rPr>
          <w:rFonts w:ascii="Century Gothic" w:hAnsi="Century Gothic" w:cs="Tahoma"/>
          <w:i w:val="0"/>
          <w:sz w:val="22"/>
          <w:szCs w:val="22"/>
        </w:rPr>
        <w:t>la cláusula I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V) forma y lugar de ejecución de la consultoría</w:t>
      </w:r>
      <w:r>
        <w:rPr>
          <w:rFonts w:ascii="Century Gothic" w:hAnsi="Century Gothic" w:cs="Tahoma"/>
          <w:i w:val="0"/>
          <w:sz w:val="22"/>
          <w:szCs w:val="22"/>
        </w:rPr>
        <w:t xml:space="preserve"> y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la oferta presentada por EL CONSULTOR el día catorce de mayo del presente año.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A efecto de garantizar el cumplimiento del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>objeto del presente contrato</w:t>
      </w:r>
      <w:r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, “EL CONTRATANTE”</w:t>
      </w:r>
      <w:r>
        <w:rPr>
          <w:rFonts w:ascii="Century Gothic" w:hAnsi="Century Gothic"/>
          <w:i w:val="0"/>
          <w:sz w:val="22"/>
          <w:szCs w:val="22"/>
        </w:rPr>
        <w:t xml:space="preserve"> </w:t>
      </w:r>
      <w:r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podrá realizar todas las gestiones de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control en los aspectos material, técnico, financiero, legal y contable, que razonablemente considere necesarios a efecto de salvaguardar los intereses que persigue.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II) P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 xml:space="preserve">RECIO Y FORMA DE PAGO.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El precio total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por los servicios objeto del presente contrato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es por la cantidad de </w:t>
      </w:r>
      <w:r w:rsidRPr="008D3FBF">
        <w:rPr>
          <w:rFonts w:ascii="Century Gothic" w:eastAsia="Times New Roman" w:hAnsi="Century Gothic"/>
          <w:b/>
          <w:bCs/>
          <w:i w:val="0"/>
          <w:sz w:val="22"/>
          <w:szCs w:val="22"/>
          <w:lang w:val="es-ES"/>
        </w:rPr>
        <w:t>VEINTINUEVE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 xml:space="preserve"> MIL CUATROCIENTOS CINCUENTA DÓLARES DE LOS ESTADOS UNIDOS DE AMÉRICA (US$29,450.00),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monto que incluye el Impuesto a la Transferencia de Bienes Muebles y a la Prestación de Servicios (IVA). el cual se pagará mediante tres pagos de la siguiente manera: un primer pago equivalente al treinta por ciento (30%) del valor del contrato contra ent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rega del plan de trabajo; un segundo pago equivalente al treinta por ciento (30%) del valor del contrato contra entrega del inventario total de los activos con su respectivo riesgo, y un pago final equivalente al cuarenta por ciento (40%) del valor del con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trato contra entrega del informe final de la consultoría. pagos que se realizaran en un plazo de treinta días calendario posteriores a la presentación de: información solicitada en el numeral trece del anexo dos de la invitación a participar en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lastRenderedPageBreak/>
        <w:t>el proceso,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comprobante de Crédito Fiscal correspondiente a nombre de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Pagaduría Auxiliar Fondo de Actividades Especiales, Dirección General de Sanidad Vegetal y Animal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y el acta de recepción; documentación que deberá estar firmada y sellada por el Administrador del c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ontrato haciendo constar que recibió a satisfacción el servicio respectivo; por ser la dirección solicitante Agente de Retención, se retendrá el uno por ciento en concepto de anticipo al Impuesto a la Transferencia de Bienes Muebles y a la Prestación de Se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rvicios (IVA). El pago se realizará mediante el Sistema de Cuenta Única del Tesoro Público, efectuadas por la Dirección General de Tesorería del Ministerio de Hacienda a la Cuenta número: ********************************, Tipo de Cuenta: ******************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****, del Banco ***************************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,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cuyo titular es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CONSULTOR, la cual fue previamente designada por ésta, de conformidad con lo establecido en los artículos sesenta, sesenta y uno, sesenta y dos, sesenta y tres y setenta de la Ley AFI y Artícu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los setenta y cinco y setenta y seis de su Reglamento.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III) PLAZO DEL CONTRATO: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El plazo del contrato será de </w:t>
      </w:r>
      <w:r w:rsidRPr="008D3FBF">
        <w:rPr>
          <w:rFonts w:ascii="Century Gothic" w:eastAsia="Times New Roman" w:hAnsi="Century Gothic"/>
          <w:b/>
          <w:bCs/>
          <w:i w:val="0"/>
          <w:sz w:val="22"/>
          <w:szCs w:val="22"/>
          <w:lang w:val="es-ES"/>
        </w:rPr>
        <w:t>CINCO MESES (5)</w:t>
      </w:r>
      <w:r w:rsidRPr="008D3FBF">
        <w:rPr>
          <w:rFonts w:ascii="Century Gothic" w:hAnsi="Century Gothic"/>
          <w:i w:val="0"/>
          <w:sz w:val="22"/>
          <w:szCs w:val="22"/>
        </w:rPr>
        <w:t xml:space="preserve">,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contados a partir de la fecha establecida en la orden de inicio emitida por el administrador del contrato. El plazo del presente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contrato podrá ser prorrogado por períodos iguales o menores al del contrato, previa actualización de los Términos de Referencia, de la opinión favorable del solicitante del servicio, de la disponibilidad presupuestaria correspondiente y de conformidad con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la Ley de Adquisiciones y Contrataciones de la Administración Pública LACAP y su Reglamento.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I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V) FORMA Y LUGAR DE EJECUCIÓN DE LA CONSULTORÍA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hAnsi="Century Gothic" w:cs="Calibri"/>
          <w:i w:val="0"/>
          <w:sz w:val="22"/>
          <w:szCs w:val="22"/>
        </w:rPr>
        <w:t>De conformidad con los artículos cuarenta y cuatro letra j) y ciento veintiuno de Ley de Adquisiciones y Contrat</w:t>
      </w:r>
      <w:r w:rsidRPr="008D3FBF">
        <w:rPr>
          <w:rFonts w:ascii="Century Gothic" w:hAnsi="Century Gothic" w:cs="Calibri"/>
          <w:i w:val="0"/>
          <w:sz w:val="22"/>
          <w:szCs w:val="22"/>
        </w:rPr>
        <w:t>aciones de la Administración Pública, el documento de invitación del proceso por Libre Gestión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No.089/2019-MAG, denominado “</w:t>
      </w:r>
      <w:r w:rsidRPr="008D3FBF"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CONSULTORÍA PARA EL </w:t>
      </w:r>
      <w:r w:rsidRPr="008D3FBF"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DiseñO y Elaboración DE una Política Integral de Seguridad de Información con Estándares Internacionales, que in</w:t>
      </w:r>
      <w:r w:rsidRPr="008D3FBF"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cluya un Plan Estratégico, Táctico y Operativo para la Modernización de los Sistemas DE INFORMACIÓN, Redes e Infraestructura, que utilice la Seguridad de Información como Base</w:t>
      </w:r>
      <w:r w:rsidRPr="008D3FBF"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>”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términos de referencia adjuntos oferta presentada por el consultor de fecha die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cinueve de julio del presente año</w:t>
      </w:r>
      <w:r w:rsidRPr="008D3FBF">
        <w:rPr>
          <w:rFonts w:ascii="Century Gothic" w:hAnsi="Century Gothic" w:cs="Calibri"/>
          <w:i w:val="0"/>
          <w:sz w:val="22"/>
          <w:szCs w:val="22"/>
        </w:rPr>
        <w:t xml:space="preserve">; los servicios objeto del presente contrato serán prestados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en las instalaciones del Ministerio de Agricultura y Ganadería en Final primera avenida norte y trece calle oriente y Avenida Manuel Gallardo, Santa Tecla, depart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amento de La Libertad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; conforme a lo establecido en el anexo dos, términos de referencia, debiendo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lastRenderedPageBreak/>
        <w:t>cumplir con las condiciones, horarios, plazos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,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 xml:space="preserve">La recepción del servicio será realizada por el administrador del contrato, siempre y cuando se cumpla con lo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 xml:space="preserve">establecido en los términos de referencia antes mencionados.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V) PROPIEDAD INTELECTUAL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Los productos desarrollados para la ejecución de este contrato, serán de propiedad exclusiva de “El Contratante”.</w:t>
      </w:r>
      <w:r w:rsidRPr="008D3FBF">
        <w:rPr>
          <w:rFonts w:ascii="Century Gothic" w:hAnsi="Century Gothic"/>
          <w:bCs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VI) OBLIGACIONES DE “EL CONTRATANTE”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El pago que debe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hacerse en virtud del presente contrato, se realizará por medio de recursos provenientes  de Fondos de Actividades Especiales (DGSVA.  Así mismo “El Contratante” y “El Consultor” declaran que las obligaciones establecidas en el presente contrato no concede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n al segundo ningún derecho para reclamarle al primero, prestaciones laborales de ningún tipo, pues la firma sola de este instrumento no crea relación laboral entre los contratantes.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V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II) ADMINISTRACIÓN DEL CONTRATO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El Titular del MAG, mediante Acuerdo Ej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ecutivo en el Ramo de Agricultura y Ganadería Número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trescientos ochenta y cuatro de fecha  treinta y uno de julio del presente año, nombra como Administrador del Contrato a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Joel Monge Figueroa, Coordinador del Área Agrícola de la Dirección General de Desa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rrollo Rural del Ministerio de Agricultura y Ganadería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, o a quien lo sustituya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mediante el acuerdo respectivo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por cualquier circunstancia. Serán funciones del Administrador: a) Ser el representante del Ministerio en el desarrollo y ejecución del contrato a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sí como emitir la orden de inicio, de conformidad al plazo normado en el contrato; b) Dar seguimiento a la ejecución del contrato, y efectuar directamente los reclamos por escrito “el consultor” en caso de incumplimiento; c) Hacer reportes de cualquier def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artículos 160 LACAP y 80 RELACAP; d) Emitir dictamen sobre la procedencia o no de cualquier modificación o prórroga al contrato, en caso de ser procedente, deberá realizar la gestión respectiva, ante la OACI/MAG, por lo menos ocho días hábiles al vencimien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to del plazo, proporcionando toda la documentación de respaldo necesaria para su tramitación, e) La elaboración del acta de recepción respectiva artículo 77 RELACAP; f) Remitir a la OACI copia del acta de recepción tres días hábiles posteriores a la recepc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ión; g) Evaluar el desempeño de EL CONSULTOR, mediante el formulario respectivo, en un plazo máximo de ocho días hábiles a la emisión del acta de recepción total o definitiva, evaluación que deberá ser enviada a la OACI en un tiempo máximo de dos días hábi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les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lastRenderedPageBreak/>
        <w:t xml:space="preserve">posteriores a la fecha de la evaluación;  h) Informar a la OACI sobre el vencimiento de las garantías, en un periodo no mayor de ocho días hábiles posteriores a su vencimiento, a fin de que esta Oficina proceda a su devolución artículo 82- bis literal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“h” LACAP; i) Remitir copia a la OACI de toda gestión que realice en el ejercicio de sus funciones como Administrador de Contrato artículo 42, inciso 3 RELACAP; j) En caso de otorgarse anticipo deberá aprobar el plan de utilización del anticipo, al igual q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ue la fiscalización de utilización del mismo y del cumplimiento de los requisitos enunciados en el artículo 40 RELACAP; k) Cumplir con cualquier otra función que le corresponda de acuerdo al contrato y demás documentos contractuales o que le sean asignadas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por “EL MAG”, además de las funciones según el tipo de contratación establecidas en los artículos 19, 82-Bis,  122, 129, 108 de la Ley de Adquisiciones y Contrataciones de la Administración Pública (LACAP), 74, 75 Inc.2, 81 RELACAP, y demás disposiciones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aplicables de la Ley de Adquisiciones y Contrataciones de la Administración Pública su Reglamento y Manual de procedimientos para el Ciclo de Gestión de Adquisiciones y Contrataciones de las Instituciones de la Administración Pública.</w:t>
      </w:r>
      <w:r w:rsidRPr="008D3FBF">
        <w:rPr>
          <w:rFonts w:ascii="Century Gothic" w:hAnsi="Century Gothic"/>
          <w:bCs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VIII.- CESIÓN.</w:t>
      </w:r>
      <w:r w:rsidRPr="008D3FBF">
        <w:rPr>
          <w:rFonts w:ascii="Century Gothic" w:hAnsi="Century Gothic"/>
          <w:b/>
          <w:i w:val="0"/>
          <w:iCs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Queda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expresamente prohibido a “EL CONSULTOR” traspasar o ceder a cualquier título los derechos y obligaciones que emanan del presente contrato. La transgresión de esta disposición dará lugar a la caducidad del contrato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hAnsi="Century Gothic"/>
          <w:b/>
          <w:i w:val="0"/>
          <w:sz w:val="22"/>
          <w:szCs w:val="22"/>
        </w:rPr>
        <w:t>I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X.- GARANTÍAS.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i w:val="0"/>
          <w:sz w:val="22"/>
          <w:szCs w:val="22"/>
        </w:rPr>
        <w:t>a)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Para garantizar el cum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plimiento de las obligaciones emanadas del presente contrato “EL CONSULTOR” deberá presentar a satisfacción de “El Contratante”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GARANTÍA DE CUMPLIMIENTO DE CONTRATO,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 w:cs="Arial"/>
          <w:i w:val="0"/>
          <w:sz w:val="22"/>
          <w:szCs w:val="22"/>
        </w:rPr>
        <w:t>Para garantizar el cumplimiento de las obligaciones emanadas del presente contrato EL CONS</w:t>
      </w:r>
      <w:r w:rsidRPr="008D3FBF">
        <w:rPr>
          <w:rFonts w:ascii="Century Gothic" w:hAnsi="Century Gothic" w:cs="Arial"/>
          <w:i w:val="0"/>
          <w:sz w:val="22"/>
          <w:szCs w:val="22"/>
        </w:rPr>
        <w:t>ULTOR se obliga a presentar a EL CONTRATANTE en un plazo no mayor de diez días hábiles contados a partir de la fecha en que EL CONSULTOR reciba copia del contrato debidamente legalizado, y la orden de inicio; una garantía de cumplimiento de contrato por un</w:t>
      </w:r>
      <w:r w:rsidRPr="008D3FBF">
        <w:rPr>
          <w:rFonts w:ascii="Century Gothic" w:hAnsi="Century Gothic" w:cs="Arial"/>
          <w:i w:val="0"/>
          <w:sz w:val="22"/>
          <w:szCs w:val="22"/>
        </w:rPr>
        <w:t xml:space="preserve"> valor de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bCs/>
          <w:i w:val="0"/>
          <w:sz w:val="22"/>
          <w:szCs w:val="22"/>
        </w:rPr>
        <w:t>DOS</w:t>
      </w:r>
      <w:r w:rsidRPr="008D3FBF">
        <w:rPr>
          <w:rFonts w:ascii="Century Gothic" w:eastAsia="Times New Roman" w:hAnsi="Century Gothic"/>
          <w:b/>
          <w:bCs/>
          <w:i w:val="0"/>
          <w:sz w:val="22"/>
          <w:szCs w:val="22"/>
          <w:lang w:val="es-ES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MIL  NOVECIENTOS CUARENTA Y CINCO DÓLARES DE LOS ESTADOS UNIDOS DE AMÉRICA (US$2,945.00)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, </w:t>
      </w:r>
      <w:r w:rsidRPr="008D3FBF">
        <w:rPr>
          <w:rFonts w:ascii="Century Gothic" w:hAnsi="Century Gothic" w:cs="Arial"/>
          <w:i w:val="0"/>
          <w:sz w:val="22"/>
          <w:szCs w:val="22"/>
        </w:rPr>
        <w:t>equivalente al diez por ciento del valor total del contrato a favor del Ministerio de Agricultura y Ganadería; dicha garantía deberá exceder en sesenta días el periodo de vigencia del contrato. Si no se presentare tal garantía en el plazo establecido se te</w:t>
      </w:r>
      <w:r w:rsidRPr="008D3FBF">
        <w:rPr>
          <w:rFonts w:ascii="Century Gothic" w:hAnsi="Century Gothic" w:cs="Arial"/>
          <w:i w:val="0"/>
          <w:sz w:val="22"/>
          <w:szCs w:val="22"/>
        </w:rPr>
        <w:t xml:space="preserve">ndrá por caducado el presente contrato y se entenderá que EL CONSULTOR ha desistido de su oferta, garantía que podrá ser emitida </w:t>
      </w:r>
      <w:r w:rsidRPr="008D3FBF">
        <w:rPr>
          <w:rFonts w:ascii="Century Gothic" w:hAnsi="Century Gothic" w:cs="Calibri Light"/>
          <w:i w:val="0"/>
          <w:sz w:val="22"/>
          <w:szCs w:val="22"/>
        </w:rPr>
        <w:t>por un banco, compañía de seguros o sociedad afianzadora debidamente autorizados por la Superintendencia del Sistema Financiero</w:t>
      </w:r>
      <w:r w:rsidRPr="008D3FBF">
        <w:rPr>
          <w:rFonts w:ascii="Century Gothic" w:hAnsi="Century Gothic" w:cs="Calibri Light"/>
          <w:i w:val="0"/>
          <w:sz w:val="22"/>
          <w:szCs w:val="22"/>
        </w:rPr>
        <w:t xml:space="preserve"> para operar </w:t>
      </w:r>
      <w:r w:rsidRPr="008D3FBF">
        <w:rPr>
          <w:rFonts w:ascii="Century Gothic" w:hAnsi="Century Gothic" w:cs="Calibri Light"/>
          <w:i w:val="0"/>
          <w:sz w:val="22"/>
          <w:szCs w:val="22"/>
        </w:rPr>
        <w:lastRenderedPageBreak/>
        <w:t>en El Salvador; se aceptarán como garantías las establecidas en la Ley del Sistema de Garantías Recíprocas de la Micro, Pequeña y Mediana Empresa Rural y Urbana; y se podrán utilizar otros instrumentos que aseguren el cumplimiento del contrato</w:t>
      </w:r>
      <w:r w:rsidRPr="008D3FBF">
        <w:rPr>
          <w:rFonts w:ascii="Century Gothic" w:hAnsi="Century Gothic" w:cs="Calibri Light"/>
          <w:i w:val="0"/>
          <w:sz w:val="22"/>
          <w:szCs w:val="22"/>
        </w:rPr>
        <w:t>, tal como lo establece el artículo treinta y dos de la LACAP, previa consulta al MAG</w:t>
      </w:r>
      <w:r w:rsidRPr="008D3FBF">
        <w:rPr>
          <w:rFonts w:ascii="Century Gothic" w:hAnsi="Century Gothic" w:cs="Calibri Light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X.- INCUMPLIMIENTO.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En caso de mora de “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EL CONSULTOR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” en el cumplimiento de las obligaciones emanadas del presente contrato se le aplicarán las multas establecidas en el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artículo ochenta y cinco de la Ley de Adquisiciones y Contrataciones de la Administración Pública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XI.- CADUCIDAD.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Serán causales de caducidad las establecidas en los literales a) y b) del artículo noventa y cuatro de la Ley de Adquisiciones y Contratacio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nes de la Administración Pública y en otras leyes vigentes.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XII.- PLAZO DE RECLAMOS.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A partir de la recepción definitiva de la consultoría objeto de este contrato. EL MAG tendrá un plazo de diez días hábiles para efectuar cualquier reclamo relacionado con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el servicio.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XIII. RESPONSABILIDAD POR DEFICIENCIAS.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Cuando el servicio mostrare alguna deficiencia, ésta será señalada por “El Contratante” al “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El Consultor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”, quien se obliga a subsanarla en un plazo no mayor de ocho días hábiles, so pena de caducidad del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contrato. Si de la deficiencia señalada u otra que se encontrare oculta, se generaren daños y perjuicios en contra de “El Contratante”, los cuales no puedan ser subsanados, serán resarcidos por “EL CONSULTOR”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hAnsi="Century Gothic" w:cs="Century Gothic"/>
          <w:b/>
          <w:i w:val="0"/>
          <w:sz w:val="22"/>
          <w:szCs w:val="22"/>
          <w:lang w:eastAsia="ar-SA"/>
        </w:rPr>
        <w:t xml:space="preserve">XII.- </w:t>
      </w:r>
      <w:r w:rsidRPr="008D3FBF">
        <w:rPr>
          <w:rFonts w:ascii="Century Gothic" w:hAnsi="Century Gothic" w:cs="Century Gothic"/>
          <w:b/>
          <w:bCs/>
          <w:i w:val="0"/>
          <w:sz w:val="22"/>
          <w:szCs w:val="22"/>
          <w:lang w:val="es-ES_tradnl"/>
        </w:rPr>
        <w:t>MODIFICACIONES, PRORROGAS Y PROHIBICION</w:t>
      </w:r>
      <w:r w:rsidRPr="008D3FBF">
        <w:rPr>
          <w:rFonts w:ascii="Century Gothic" w:hAnsi="Century Gothic" w:cs="Century Gothic"/>
          <w:b/>
          <w:bCs/>
          <w:i w:val="0"/>
          <w:sz w:val="22"/>
          <w:szCs w:val="22"/>
          <w:lang w:val="es-ES_tradnl"/>
        </w:rPr>
        <w:t>ES EN EL CONTRATO. “EL MAG”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>, podrá modificar el contrato en ejecución, de común acuerdo entre las partes, respecto del objeto, monto y plazo del mismo, siguiendo el procedimiento establecido en la LACAP. Para ello “</w:t>
      </w:r>
      <w:r w:rsidRPr="008D3FBF">
        <w:rPr>
          <w:rFonts w:ascii="Century Gothic" w:hAnsi="Century Gothic" w:cs="Century Gothic"/>
          <w:b/>
          <w:bCs/>
          <w:i w:val="0"/>
          <w:sz w:val="22"/>
          <w:szCs w:val="22"/>
          <w:lang w:val="es-ES_tradnl"/>
        </w:rPr>
        <w:t xml:space="preserve">EL MAG” 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 xml:space="preserve">autorizará la modificativa 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>mediante resolución razonada; y la correspondiente modificativa que se genere será EL MAG y por “EL CONSULTOR”, debiendo estar conforme a las condiciones establecidas en el artículo ochenta y tres-A de la LACAP, y artículo veintitrés literal k) del RELACAP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>. Si en cualquier momento durante la ejecución del Contrato “EL CONSULTOR” encontrase impedimentos para las entregas del suministro, notificará con prontitud y por escrito al MAG, e indicará la naturaleza de la demora, sus causas y su posible duración, tan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 xml:space="preserve"> pronto como sea posible. Después de recibir la notificación EL MAG, evaluará la situación y podrá prorrogar el plazo de las entregas. En este caso, la prórroga del plazo se hará mediante modificación al contrato, la cual será autorizada por EL MAG mediant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 xml:space="preserve">e resolución razonada; y la modificativa será firmada por EL MAG y “EL CONSULTOR”, de conformidad a lo establecido en los artículos 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lastRenderedPageBreak/>
        <w:t>ochenta y seis y noventa y dos inciso segundo de la LACAP, así como los artículos setenta y seis y ochenta y tres del RELACA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>P. Por otra parte, el contrato podrá prorrogarse una sola vez, por un periodo igual o menor al pactado inicialmente, para lo cual deberá seguirse lo establecido en el artículo ochenta y tres de la LACAP, así como el artículo setenta y cinco del RELACAP; di</w:t>
      </w:r>
      <w:r w:rsidRPr="008D3FBF">
        <w:rPr>
          <w:rFonts w:ascii="Century Gothic" w:hAnsi="Century Gothic" w:cs="Century Gothic"/>
          <w:bCs/>
          <w:i w:val="0"/>
          <w:sz w:val="22"/>
          <w:szCs w:val="22"/>
          <w:lang w:val="es-ES_tradnl"/>
        </w:rPr>
        <w:t>cha prórroga será autorizada mediante resolución razonada por EL MAG; y la prórroga del contrato será firmada por EL MAG y “EL CONSULTOR”. Respecto a las prohibiciones, estará a lo dispuesto en el artículo ochenta y tres-B de la LACAP.</w:t>
      </w:r>
      <w:r w:rsidRPr="008D3FBF">
        <w:rPr>
          <w:rFonts w:ascii="Century Gothic" w:hAnsi="Century Gothic" w:cs="Century Gothic"/>
          <w:i w:val="0"/>
          <w:sz w:val="22"/>
          <w:szCs w:val="22"/>
          <w:lang w:eastAsia="ar-SA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XV.- DOCUMENTOS CONT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RACTUALES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Forman parte integrante del presente contrato los siguientes documentos: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i w:val="0"/>
          <w:sz w:val="22"/>
          <w:szCs w:val="22"/>
        </w:rPr>
        <w:t>a.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Invitación a participar en el proceso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por Libre Gestión No. 089/2019-MAG, denominado “</w:t>
      </w:r>
      <w:r w:rsidRPr="008D3FBF"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 xml:space="preserve">CONSULTORÍA PARA EL </w:t>
      </w:r>
      <w:r w:rsidRPr="008D3FBF"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DiseñO y Elaboración DE una Política Integral de Seguridad de I</w:t>
      </w:r>
      <w:r w:rsidRPr="008D3FBF">
        <w:rPr>
          <w:rFonts w:ascii="Century Gothic" w:eastAsia="Times New Roman" w:hAnsi="Century Gothic" w:cs="Calibri"/>
          <w:b/>
          <w:bCs/>
          <w:i w:val="0"/>
          <w:caps/>
          <w:sz w:val="22"/>
          <w:szCs w:val="22"/>
        </w:rPr>
        <w:t>nformación con Estándares Internacionales, que incluya un Plan Estratégico, Táctico y Operativo para la Modernización de los Sistemas DE INFORMACIÓN, Redes e Infraestructura, que utilice la Seguridad de Información como Base</w:t>
      </w:r>
      <w:r w:rsidRPr="008D3FBF">
        <w:rPr>
          <w:rFonts w:ascii="Century Gothic" w:eastAsia="Times New Roman" w:hAnsi="Century Gothic" w:cs="Calibri"/>
          <w:b/>
          <w:bCs/>
          <w:i w:val="0"/>
          <w:sz w:val="22"/>
          <w:szCs w:val="22"/>
        </w:rPr>
        <w:t>”</w:t>
      </w:r>
      <w:r w:rsidRPr="008D3FBF">
        <w:rPr>
          <w:rFonts w:ascii="Century Gothic" w:hAnsi="Century Gothic"/>
          <w:i w:val="0"/>
          <w:sz w:val="22"/>
          <w:szCs w:val="22"/>
        </w:rPr>
        <w:t xml:space="preserve">; 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b.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Oferta de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“EL CONSULTOR”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p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resentada en fecha diecinueve de julio de dos mil diecinueve;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i w:val="0"/>
          <w:sz w:val="22"/>
          <w:szCs w:val="22"/>
        </w:rPr>
        <w:t>c.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Cuadro explicativo de Oferta;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i w:val="0"/>
          <w:sz w:val="22"/>
          <w:szCs w:val="22"/>
        </w:rPr>
        <w:t>d.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Garantías;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hAnsi="Century Gothic"/>
          <w:b/>
          <w:i w:val="0"/>
          <w:sz w:val="22"/>
          <w:szCs w:val="22"/>
        </w:rPr>
        <w:t>e.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Resolución modificativa; y otros documentos que emanaren del presente contrato. En caso de controversia entre estos documentos y el contrato, pr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evalecerá este último.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XVI.- INTERPRETACIÓN DEL CONTRATO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De conformidad con el artículo ochenta y cuatro incisos primero y segundo de la Ley de Adquisiciones y Contrataciones de la Administración Pública EL MAG se reserva la facultad de interpretar el pre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sente contrato de conformidad con la Constitución de la República, la Ley de Adquisiciones y Contrataciones de la Administración Pública, demás legislación aplicable y los Principios Generales del Derecho Administrativo y de la forma que más convenga al in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terés público que se pretende satisfacer de forma directa o indirecta con la prestación objeto del presente instrumento, pudiendo en tal caso girar las instrucciones por escrito que al respecto considere convenientes.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“El consultor”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expresamente acepta tal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disposición y se obliga a dar estricto cumplimiento a las instrucciones que al respecto dicte EL MAG las cuales le serán comunicadas por medio del Administrador del Contrato.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XVII.- FUERZA MAYOR O CASO FORTUITO.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En caso fortuito o fuerza mayor y de conformidad con el artículo ochenta y seis de la Ley de Adquisiciones y Contrataciones de la Administración Pública,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“El consultor”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, previa justificación y entrega de la prórroga de la garantía, cuando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lastRenderedPageBreak/>
        <w:t>proceda podrá sol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icitar una prórroga del plazo de cumplimiento de las obligaciones objeto del presente contrato. Para los efectos de este contrato, “fuerza mayor o caso fortuito” significa un evento que escapa al control de una de las partes y el cual hace que el cumplimie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nto de las obligaciones contractuales de esa parte resulte imposible o impráctico en atención a las circunstancias. Esto incluye, pero no se limita a guerra, motines, disturbios civiles, terremoto, incendio, explosión, inundación u otras condiciones climát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icas adversas, huelgas, cierres empresariales u otras acciones similares.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XVII.- SOLUCIÓN DE CONFLICTOS.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Para resolver las diferencias o conflictos que surgieren durante la ejecución del contrato, se acudirá a los tribunales comunes.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XIX.- TERMINACIÓN BILA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TERAL.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Las partes contratantes podrán de conformidad con el artículo noventa y cinco de la Ley de Adquisiciones y Contrataciones de la Administración Pública, dar por terminada bilateralmente la relación jurídica que emana del presente contrato, debiendo 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n tal caso emitirse la resolución correspondiente y otorgarse el instrumento de </w:t>
      </w:r>
      <w:proofErr w:type="spellStart"/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resciliación</w:t>
      </w:r>
      <w:proofErr w:type="spellEnd"/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en un plazo no mayor de treinta días hábiles de notificada tal resolución.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XX.- DOMICILIO ESPECIAL.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Para los efectos jurisdiccionales de este contrato las partes s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eñalan como domicilio especial el de esta ciudad a la competencia de cuyos tribunales se someten, en caso de acción judicial contra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 xml:space="preserve">“El consultor”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será depositaria de los bienes que se le embarguen la persona que EL MAG designe a quien releva de la obligac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ión de rendir fianza y cuentas, comprometiéndose a pagar los gastos ocasionados, inclusive los personales, aunque no hubiere condenación en costas</w:t>
      </w:r>
      <w:r w:rsidRPr="008D3FBF">
        <w:rPr>
          <w:rFonts w:ascii="Century Gothic" w:hAnsi="Century Gothic"/>
          <w:i w:val="0"/>
          <w:sz w:val="22"/>
          <w:szCs w:val="22"/>
        </w:rPr>
        <w:t xml:space="preserve">.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XXI.- CUMPLIMIENTO POR PARTE DEL CONSULTOR DE LA NORMATIVA QUE PROHÍBE EL TRABAJO INFANTIL Y BRINDA PROTECCI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ÓN A LA PERSONA ADOLESCENTE TRABAJADORA.</w:t>
      </w:r>
      <w:r w:rsidRPr="008D3FBF">
        <w:rPr>
          <w:rFonts w:ascii="Century Gothic" w:hAnsi="Century Gothic" w:cs="Calibri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Si durante la ejecución el contrato se comprobare por la Dirección General de Inspección de Trabajo del Ministerio de Trabajo y Previsión Social, incumplimiento por parte de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“El consultor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”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a la normativa que prohíbe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el trabajo infantil y de protección a la persona adolescente trabajadora, se deberá tramitar el procedimiento sancionatorio que dispone el artículo ciento sesenta de la Ley de Adquisiciones y Contrataciones de la Administración Pública para determinar el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cometimiento o no durante la ejecución del contrato de la conducta tipificada como causal de inhabilitación en el artículo ciento cincuenta y ocho, romano V, literal b), de la Ley de Adquisiciones y Contrataciones de la Administración Pública relativa a la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invocación de hechos falsos para obtener la adjudicación de la contratación. Se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lastRenderedPageBreak/>
        <w:t>entenderá por comprobado el incumplimiento a la normativa por parte de la Dirección General de Inspección de Trabajo si durante el trámite de re inspección se determina que hu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bo subsanación por haber cometido una infracción, o por el contrario si se remitiere a procedimiento sancionatorio, y en este último caso deberá finalizar el procedimiento para conocer la resolución final.</w:t>
      </w:r>
      <w:r w:rsidRPr="008D3FBF">
        <w:rPr>
          <w:rFonts w:ascii="Century Gothic" w:hAnsi="Century Gothic" w:cs="Calibri"/>
          <w:b/>
          <w:i w:val="0"/>
          <w:sz w:val="22"/>
          <w:szCs w:val="22"/>
          <w:lang w:val="es-ES_tradnl"/>
        </w:rPr>
        <w:t xml:space="preserve"> </w:t>
      </w:r>
      <w:r w:rsidRPr="008D3FBF">
        <w:rPr>
          <w:rFonts w:ascii="Century Gothic" w:eastAsia="Times New Roman" w:hAnsi="Century Gothic"/>
          <w:b/>
          <w:i w:val="0"/>
          <w:sz w:val="22"/>
          <w:szCs w:val="22"/>
          <w:lang w:val="es-ES"/>
        </w:rPr>
        <w:t>XXII. NOTIFICACIONES.</w:t>
      </w:r>
      <w:r w:rsidRPr="008D3FBF">
        <w:rPr>
          <w:rFonts w:ascii="Century Gothic" w:hAnsi="Century Gothic"/>
          <w:b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Todas las notificaciones ref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erentes a la ejecución de este contrato, serán válidas solamente cuando sean hechas por escrito a EL MAG a través del Administrador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del Contrato, en las oficinas de la Dirección General de Desarrollo Rural del Ministerio de Agricultura y Ganadería, ubicado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 en Final Primera Avenida Norte, Trece Calle Oriente y Avenida Manuel Enrique Araujo, Santa Tecla, departamento de La Libertad; y </w:t>
      </w:r>
      <w:r w:rsidRPr="008D3FBF">
        <w:rPr>
          <w:rFonts w:ascii="Century Gothic" w:hAnsi="Century Gothic" w:cs="Arial"/>
          <w:i w:val="0"/>
          <w:sz w:val="22"/>
          <w:szCs w:val="22"/>
          <w:lang w:val="es-ES_tradnl"/>
        </w:rPr>
        <w:t>“EL CONSULTOR”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a través de</w:t>
      </w:r>
      <w:r w:rsidRPr="008D3FBF">
        <w:rPr>
          <w:rFonts w:ascii="Century Gothic" w:hAnsi="Century Gothic"/>
          <w:i w:val="0"/>
          <w:sz w:val="22"/>
          <w:szCs w:val="22"/>
        </w:rPr>
        <w:t>l Licenciado Carlos Daniel Arias López en *******************************************, departamento d</w:t>
      </w:r>
      <w:r w:rsidRPr="008D3FBF">
        <w:rPr>
          <w:rFonts w:ascii="Century Gothic" w:hAnsi="Century Gothic"/>
          <w:i w:val="0"/>
          <w:sz w:val="22"/>
          <w:szCs w:val="22"/>
        </w:rPr>
        <w:t xml:space="preserve">e ******************************.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Así nos expresamos los otorgantes, quienes enterados y conscientes de los términos y efectos legales del presente contrato, por convenir así a los intereses de nuestros representados, ratificamos su contenido, en fe de lo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cual firmamos, en la ciudad de Santa Tecla, a los</w:t>
      </w:r>
      <w:r w:rsidRPr="008D3FBF">
        <w:rPr>
          <w:rFonts w:ascii="Century Gothic" w:hAnsi="Century Gothic"/>
          <w:i w:val="0"/>
          <w:sz w:val="22"/>
          <w:szCs w:val="22"/>
        </w:rPr>
        <w:t xml:space="preserve">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 xml:space="preserve">trece </w:t>
      </w:r>
      <w:r w:rsidRPr="008D3FBF">
        <w:rPr>
          <w:rFonts w:ascii="Century Gothic" w:eastAsia="Times New Roman" w:hAnsi="Century Gothic"/>
          <w:i w:val="0"/>
          <w:sz w:val="22"/>
          <w:szCs w:val="22"/>
          <w:lang w:val="es-ES"/>
        </w:rPr>
        <w:t>días del mes de agosto de dos mil diecinueve.</w:t>
      </w:r>
    </w:p>
    <w:p w:rsidR="00DF7C4A" w:rsidRPr="008D3FBF" w:rsidRDefault="00DF7C4A">
      <w:pPr>
        <w:pStyle w:val="Prrafodelista1"/>
        <w:spacing w:line="360" w:lineRule="auto"/>
        <w:ind w:left="0"/>
        <w:jc w:val="both"/>
        <w:rPr>
          <w:rFonts w:ascii="Century Gothic" w:eastAsia="Times New Roman" w:hAnsi="Century Gothic"/>
          <w:i w:val="0"/>
          <w:sz w:val="22"/>
          <w:szCs w:val="22"/>
          <w:lang w:val="es-ES"/>
        </w:rPr>
      </w:pPr>
    </w:p>
    <w:p w:rsidR="00DF7C4A" w:rsidRPr="008D3FBF" w:rsidRDefault="00DF7C4A">
      <w:pPr>
        <w:pStyle w:val="Prrafodelista1"/>
        <w:spacing w:line="360" w:lineRule="auto"/>
        <w:ind w:left="0"/>
        <w:jc w:val="both"/>
        <w:rPr>
          <w:rFonts w:ascii="Century Gothic" w:eastAsia="Times New Roman" w:hAnsi="Century Gothic"/>
          <w:i w:val="0"/>
          <w:sz w:val="22"/>
          <w:szCs w:val="22"/>
          <w:lang w:val="es-ES"/>
        </w:rPr>
      </w:pPr>
    </w:p>
    <w:p w:rsidR="00DF7C4A" w:rsidRPr="008D3FBF" w:rsidRDefault="008D3FBF">
      <w:pPr>
        <w:spacing w:line="276" w:lineRule="auto"/>
        <w:jc w:val="both"/>
      </w:pPr>
      <w:r w:rsidRPr="008D3FBF">
        <w:rPr>
          <w:rFonts w:ascii="Century Gothic" w:eastAsia="Calibri" w:hAnsi="Century Gothic" w:cs="Calibri"/>
          <w:sz w:val="22"/>
          <w:szCs w:val="22"/>
          <w:lang w:val="pt-BR"/>
        </w:rPr>
        <w:t>________________________________                                   ________________________________</w:t>
      </w:r>
    </w:p>
    <w:p w:rsidR="00DF7C4A" w:rsidRPr="008D3FBF" w:rsidRDefault="008D3FBF">
      <w:pPr>
        <w:jc w:val="both"/>
        <w:outlineLvl w:val="0"/>
        <w:rPr>
          <w:rFonts w:ascii="Century Gothic" w:hAnsi="Century Gothic" w:cs="Calibri"/>
          <w:b/>
          <w:sz w:val="22"/>
          <w:szCs w:val="22"/>
        </w:rPr>
      </w:pPr>
      <w:r w:rsidRPr="008D3FBF">
        <w:rPr>
          <w:rFonts w:ascii="Century Gothic" w:hAnsi="Century Gothic" w:cs="Calibri"/>
          <w:b/>
          <w:noProof/>
          <w:sz w:val="22"/>
          <w:szCs w:val="22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5B15CD9" wp14:editId="7043BC6F">
                <wp:simplePos x="0" y="0"/>
                <wp:positionH relativeFrom="column">
                  <wp:posOffset>3532505</wp:posOffset>
                </wp:positionH>
                <wp:positionV relativeFrom="paragraph">
                  <wp:posOffset>-635</wp:posOffset>
                </wp:positionV>
                <wp:extent cx="2136775" cy="588010"/>
                <wp:effectExtent l="0" t="0" r="0" b="3810"/>
                <wp:wrapNone/>
                <wp:docPr id="1" name="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240" cy="58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7C4A" w:rsidRDefault="008D3FBF">
                            <w:pPr>
                              <w:pStyle w:val="Contenidodelmarc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Palatino Linotype" w:hAnsi="Palatino Linotype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Carlos Daniel Arias López</w:t>
                            </w:r>
                          </w:p>
                          <w:p w:rsidR="00DF7C4A" w:rsidRDefault="008D3FBF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Palatino Linotype" w:hAnsi="Palatino Linotype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“EL CONSULTOR”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color w:val="000000"/>
                                <w:sz w:val="16"/>
                                <w:szCs w:val="16"/>
                                <w:lang w:val="pt-BR" w:eastAsia="en-US"/>
                              </w:rPr>
                              <w:tab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5 CuadroTexto" fillcolor="white" stroked="f" style="position:absolute;margin-left:278.15pt;margin-top:-0.05pt;width:168.15pt;height:46.2pt" wp14:anchorId="12BE594C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</w:rPr>
                        <w:t>Carlos Daniel Arias López</w:t>
                      </w:r>
                    </w:p>
                    <w:p>
                      <w:pPr>
                        <w:pStyle w:val="Contenidodelmarco"/>
                        <w:jc w:val="center"/>
                        <w:rPr/>
                      </w:pP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</w:rPr>
                        <w:t>“</w:t>
                      </w: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</w:rPr>
                        <w:t>EL CONSULTOR”</w:t>
                      </w:r>
                      <w:r>
                        <w:rPr>
                          <w:rFonts w:eastAsia="Calibri" w:cs="Arial" w:ascii="Calibri" w:hAnsi="Calibri"/>
                          <w:b/>
                          <w:color w:val="000000"/>
                          <w:sz w:val="16"/>
                          <w:szCs w:val="16"/>
                          <w:lang w:val="pt-BR" w:eastAsia="en-U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8D3FBF">
        <w:rPr>
          <w:rFonts w:ascii="Century Gothic" w:hAnsi="Century Gothic" w:cs="Calibri"/>
          <w:b/>
          <w:noProof/>
          <w:sz w:val="22"/>
          <w:szCs w:val="22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1A0D2BA" wp14:editId="41C112B2">
                <wp:simplePos x="0" y="0"/>
                <wp:positionH relativeFrom="column">
                  <wp:posOffset>-340995</wp:posOffset>
                </wp:positionH>
                <wp:positionV relativeFrom="paragraph">
                  <wp:posOffset>52070</wp:posOffset>
                </wp:positionV>
                <wp:extent cx="2710180" cy="1024255"/>
                <wp:effectExtent l="0" t="0" r="0" b="5715"/>
                <wp:wrapNone/>
                <wp:docPr id="3" name="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720" cy="102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7C4A" w:rsidRDefault="008D3FBF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Palatino Linotype" w:hAnsi="Palatino Linotype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Rolando Alfredo Martínez Pineda</w:t>
                            </w:r>
                          </w:p>
                          <w:p w:rsidR="00DF7C4A" w:rsidRDefault="008D3FBF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Palatino Linotype" w:hAnsi="Palatino Linotype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Autorizado por Acuerdo Ejecutivo en el Ramo de Agricultura </w:t>
                            </w:r>
                            <w:r>
                              <w:rPr>
                                <w:rFonts w:ascii="Palatino Linotype" w:hAnsi="Palatino Linotype" w:cs="Calibri"/>
                                <w:b/>
                                <w:color w:val="000000"/>
                                <w:sz w:val="18"/>
                                <w:szCs w:val="18"/>
                                <w:lang w:val="es-SV"/>
                              </w:rPr>
                              <w:t>y Ganadería Nº 223, de fecha 4 de junio de 2019</w:t>
                            </w:r>
                          </w:p>
                          <w:p w:rsidR="00DF7C4A" w:rsidRDefault="008D3FBF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    </w:t>
                            </w:r>
                          </w:p>
                          <w:p w:rsidR="00DF7C4A" w:rsidRDefault="008D3FBF">
                            <w:pPr>
                              <w:pStyle w:val="NormalWeb"/>
                              <w:spacing w:before="280" w:beforeAutospacing="0" w:after="280" w:afterAutospacing="0"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i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5 CuadroTexto" fillcolor="white" stroked="f" style="position:absolute;margin-left:-26.85pt;margin-top:4.1pt;width:213.3pt;height:80.55pt" wp14:anchorId="67A77ED0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idodelmarco"/>
                        <w:jc w:val="center"/>
                        <w:rPr/>
                      </w:pP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</w:rPr>
                        <w:t>Rolando Alfredo Martínez Pineda</w:t>
                      </w:r>
                    </w:p>
                    <w:p>
                      <w:pPr>
                        <w:pStyle w:val="Contenidodelmarco"/>
                        <w:jc w:val="center"/>
                        <w:rPr/>
                      </w:pP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</w:rPr>
                        <w:t xml:space="preserve">Autorizado por Acuerdo Ejecutivo en el Ramo de Agricultura </w:t>
                      </w:r>
                      <w:r>
                        <w:rPr>
                          <w:rFonts w:cs="Calibri" w:ascii="Palatino Linotype" w:hAnsi="Palatino Linotype"/>
                          <w:b/>
                          <w:color w:val="000000"/>
                          <w:sz w:val="18"/>
                          <w:szCs w:val="18"/>
                          <w:lang w:val="es-SV"/>
                        </w:rPr>
                        <w:t>y Ganadería Nº 223, de fecha 4 de junio de 2019</w:t>
                      </w:r>
                    </w:p>
                    <w:p>
                      <w:pPr>
                        <w:pStyle w:val="NormalWeb"/>
                        <w:jc w:val="center"/>
                        <w:rPr/>
                      </w:pPr>
                      <w:r>
                        <w:rPr>
                          <w:rFonts w:eastAsia="Calibri" w:cs="Arial" w:ascii="Calibri" w:hAnsi="Calibri"/>
                          <w:b/>
                          <w:iCs/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spacing w:beforeAutospacing="0" w:before="280" w:afterAutospacing="0" w:after="280"/>
                        <w:jc w:val="center"/>
                        <w:rPr/>
                      </w:pPr>
                      <w:r>
                        <w:rPr>
                          <w:rFonts w:eastAsia="Calibri" w:cs="Arial" w:ascii="Calibri" w:hAnsi="Calibri"/>
                          <w:b/>
                          <w:iCs/>
                          <w:color w:val="000000"/>
                          <w:sz w:val="16"/>
                          <w:szCs w:val="16"/>
                          <w:lang w:eastAsia="en-US"/>
                        </w:rPr>
                        <w:t xml:space="preserve">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F7C4A" w:rsidRPr="008D3FBF" w:rsidRDefault="00DF7C4A">
      <w:pPr>
        <w:jc w:val="both"/>
        <w:outlineLvl w:val="0"/>
        <w:rPr>
          <w:rFonts w:ascii="Century Gothic" w:hAnsi="Century Gothic" w:cs="Calibri"/>
          <w:b/>
          <w:sz w:val="22"/>
          <w:szCs w:val="22"/>
        </w:rPr>
      </w:pPr>
    </w:p>
    <w:p w:rsidR="00DF7C4A" w:rsidRDefault="00DF7C4A">
      <w:pPr>
        <w:jc w:val="both"/>
        <w:outlineLvl w:val="0"/>
        <w:rPr>
          <w:rFonts w:ascii="Century Gothic" w:hAnsi="Century Gothic" w:cs="Calibri"/>
          <w:b/>
          <w:sz w:val="22"/>
          <w:szCs w:val="22"/>
        </w:rPr>
      </w:pPr>
    </w:p>
    <w:p w:rsidR="00DF7C4A" w:rsidRDefault="00DF7C4A">
      <w:pPr>
        <w:jc w:val="both"/>
        <w:outlineLvl w:val="0"/>
        <w:rPr>
          <w:rFonts w:ascii="Century Gothic" w:hAnsi="Century Gothic" w:cs="Calibri"/>
          <w:b/>
          <w:sz w:val="22"/>
          <w:szCs w:val="22"/>
        </w:rPr>
      </w:pPr>
    </w:p>
    <w:p w:rsidR="00DF7C4A" w:rsidRDefault="00DF7C4A">
      <w:pPr>
        <w:widowControl w:val="0"/>
        <w:spacing w:line="276" w:lineRule="auto"/>
        <w:jc w:val="center"/>
        <w:rPr>
          <w:rFonts w:cs="Arial"/>
          <w:b/>
          <w:bCs/>
          <w:color w:val="0000FF"/>
        </w:rPr>
      </w:pPr>
    </w:p>
    <w:p w:rsidR="00DF7C4A" w:rsidRDefault="00DF7C4A">
      <w:pPr>
        <w:widowControl w:val="0"/>
        <w:spacing w:line="276" w:lineRule="auto"/>
        <w:jc w:val="center"/>
        <w:rPr>
          <w:rFonts w:cs="Arial"/>
          <w:b/>
          <w:bCs/>
          <w:color w:val="0000FF"/>
        </w:rPr>
      </w:pPr>
    </w:p>
    <w:p w:rsidR="00DF7C4A" w:rsidRDefault="00DF7C4A">
      <w:pPr>
        <w:widowControl w:val="0"/>
        <w:spacing w:line="276" w:lineRule="auto"/>
        <w:jc w:val="center"/>
        <w:rPr>
          <w:rFonts w:cs="Arial"/>
          <w:b/>
          <w:bCs/>
          <w:color w:val="0000FF"/>
        </w:rPr>
      </w:pPr>
    </w:p>
    <w:p w:rsidR="00DF7C4A" w:rsidRDefault="00DF7C4A">
      <w:pPr>
        <w:widowControl w:val="0"/>
        <w:spacing w:line="276" w:lineRule="auto"/>
        <w:jc w:val="center"/>
        <w:rPr>
          <w:rFonts w:cs="Arial"/>
          <w:b/>
          <w:bCs/>
          <w:color w:val="0000FF"/>
        </w:rPr>
      </w:pPr>
      <w:bookmarkStart w:id="3" w:name="_GoBack"/>
      <w:bookmarkEnd w:id="3"/>
    </w:p>
    <w:p w:rsidR="00DF7C4A" w:rsidRDefault="008D3FBF">
      <w:pPr>
        <w:widowControl w:val="0"/>
        <w:spacing w:line="276" w:lineRule="auto"/>
        <w:jc w:val="center"/>
        <w:rPr>
          <w:rFonts w:ascii="Arial" w:hAnsi="Arial" w:cs="Arial Negrita Cursiva"/>
          <w:i/>
          <w:iCs/>
          <w:color w:val="0000FF"/>
          <w:sz w:val="20"/>
          <w:szCs w:val="20"/>
        </w:rPr>
      </w:pPr>
      <w:r>
        <w:rPr>
          <w:rFonts w:ascii="Arial" w:hAnsi="Arial" w:cs="Arial Negrita Cursiva"/>
          <w:i/>
          <w:iCs/>
          <w:color w:val="0000FF"/>
          <w:sz w:val="20"/>
          <w:szCs w:val="20"/>
        </w:rPr>
        <w:t>Versión Pública de información confidencial Art. 30 LAIP</w:t>
      </w:r>
    </w:p>
    <w:p w:rsidR="00DF7C4A" w:rsidRDefault="008D3FBF">
      <w:pPr>
        <w:spacing w:line="264" w:lineRule="auto"/>
        <w:ind w:left="180"/>
        <w:jc w:val="center"/>
        <w:outlineLvl w:val="0"/>
        <w:rPr>
          <w:rFonts w:ascii="Arial" w:hAnsi="Arial" w:cs="Arial Negrita Cursiva"/>
          <w:b/>
          <w:i/>
          <w:iCs/>
          <w:color w:val="0000FF"/>
          <w:sz w:val="20"/>
          <w:szCs w:val="20"/>
        </w:rPr>
      </w:pPr>
      <w:bookmarkStart w:id="4" w:name="__DdeLink__3289_12575509621"/>
      <w:bookmarkStart w:id="5" w:name="__DdeLink__2948_4561098851"/>
      <w:r>
        <w:rPr>
          <w:rFonts w:ascii="Arial" w:hAnsi="Arial" w:cs="Arial Negrita Cursiva"/>
          <w:b/>
          <w:i/>
          <w:iCs/>
          <w:color w:val="0000FF"/>
          <w:sz w:val="20"/>
          <w:szCs w:val="20"/>
        </w:rPr>
        <w:t xml:space="preserve">(La información suprimida es de carácter </w:t>
      </w:r>
      <w:r>
        <w:rPr>
          <w:rFonts w:ascii="Arial" w:hAnsi="Arial" w:cs="Arial Negrita Cursiva"/>
          <w:b/>
          <w:i/>
          <w:iCs/>
          <w:color w:val="0000FF"/>
          <w:sz w:val="21"/>
          <w:szCs w:val="21"/>
        </w:rPr>
        <w:t>confidencial</w:t>
      </w:r>
      <w:r>
        <w:rPr>
          <w:rFonts w:ascii="Arial" w:hAnsi="Arial" w:cs="Arial Negrita Cursiva"/>
          <w:b/>
          <w:i/>
          <w:iCs/>
          <w:color w:val="0000FF"/>
          <w:sz w:val="20"/>
          <w:szCs w:val="20"/>
        </w:rPr>
        <w:t xml:space="preserve"> conforme a los artículos 6 letra “a” y 24 </w:t>
      </w:r>
      <w:proofErr w:type="gramStart"/>
      <w:r>
        <w:rPr>
          <w:rFonts w:ascii="Arial" w:hAnsi="Arial" w:cs="Arial Negrita Cursiva"/>
          <w:b/>
          <w:i/>
          <w:iCs/>
          <w:color w:val="0000FF"/>
          <w:sz w:val="20"/>
          <w:szCs w:val="20"/>
        </w:rPr>
        <w:t>letra</w:t>
      </w:r>
      <w:proofErr w:type="gramEnd"/>
      <w:r>
        <w:rPr>
          <w:rFonts w:ascii="Arial" w:hAnsi="Arial" w:cs="Arial Negrita Cursiva"/>
          <w:b/>
          <w:i/>
          <w:iCs/>
          <w:color w:val="0000FF"/>
          <w:sz w:val="20"/>
          <w:szCs w:val="20"/>
        </w:rPr>
        <w:t xml:space="preserve"> “c” de la Ley del Acceso a la Información Pública</w:t>
      </w:r>
      <w:bookmarkEnd w:id="4"/>
      <w:bookmarkEnd w:id="5"/>
    </w:p>
    <w:p w:rsidR="00DF7C4A" w:rsidRDefault="00DF7C4A">
      <w:pPr>
        <w:spacing w:line="264" w:lineRule="auto"/>
        <w:ind w:left="180"/>
        <w:jc w:val="center"/>
        <w:outlineLvl w:val="0"/>
        <w:rPr>
          <w:rFonts w:ascii="Century Gothic" w:hAnsi="Century Gothic" w:cs="Century Gothic"/>
          <w:b/>
          <w:sz w:val="22"/>
          <w:szCs w:val="22"/>
          <w:lang w:eastAsia="ar-SA"/>
        </w:rPr>
      </w:pPr>
    </w:p>
    <w:sectPr w:rsidR="00DF7C4A">
      <w:footerReference w:type="default" r:id="rId7"/>
      <w:pgSz w:w="12240" w:h="15840"/>
      <w:pgMar w:top="1417" w:right="1183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3FBF">
      <w:r>
        <w:separator/>
      </w:r>
    </w:p>
  </w:endnote>
  <w:endnote w:type="continuationSeparator" w:id="0">
    <w:p w:rsidR="00000000" w:rsidRDefault="008D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th C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variable"/>
  </w:font>
  <w:font w:name="Times New Roman PSMT">
    <w:altName w:val="Times New Roman"/>
    <w:charset w:val="00"/>
    <w:family w:val="roman"/>
    <w:pitch w:val="variable"/>
  </w:font>
  <w:font w:name="Arial Negrita Cursiva">
    <w:panose1 w:val="020B070402020209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33833"/>
      <w:docPartObj>
        <w:docPartGallery w:val="Page Numbers (Bottom of Page)"/>
        <w:docPartUnique/>
      </w:docPartObj>
    </w:sdtPr>
    <w:sdtEndPr/>
    <w:sdtContent>
      <w:p w:rsidR="00DF7C4A" w:rsidRDefault="008D3FBF">
        <w:pPr>
          <w:pStyle w:val="Piedep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3FBF">
      <w:r>
        <w:separator/>
      </w:r>
    </w:p>
  </w:footnote>
  <w:footnote w:type="continuationSeparator" w:id="0">
    <w:p w:rsidR="00000000" w:rsidRDefault="008D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4A"/>
    <w:rsid w:val="008D3FBF"/>
    <w:rsid w:val="00D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7A975F-C84B-4F77-9D76-CEBA6152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es-S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750"/>
    <w:rPr>
      <w:rFonts w:ascii="Times New Roman" w:eastAsia="Times New Roman" w:hAnsi="Times New Roman" w:cs="Times New Roman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jc w:val="center"/>
      <w:outlineLvl w:val="0"/>
    </w:pPr>
    <w:rPr>
      <w:b/>
      <w:bCs/>
      <w:lang w:eastAsia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1080"/>
      <w:jc w:val="center"/>
      <w:outlineLvl w:val="1"/>
    </w:pPr>
    <w:rPr>
      <w:b/>
      <w:bCs/>
      <w:lang w:eastAsia="ar-SA"/>
    </w:rPr>
  </w:style>
  <w:style w:type="paragraph" w:styleId="Ttulo3">
    <w:name w:val="heading 3"/>
    <w:basedOn w:val="Normal"/>
    <w:next w:val="Normal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jc w:val="center"/>
      <w:outlineLvl w:val="4"/>
    </w:pPr>
    <w:rPr>
      <w:rFonts w:ascii="Arial" w:hAnsi="Arial" w:cs="Arial"/>
      <w:b/>
      <w:bCs/>
      <w:i/>
      <w:iCs/>
      <w:sz w:val="16"/>
      <w:szCs w:val="1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uiPriority w:val="99"/>
    <w:semiHidden/>
    <w:qFormat/>
    <w:rsid w:val="00F327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link w:val="Textoindependiente"/>
    <w:uiPriority w:val="99"/>
    <w:qFormat/>
    <w:locked/>
    <w:rsid w:val="00F32750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qFormat/>
    <w:rsid w:val="00CB3AAD"/>
    <w:rPr>
      <w:rFonts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331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3319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3319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Car">
    <w:name w:val="Título Car"/>
    <w:basedOn w:val="Fuentedeprrafopredeter"/>
    <w:link w:val="Ttulo"/>
    <w:qFormat/>
    <w:rsid w:val="00F26D01"/>
    <w:rPr>
      <w:rFonts w:ascii="Arial Narrow" w:eastAsia="Times New Roman" w:hAnsi="Arial Narrow" w:cs="Times New Roman"/>
      <w:b/>
      <w:bCs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269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269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istLabel27">
    <w:name w:val="ListLabel 27"/>
    <w:qFormat/>
    <w:rPr>
      <w:i w:val="0"/>
    </w:rPr>
  </w:style>
  <w:style w:type="character" w:customStyle="1" w:styleId="ListLabel26">
    <w:name w:val="ListLabel 26"/>
    <w:qFormat/>
    <w:rPr>
      <w:rFonts w:ascii="Century Gothic" w:hAnsi="Century Gothic"/>
      <w:sz w:val="20"/>
      <w:u w:val="none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4">
    <w:name w:val="ListLabel 24"/>
    <w:qFormat/>
    <w:rPr>
      <w:rFonts w:ascii="Century Gothic" w:hAnsi="Century Gothic"/>
      <w:sz w:val="20"/>
      <w:u w:val="none"/>
    </w:rPr>
  </w:style>
  <w:style w:type="character" w:customStyle="1" w:styleId="ListLabel23">
    <w:name w:val="ListLabel 23"/>
    <w:qFormat/>
    <w:rPr>
      <w:rFonts w:ascii="Century Gothic" w:hAnsi="Century Gothic" w:cs="Palatino Linotype"/>
      <w:color w:val="auto"/>
      <w:sz w:val="20"/>
      <w:szCs w:val="20"/>
      <w:highlight w:val="yellow"/>
      <w:u w:val="none"/>
    </w:rPr>
  </w:style>
  <w:style w:type="character" w:customStyle="1" w:styleId="ListLabel22">
    <w:name w:val="ListLabel 22"/>
    <w:qFormat/>
    <w:rPr>
      <w:rFonts w:ascii="Century Gothic" w:hAnsi="Century Gothic"/>
      <w:sz w:val="20"/>
      <w:u w:val="none"/>
    </w:rPr>
  </w:style>
  <w:style w:type="character" w:customStyle="1" w:styleId="ListLabel21">
    <w:name w:val="ListLabel 21"/>
    <w:qFormat/>
    <w:rPr>
      <w:rFonts w:ascii="Century Gothic" w:hAnsi="Century Gothic" w:cs="Palatino Linotype"/>
      <w:color w:val="auto"/>
      <w:sz w:val="20"/>
      <w:szCs w:val="20"/>
      <w:highlight w:val="yellow"/>
      <w:u w:val="none"/>
    </w:rPr>
  </w:style>
  <w:style w:type="character" w:customStyle="1" w:styleId="ListLabel20">
    <w:name w:val="ListLabel 20"/>
    <w:qFormat/>
    <w:rPr>
      <w:rFonts w:ascii="Century Gothic" w:hAnsi="Century Gothic"/>
      <w:sz w:val="20"/>
      <w:u w:val="none"/>
    </w:rPr>
  </w:style>
  <w:style w:type="character" w:customStyle="1" w:styleId="ListLabel19">
    <w:name w:val="ListLabel 19"/>
    <w:qFormat/>
    <w:rPr>
      <w:rFonts w:ascii="Century Gothic" w:hAnsi="Century Gothic" w:cs="Palatino Linotype"/>
      <w:color w:val="auto"/>
      <w:sz w:val="20"/>
      <w:szCs w:val="20"/>
      <w:highlight w:val="yellow"/>
      <w:u w:val="none"/>
    </w:rPr>
  </w:style>
  <w:style w:type="character" w:customStyle="1" w:styleId="ListLabel18">
    <w:name w:val="ListLabel 18"/>
    <w:qFormat/>
    <w:rPr>
      <w:rFonts w:ascii="Century Gothic" w:hAnsi="Century Gothic"/>
      <w:sz w:val="20"/>
      <w:u w:val="none"/>
    </w:rPr>
  </w:style>
  <w:style w:type="character" w:customStyle="1" w:styleId="ListLabel17">
    <w:name w:val="ListLabel 17"/>
    <w:qFormat/>
    <w:rPr>
      <w:rFonts w:ascii="Century Gothic" w:hAnsi="Century Gothic" w:cs="Palatino Linotype"/>
      <w:color w:val="auto"/>
      <w:sz w:val="20"/>
      <w:szCs w:val="20"/>
      <w:highlight w:val="yellow"/>
      <w:u w:val="none"/>
    </w:rPr>
  </w:style>
  <w:style w:type="character" w:customStyle="1" w:styleId="ListLabel16">
    <w:name w:val="ListLabel 16"/>
    <w:qFormat/>
    <w:rPr>
      <w:rFonts w:ascii="Century Gothic" w:hAnsi="Century Gothic"/>
      <w:sz w:val="20"/>
      <w:u w:val="none"/>
    </w:rPr>
  </w:style>
  <w:style w:type="character" w:customStyle="1" w:styleId="ListLabel15">
    <w:name w:val="ListLabel 15"/>
    <w:qFormat/>
    <w:rPr>
      <w:rFonts w:ascii="Century Gothic" w:hAnsi="Century Gothic" w:cs="Palatino Linotype"/>
      <w:color w:val="auto"/>
      <w:sz w:val="20"/>
      <w:szCs w:val="20"/>
      <w:u w:val="none"/>
    </w:rPr>
  </w:style>
  <w:style w:type="character" w:customStyle="1" w:styleId="ListLabel14">
    <w:name w:val="ListLabel 14"/>
    <w:qFormat/>
    <w:rPr>
      <w:rFonts w:ascii="Century Gothic" w:hAnsi="Century Gothic"/>
      <w:sz w:val="20"/>
      <w:u w:val="none"/>
    </w:rPr>
  </w:style>
  <w:style w:type="character" w:customStyle="1" w:styleId="ListLabel13">
    <w:name w:val="ListLabel 13"/>
    <w:qFormat/>
    <w:rPr>
      <w:rFonts w:ascii="Century Gothic" w:hAnsi="Century Gothic" w:cs="Palatino Linotype"/>
      <w:color w:val="auto"/>
      <w:sz w:val="20"/>
      <w:szCs w:val="20"/>
      <w:u w:val="none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1">
    <w:name w:val="ListLabel 1"/>
    <w:qFormat/>
    <w:rPr>
      <w:rFonts w:ascii="Century Gothic" w:hAnsi="Century Gothic"/>
      <w:sz w:val="20"/>
      <w:u w:val="none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object">
    <w:name w:val="object"/>
    <w:basedOn w:val="Fuentedeprrafopredeter"/>
    <w:qFormat/>
  </w:style>
  <w:style w:type="character" w:customStyle="1" w:styleId="Textoindependiente2Car">
    <w:name w:val="Texto independiente 2 Car"/>
    <w:basedOn w:val="Fuentedeprrafopredeter"/>
    <w:qFormat/>
    <w:rPr>
      <w:rFonts w:ascii="Bookman Old Style" w:hAnsi="Bookman Old Style" w:cs="Bookman Old Style"/>
      <w:i/>
      <w:iCs/>
      <w:sz w:val="20"/>
      <w:szCs w:val="20"/>
      <w:lang w:val="es-ES" w:eastAsia="ar-SA" w:bidi="ar-SA"/>
    </w:rPr>
  </w:style>
  <w:style w:type="character" w:customStyle="1" w:styleId="Sangra2detindependienteCar">
    <w:name w:val="Sangría 2 de t. independiente Car"/>
    <w:basedOn w:val="Fuentedeprrafopredeter"/>
    <w:qFormat/>
    <w:rPr>
      <w:rFonts w:ascii="Bookman Old Style" w:hAnsi="Bookman Old Style" w:cs="Bookman Old Style"/>
      <w:i/>
      <w:iCs/>
      <w:sz w:val="20"/>
      <w:szCs w:val="20"/>
      <w:lang w:val="es-ES" w:eastAsia="ar-SA" w:bidi="ar-SA"/>
    </w:rPr>
  </w:style>
  <w:style w:type="character" w:customStyle="1" w:styleId="TextonotapieCar">
    <w:name w:val="Texto nota pie Car"/>
    <w:basedOn w:val="Fuentedeprrafopredeter"/>
    <w:qFormat/>
    <w:rPr>
      <w:rFonts w:ascii="Bookman Old Style" w:hAnsi="Bookman Old Style" w:cs="Bookman Old Style"/>
      <w:i/>
      <w:iCs/>
      <w:sz w:val="20"/>
      <w:szCs w:val="20"/>
      <w:lang w:val="es-ES" w:eastAsia="ar-SA" w:bidi="ar-SA"/>
    </w:rPr>
  </w:style>
  <w:style w:type="character" w:customStyle="1" w:styleId="SangradetextonormalCar">
    <w:name w:val="Sangría de texto normal Car"/>
    <w:basedOn w:val="Fuentedeprrafopredeter"/>
    <w:qFormat/>
    <w:rPr>
      <w:rFonts w:ascii="Times New Roman" w:hAnsi="Times New Roman" w:cs="Times New Roman"/>
      <w:sz w:val="20"/>
      <w:szCs w:val="20"/>
      <w:lang w:val="es-ES" w:eastAsia="ar-SA" w:bidi="ar-SA"/>
    </w:rPr>
  </w:style>
  <w:style w:type="character" w:customStyle="1" w:styleId="Ttulo5Car">
    <w:name w:val="Título 5 Car"/>
    <w:basedOn w:val="Fuentedeprrafopredeter"/>
    <w:qFormat/>
    <w:rPr>
      <w:rFonts w:ascii="Arial" w:hAnsi="Arial" w:cs="Arial"/>
      <w:b/>
      <w:bCs/>
      <w:i/>
      <w:iCs/>
      <w:sz w:val="20"/>
      <w:szCs w:val="20"/>
      <w:lang w:val="es-ES" w:eastAsia="ar-SA" w:bidi="ar-SA"/>
    </w:rPr>
  </w:style>
  <w:style w:type="character" w:customStyle="1" w:styleId="Ttulo3Car">
    <w:name w:val="Título 3 Car"/>
    <w:basedOn w:val="Fuentedeprrafopredeter"/>
    <w:qFormat/>
    <w:rPr>
      <w:rFonts w:ascii="Cambria" w:hAnsi="Cambria" w:cs="Cambria"/>
      <w:b/>
      <w:bCs/>
      <w:color w:val="4F81BD"/>
      <w:sz w:val="24"/>
      <w:szCs w:val="24"/>
      <w:lang w:eastAsia="es-SV"/>
    </w:rPr>
  </w:style>
  <w:style w:type="character" w:customStyle="1" w:styleId="Ttulo2Car">
    <w:name w:val="Título 2 Car"/>
    <w:basedOn w:val="Fuentedeprrafopredeter"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tulo1Car">
    <w:name w:val="Título 1 Car"/>
    <w:basedOn w:val="Fuentedeprrafopredeter"/>
    <w:qFormat/>
    <w:rPr>
      <w:rFonts w:ascii="Times New Roman" w:hAnsi="Times New Roman" w:cs="Times New Roman"/>
      <w:b/>
      <w:bCs/>
      <w:sz w:val="20"/>
      <w:szCs w:val="20"/>
      <w:lang w:val="es-ES" w:eastAsia="ar-SA" w:bidi="ar-SA"/>
    </w:rPr>
  </w:style>
  <w:style w:type="paragraph" w:customStyle="1" w:styleId="Ttulo">
    <w:name w:val="Título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F32750"/>
    <w:pPr>
      <w:spacing w:after="120"/>
    </w:pPr>
    <w:rPr>
      <w:szCs w:val="20"/>
      <w:lang w:val="en-U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rsid w:val="00F26D01"/>
    <w:pPr>
      <w:jc w:val="center"/>
    </w:pPr>
    <w:rPr>
      <w:rFonts w:ascii="Arial Narrow" w:hAnsi="Arial Narrow"/>
      <w:b/>
      <w:bCs/>
      <w:sz w:val="22"/>
    </w:rPr>
  </w:style>
  <w:style w:type="paragraph" w:customStyle="1" w:styleId="Prrafodelista1">
    <w:name w:val="Párrafo de lista1"/>
    <w:basedOn w:val="Normal"/>
    <w:qFormat/>
    <w:rsid w:val="00F32750"/>
    <w:pPr>
      <w:ind w:left="720"/>
      <w:contextualSpacing/>
    </w:pPr>
    <w:rPr>
      <w:rFonts w:ascii="Math C" w:eastAsia="Calibri" w:hAnsi="Math C"/>
      <w:i/>
      <w:lang w:val="es-SV"/>
    </w:rPr>
  </w:style>
  <w:style w:type="paragraph" w:styleId="NormalWeb">
    <w:name w:val="Normal (Web)"/>
    <w:basedOn w:val="Normal"/>
    <w:uiPriority w:val="99"/>
    <w:unhideWhenUsed/>
    <w:qFormat/>
    <w:rsid w:val="00994F52"/>
    <w:pPr>
      <w:spacing w:beforeAutospacing="1" w:afterAutospacing="1"/>
    </w:pPr>
    <w:rPr>
      <w:rFonts w:eastAsiaTheme="minorEastAsia"/>
      <w:lang w:val="es-SV" w:eastAsia="es-SV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33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3319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33199"/>
    <w:rPr>
      <w:rFonts w:ascii="Segoe UI" w:hAnsi="Segoe UI" w:cs="Segoe UI"/>
      <w:sz w:val="18"/>
      <w:szCs w:val="18"/>
    </w:rPr>
  </w:style>
  <w:style w:type="paragraph" w:customStyle="1" w:styleId="Head21">
    <w:name w:val="Head 2.1"/>
    <w:basedOn w:val="Normal"/>
    <w:qFormat/>
    <w:rsid w:val="00A4591B"/>
    <w:pPr>
      <w:suppressAutoHyphens/>
      <w:jc w:val="center"/>
    </w:pPr>
    <w:rPr>
      <w:rFonts w:ascii="Times New Roman Bold" w:hAnsi="Times New Roman Bold" w:cs="Times New Roman Bold"/>
      <w:b/>
      <w:color w:val="00000A"/>
      <w:szCs w:val="20"/>
      <w:lang w:val="en-US" w:eastAsia="ar-SA"/>
    </w:rPr>
  </w:style>
  <w:style w:type="paragraph" w:styleId="Encabezado">
    <w:name w:val="header"/>
    <w:basedOn w:val="Normal"/>
    <w:link w:val="EncabezadoCar"/>
    <w:uiPriority w:val="99"/>
    <w:unhideWhenUsed/>
    <w:rsid w:val="003269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326999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Vickyc2">
    <w:name w:val="Vickyc[2]"/>
    <w:basedOn w:val="Normal"/>
    <w:qFormat/>
    <w:pPr>
      <w:widowControl w:val="0"/>
    </w:pPr>
    <w:rPr>
      <w:rFonts w:eastAsia="Calibri"/>
      <w:i/>
      <w:iCs/>
      <w:sz w:val="20"/>
      <w:szCs w:val="20"/>
      <w:lang w:val="en-US"/>
    </w:rPr>
  </w:style>
  <w:style w:type="paragraph" w:customStyle="1" w:styleId="Default">
    <w:name w:val="Default"/>
    <w:qFormat/>
    <w:pPr>
      <w:widowControl w:val="0"/>
    </w:pPr>
    <w:rPr>
      <w:rFonts w:ascii="Times New Roman PSMT" w:eastAsia="Times New Roman" w:hAnsi="Times New Roman PSMT" w:cs="Times New Roman PSMT"/>
      <w:color w:val="000000"/>
      <w:kern w:val="0"/>
      <w:sz w:val="24"/>
      <w:lang w:val="es-ES" w:eastAsia="es-ES" w:bidi="ar-SA"/>
    </w:rPr>
  </w:style>
  <w:style w:type="paragraph" w:styleId="Listaconvietas4">
    <w:name w:val="List Bullet 4"/>
    <w:basedOn w:val="Normal"/>
    <w:qFormat/>
    <w:pPr>
      <w:ind w:left="1080" w:hanging="360"/>
    </w:pPr>
    <w:rPr>
      <w:i/>
      <w:iCs/>
    </w:rPr>
  </w:style>
  <w:style w:type="paragraph" w:styleId="Listaconvietas3">
    <w:name w:val="List Bullet 3"/>
    <w:basedOn w:val="Normal"/>
    <w:qFormat/>
    <w:pPr>
      <w:ind w:left="566" w:hanging="283"/>
    </w:pPr>
    <w:rPr>
      <w:rFonts w:ascii="Arial" w:hAnsi="Arial" w:cs="Arial"/>
      <w:i/>
      <w:iCs/>
      <w:sz w:val="22"/>
      <w:szCs w:val="22"/>
      <w:lang w:eastAsia="es-MX"/>
    </w:rPr>
  </w:style>
  <w:style w:type="paragraph" w:styleId="Textoindependiente2">
    <w:name w:val="Body Text 2"/>
    <w:basedOn w:val="Normal"/>
    <w:qFormat/>
    <w:pPr>
      <w:spacing w:after="120" w:line="480" w:lineRule="auto"/>
    </w:pPr>
    <w:rPr>
      <w:rFonts w:ascii="Bookman Old Style" w:hAnsi="Bookman Old Style" w:cs="Bookman Old Style"/>
      <w:i/>
      <w:iCs/>
      <w:lang w:eastAsia="ar-SA"/>
    </w:rPr>
  </w:style>
  <w:style w:type="paragraph" w:styleId="Prrafodelista">
    <w:name w:val="List Paragraph"/>
    <w:basedOn w:val="Normal"/>
    <w:qFormat/>
    <w:pPr>
      <w:ind w:left="708"/>
    </w:pPr>
    <w:rPr>
      <w:i/>
      <w:iCs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  <w:rPr>
      <w:rFonts w:ascii="Bookman Old Style" w:hAnsi="Bookman Old Style" w:cs="Bookman Old Style"/>
      <w:i/>
      <w:iCs/>
      <w:lang w:eastAsia="ar-SA"/>
    </w:rPr>
  </w:style>
  <w:style w:type="paragraph" w:styleId="Textonotapie">
    <w:name w:val="footnote text"/>
    <w:basedOn w:val="Normal"/>
    <w:pPr>
      <w:jc w:val="both"/>
    </w:pPr>
    <w:rPr>
      <w:rFonts w:ascii="Bookman Old Style" w:hAnsi="Bookman Old Style" w:cs="Bookman Old Style"/>
      <w:i/>
      <w:iCs/>
      <w:sz w:val="20"/>
      <w:szCs w:val="20"/>
      <w:lang w:eastAsia="ar-SA"/>
    </w:rPr>
  </w:style>
  <w:style w:type="paragraph" w:styleId="Sangradetextonormal">
    <w:name w:val="Body Text Indent"/>
    <w:basedOn w:val="Normal"/>
    <w:pPr>
      <w:ind w:left="2124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C2BC-B637-40C3-9BD6-124F4424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3489</Words>
  <Characters>19195</Characters>
  <Application>Microsoft Office Word</Application>
  <DocSecurity>0</DocSecurity>
  <Lines>159</Lines>
  <Paragraphs>45</Paragraphs>
  <ScaleCrop>false</ScaleCrop>
  <Company/>
  <LinksUpToDate>false</LinksUpToDate>
  <CharactersWithSpaces>22639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jcalderon</dc:creator>
  <dc:description/>
  <cp:lastModifiedBy>Sara Gonzalez</cp:lastModifiedBy>
  <cp:revision>14</cp:revision>
  <dcterms:created xsi:type="dcterms:W3CDTF">2019-08-19T17:18:00Z</dcterms:created>
  <dcterms:modified xsi:type="dcterms:W3CDTF">2019-10-04T02:14:00Z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