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6F" w:rsidRDefault="009F6F6F">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-443753</wp:posOffset>
                </wp:positionV>
                <wp:extent cx="6589059" cy="475129"/>
                <wp:effectExtent l="0" t="0" r="21590" b="20320"/>
                <wp:wrapNone/>
                <wp:docPr id="1" name="1 Cuadro de texto"/>
                <wp:cNvGraphicFramePr/>
                <a:graphic xmlns:a="http://schemas.openxmlformats.org/drawingml/2006/main">
                  <a:graphicData uri="http://schemas.microsoft.com/office/word/2010/wordprocessingShape">
                    <wps:wsp>
                      <wps:cNvSpPr txBox="1"/>
                      <wps:spPr>
                        <a:xfrm>
                          <a:off x="0" y="0"/>
                          <a:ext cx="6589059" cy="47512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F6F6F" w:rsidRPr="009F6F6F" w:rsidRDefault="009F6F6F">
                            <w:pPr>
                              <w:rPr>
                                <w:color w:val="FF0000"/>
                              </w:rPr>
                            </w:pPr>
                            <w:r w:rsidRPr="009F6F6F">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2pt;margin-top:-34.95pt;width:518.8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" fillcolor="white [3201]" strokecolor="white [3212]" strokeweight=".5pt">
                <v:textbox>
                  <w:txbxContent>
                    <w:p w:rsidR="009F6F6F" w:rsidRPr="009F6F6F" w:rsidRDefault="009F6F6F">
                      <w:pPr>
                        <w:rPr>
                          <w:color w:val="FF0000"/>
                        </w:rPr>
                      </w:pPr>
                      <w:r w:rsidRPr="009F6F6F">
                        <w:rPr>
                          <w:color w:val="FF0000"/>
                        </w:rPr>
                        <w:t>Versión Pública creada en razón de proteger datos personales, conforme al Art. 30 de la Ley de Acceso a la Información Pública.</w:t>
                      </w:r>
                    </w:p>
                  </w:txbxContent>
                </v:textbox>
              </v:shape>
            </w:pict>
          </mc:Fallback>
        </mc:AlternateContent>
      </w:r>
    </w:p>
    <w:p w:rsidR="009F6F6F" w:rsidRDefault="009F6F6F"/>
    <w:p w:rsidR="00D806A5" w:rsidRPr="00E4545A" w:rsidRDefault="00445FA3">
      <w:r w:rsidRPr="00E4545A">
        <w:t>"SERVICIO DE MANTENIMIENTO PREVENTIVO Y CORRECTIVO DE SERVIDOR IBM DEL CUERPO DE BOMBEROS DEL EL SALVADOR, DEPENDENCIA DEL MINISTERIO DE GOBERNACION Y DESARROLLO TERRITORIAL"</w:t>
      </w:r>
    </w:p>
    <w:p w:rsidR="00D806A5" w:rsidRDefault="00445FA3" w:rsidP="00E4545A">
      <w:pPr>
        <w:jc w:val="center"/>
      </w:pPr>
      <w:r w:rsidRPr="00E4545A">
        <w:t>No. MG-014/2019.</w:t>
      </w:r>
      <w:bookmarkStart w:id="0" w:name="_GoBack"/>
      <w:bookmarkEnd w:id="0"/>
    </w:p>
    <w:p w:rsidR="00E4545A" w:rsidRDefault="00E4545A"/>
    <w:p w:rsidR="00D806A5" w:rsidRDefault="00445FA3">
      <w:r>
        <w:t xml:space="preserve">Nosotros, PATRICIA MARGARITA FLORES DE VÁSQUEZ, de </w:t>
      </w:r>
      <w:r w:rsidR="00E4545A">
        <w:t>______________</w:t>
      </w:r>
      <w:r>
        <w:t xml:space="preserve"> de edad, Abogada y Notaría, de este domicilio, con Documento Único de Identidad número </w:t>
      </w:r>
      <w:r w:rsidR="00E4545A">
        <w:t>_____________</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denominaré EL MINISTERIO; y RAFAEL GONZALEZ ZEPEDA, de </w:t>
      </w:r>
      <w:r w:rsidR="00E4545A">
        <w:t>_________________</w:t>
      </w:r>
      <w:r>
        <w:t xml:space="preserve"> de edad, Ejecutivo Empresarial, del domicilio </w:t>
      </w:r>
      <w:r w:rsidR="00E4545A">
        <w:t>______________________</w:t>
      </w:r>
      <w:r>
        <w:t xml:space="preserve">, con Documento Único de Identidad número </w:t>
      </w:r>
      <w:r w:rsidR="00E4545A">
        <w:t>______________________________</w:t>
      </w:r>
      <w:r>
        <w:t xml:space="preserve">, y Número de Identificación Tributaria </w:t>
      </w:r>
      <w:r w:rsidR="00E4545A">
        <w:t>______________________________</w:t>
      </w:r>
      <w:r>
        <w:t>, actuando en mi calidad de Apoderado General Administrativo y Judicial con Limitante de la Sociedad GBM DE EL SALVADOR, SOCIEDAD ANÓNIMA DE CAPITAL VARIABLE, que puede abreviarse GBM DE EL SALVADOR, S.A, DE C.V., del domicilio de San Salvador, Departamento de San Salvador, con Número de Identificación Tributaria cero seiscientos catorce - ciento ochenta y un mil ciento noventa y uno - ciento uno - seis; personería que acredito con: Copia Certificada por Notario de Escritura Pública de Poder General Administrativo y Judicial con Limitante, otorgado a mi favor y de otro, a las once horas del día seis de enero del año dos mil dieciséis, ante los oficios notariales de Ricardo Augusto Cevallos Cortez, e inscrito en el Registro de Comercio bajo el número DIEZ del Libro MIL SETECIENTOS TREINTA Y OCHO del Registro de Otros Contratos Mercantiles,</w:t>
      </w:r>
    </w:p>
    <w:p w:rsidR="00D806A5" w:rsidRDefault="00445FA3">
      <w:r>
        <w:t xml:space="preserve">el día ocho de enero del año dos mil dieciséis, otorgado por Edgardo José Ortiz Godoy, en su calidad de Ejecutor Especial de los Acuerdos tomados por la Junta General Ordinaria de Accionistas de la Sociedad GBM DE EL SALVADOR, S.A. DE C.V., por lo que en dicho Poder se encuentra debidamente acreditada la </w:t>
      </w:r>
      <w:r>
        <w:lastRenderedPageBreak/>
        <w:t>existencia de la personería jurídica de la Sociedad, por así dar fe de ello el Notario al haberla tenido a la vista y a través del mismo se me confieren las suficientes facultades para comparecer a otorgar actos como el que ampara este instrumento, que en lo sucesivo me denominaré "EL CONTRATISTA", convenimos en celebrar y al efecto así lo hacemos, con base en el proceso de LIBRE GESTION denominado "SERVICIO DE MANTENIMIENTO PREVENTIVO Y CORRECTIVO DE SERVIDOR IBM DEL CUERPO DE BOMBEROS DE EL SALVADOR, DEPENDENCIA DEL MINISTERIO DE GOBERNACION Y DESARROLLO TERRITORIAL", promovido por el Ministerio de Gobernación y Desarrollo Territorial, y en la Recomendación de Adjudicación de fecha quince de marzo dos mil diecinueve, emitida por el Comité de Evaluación de Ofertas del referido proceso, y suscrito por el Ingeniero José Antonio Miranda Galdámez, dándole cumplimiento al Acuerdo Número UNO, expedido por el Órgano Ejecutivo en el Ramo de Gobernación y Desarrollo Territorial, con fecha tres de enero de dos mil diecinueve, el siguiente Contrato de "SERVICIO DE MANTENIMIENTO PREVENTIVO Y CORRECTIVO DE SERVIDOR IBM DEL CUERPO DE BOMBEROS DE EL SALVADOR, DEPENDENCIA DEL MINISTERIO DE GOBERNACION Y DESARROLLO TERRITORIAL", de conformidad a la Constitución de la República, a la Ley de Adquisiciones y Contrataciones de la Administración Pública, que en adelante se denominará LACAP, a su Reglamento, y en especial a las condiciones, obligaciones, pactos y renuncias siguientes: CLAUSULA PRIMERA: OBTETO DEL CONTRATO: EL CONTRATISTA se compromete a proporcionar a EL MINISTERIO, el servicio de Mantenimiento Preventivo y Correctivo de Servidor IBM del Cuerpo de Bomberos de El Salvador, Dependencia del Ministerio de Gobernación y Desarrollo Territorial, de acuerdo al siguiente detalle: OCHO SERVICIOS de mantenimiento preventivo y correctivo de Servidor IBM 7380E 1U, Serie KQ366GK, Express X3500 M3, Cobertura 24x7. 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w:t>
      </w:r>
    </w:p>
    <w:p w:rsidR="00D806A5" w:rsidRDefault="00445FA3">
      <w:proofErr w:type="gramStart"/>
      <w:r>
        <w:t>Contrataciones Institucional</w:t>
      </w:r>
      <w:proofErr w:type="gramEnd"/>
      <w:r>
        <w:t xml:space="preserve"> (UACI), las omisiones o acciones incorrectas en la ejecución del mismo. CLAUSULA SEGUNDA: DOCUMENTOS CONTRACTUALES. Los documentos a</w:t>
      </w:r>
    </w:p>
    <w:p w:rsidR="00D806A5" w:rsidRDefault="00445FA3">
      <w:r>
        <w:t xml:space="preserve">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w:t>
      </w:r>
      <w:r>
        <w:lastRenderedPageBreak/>
        <w:t>Recomendación de Adjudicación antes citada; d) Las adendas y las resoluciones modificativas, en su caso; e) El Acuerdo Número DIECISEIS de Nombramiento de Administrador de Contrato, emitido por el Órgano Ejecutivo en el Ramo de Gobernación y Desarrollo Territorial, en fecha dos de abril de dos mil diecinueve; f) La Garantía de Cumplimiento de Contrato; y g) Cualquier otro documento que emanare del presente instrumento. En caso de controversia entre estos documentos y el contrato prevalecerá este último. CLAUSULA TERCERA: PLAZO Y VIGENCIA DEL CONTRATO. El plazo para la prestación del servicio será a partir del uno de mayo de dos mil diecinueve previa emisión de la Orden de Inicio girada por el Administrador del Contrato, hasta el treinta y uno de diciembre de dos mil diecinueve.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CLAUSULA CUARTA: PRECIO Y FORMA DE PAGO. El precio total a cancelar por la prestación del servicio objeto del presente Contrato es de hasta TRES MIL SEISCIENTOS OCHENTA Y CINCO 00/100 DOLARES DE LOS ESTADOS UNIDOS DE AMERICA (US$3,685.00), valor que incluye el Impuesto a la Transferencia de Bienes Muebles y a la Prestación de Servicios (IVA), según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9"/>
        <w:gridCol w:w="1133"/>
        <w:gridCol w:w="3826"/>
        <w:gridCol w:w="1133"/>
        <w:gridCol w:w="1997"/>
      </w:tblGrid>
      <w:tr w:rsidR="00D806A5">
        <w:trPr>
          <w:trHeight w:val="576"/>
        </w:trPr>
        <w:tc>
          <w:tcPr>
            <w:tcW w:w="859" w:type="dxa"/>
            <w:tcBorders>
              <w:top w:val="single" w:sz="4" w:space="0" w:color="auto"/>
              <w:left w:val="single" w:sz="4" w:space="0" w:color="auto"/>
            </w:tcBorders>
            <w:shd w:val="clear" w:color="auto" w:fill="FFFFFF"/>
            <w:vAlign w:val="center"/>
          </w:tcPr>
          <w:p w:rsidR="00D806A5" w:rsidRDefault="00445FA3">
            <w:r>
              <w:t>CANT.</w:t>
            </w:r>
          </w:p>
        </w:tc>
        <w:tc>
          <w:tcPr>
            <w:tcW w:w="1133" w:type="dxa"/>
            <w:tcBorders>
              <w:top w:val="single" w:sz="4" w:space="0" w:color="auto"/>
              <w:left w:val="single" w:sz="4" w:space="0" w:color="auto"/>
            </w:tcBorders>
            <w:shd w:val="clear" w:color="auto" w:fill="FFFFFF"/>
            <w:vAlign w:val="bottom"/>
          </w:tcPr>
          <w:p w:rsidR="00D806A5" w:rsidRDefault="00445FA3">
            <w:r>
              <w:t>UNIDAD</w:t>
            </w:r>
          </w:p>
          <w:p w:rsidR="00D806A5" w:rsidRDefault="00445FA3">
            <w:r>
              <w:t>DE</w:t>
            </w:r>
          </w:p>
          <w:p w:rsidR="00D806A5" w:rsidRDefault="00445FA3">
            <w:r>
              <w:t>MEDIDA</w:t>
            </w:r>
          </w:p>
        </w:tc>
        <w:tc>
          <w:tcPr>
            <w:tcW w:w="3826" w:type="dxa"/>
            <w:tcBorders>
              <w:top w:val="single" w:sz="4" w:space="0" w:color="auto"/>
              <w:left w:val="single" w:sz="4" w:space="0" w:color="auto"/>
            </w:tcBorders>
            <w:shd w:val="clear" w:color="auto" w:fill="FFFFFF"/>
            <w:vAlign w:val="center"/>
          </w:tcPr>
          <w:p w:rsidR="00D806A5" w:rsidRDefault="00445FA3">
            <w:r>
              <w:t>DESCRIPCION DEL PRODUCTO</w:t>
            </w:r>
          </w:p>
        </w:tc>
        <w:tc>
          <w:tcPr>
            <w:tcW w:w="1133" w:type="dxa"/>
            <w:tcBorders>
              <w:top w:val="single" w:sz="4" w:space="0" w:color="auto"/>
              <w:left w:val="single" w:sz="4" w:space="0" w:color="auto"/>
            </w:tcBorders>
            <w:shd w:val="clear" w:color="auto" w:fill="FFFFFF"/>
            <w:vAlign w:val="bottom"/>
          </w:tcPr>
          <w:p w:rsidR="00D806A5" w:rsidRDefault="00445FA3">
            <w:r>
              <w:t>PRECIO</w:t>
            </w:r>
          </w:p>
          <w:p w:rsidR="00D806A5" w:rsidRDefault="00445FA3">
            <w:r>
              <w:t>MENSUAL</w:t>
            </w:r>
          </w:p>
        </w:tc>
        <w:tc>
          <w:tcPr>
            <w:tcW w:w="1997" w:type="dxa"/>
            <w:tcBorders>
              <w:top w:val="single" w:sz="4" w:space="0" w:color="auto"/>
              <w:left w:val="single" w:sz="4" w:space="0" w:color="auto"/>
              <w:right w:val="single" w:sz="4" w:space="0" w:color="auto"/>
            </w:tcBorders>
            <w:shd w:val="clear" w:color="auto" w:fill="FFFFFF"/>
            <w:vAlign w:val="bottom"/>
          </w:tcPr>
          <w:p w:rsidR="00D806A5" w:rsidRDefault="00445FA3">
            <w:pPr>
              <w:ind w:left="360" w:hanging="360"/>
            </w:pPr>
            <w:r>
              <w:t>TOTAL 8 SERVICIOS PREVENTIVO C/IVA (US$)</w:t>
            </w:r>
          </w:p>
        </w:tc>
      </w:tr>
      <w:tr w:rsidR="00D806A5">
        <w:trPr>
          <w:trHeight w:val="610"/>
        </w:trPr>
        <w:tc>
          <w:tcPr>
            <w:tcW w:w="859" w:type="dxa"/>
            <w:tcBorders>
              <w:top w:val="single" w:sz="4" w:space="0" w:color="auto"/>
              <w:left w:val="single" w:sz="4" w:space="0" w:color="auto"/>
            </w:tcBorders>
            <w:shd w:val="clear" w:color="auto" w:fill="FFFFFF"/>
            <w:vAlign w:val="center"/>
          </w:tcPr>
          <w:p w:rsidR="00D806A5" w:rsidRDefault="00445FA3">
            <w:r>
              <w:t>8</w:t>
            </w:r>
          </w:p>
        </w:tc>
        <w:tc>
          <w:tcPr>
            <w:tcW w:w="1133" w:type="dxa"/>
            <w:tcBorders>
              <w:top w:val="single" w:sz="4" w:space="0" w:color="auto"/>
              <w:left w:val="single" w:sz="4" w:space="0" w:color="auto"/>
            </w:tcBorders>
            <w:shd w:val="clear" w:color="auto" w:fill="FFFFFF"/>
            <w:vAlign w:val="center"/>
          </w:tcPr>
          <w:p w:rsidR="00D806A5" w:rsidRDefault="00445FA3">
            <w:r>
              <w:t>SERVICIO</w:t>
            </w:r>
          </w:p>
        </w:tc>
        <w:tc>
          <w:tcPr>
            <w:tcW w:w="3826" w:type="dxa"/>
            <w:tcBorders>
              <w:top w:val="single" w:sz="4" w:space="0" w:color="auto"/>
              <w:left w:val="single" w:sz="4" w:space="0" w:color="auto"/>
            </w:tcBorders>
            <w:shd w:val="clear" w:color="auto" w:fill="FFFFFF"/>
          </w:tcPr>
          <w:p w:rsidR="00D806A5" w:rsidRDefault="00445FA3">
            <w:r>
              <w:t>Mantenimiento preventivo y correctivo de Servidor IBM 7380E1 U, Serie: KQ366GK, Express X3500 M3 Cobertura 24X7.</w:t>
            </w:r>
          </w:p>
        </w:tc>
        <w:tc>
          <w:tcPr>
            <w:tcW w:w="1133" w:type="dxa"/>
            <w:tcBorders>
              <w:top w:val="single" w:sz="4" w:space="0" w:color="auto"/>
              <w:left w:val="single" w:sz="4" w:space="0" w:color="auto"/>
            </w:tcBorders>
            <w:shd w:val="clear" w:color="auto" w:fill="FFFFFF"/>
            <w:vAlign w:val="center"/>
          </w:tcPr>
          <w:p w:rsidR="00D806A5" w:rsidRDefault="00445FA3">
            <w:r>
              <w:t>$ 314.91</w:t>
            </w:r>
          </w:p>
        </w:tc>
        <w:tc>
          <w:tcPr>
            <w:tcW w:w="1997" w:type="dxa"/>
            <w:tcBorders>
              <w:top w:val="single" w:sz="4" w:space="0" w:color="auto"/>
              <w:left w:val="single" w:sz="4" w:space="0" w:color="auto"/>
              <w:right w:val="single" w:sz="4" w:space="0" w:color="auto"/>
            </w:tcBorders>
            <w:shd w:val="clear" w:color="auto" w:fill="FFFFFF"/>
            <w:vAlign w:val="center"/>
          </w:tcPr>
          <w:p w:rsidR="00D806A5" w:rsidRDefault="00445FA3">
            <w:r>
              <w:t>$ 2,519.28</w:t>
            </w:r>
          </w:p>
        </w:tc>
      </w:tr>
      <w:tr w:rsidR="00D806A5">
        <w:trPr>
          <w:trHeight w:val="206"/>
        </w:trPr>
        <w:tc>
          <w:tcPr>
            <w:tcW w:w="859" w:type="dxa"/>
            <w:tcBorders>
              <w:top w:val="single" w:sz="4" w:space="0" w:color="auto"/>
              <w:left w:val="single" w:sz="4" w:space="0" w:color="auto"/>
            </w:tcBorders>
            <w:shd w:val="clear" w:color="auto" w:fill="FFFFFF"/>
          </w:tcPr>
          <w:p w:rsidR="00D806A5" w:rsidRDefault="00D806A5">
            <w:pPr>
              <w:rPr>
                <w:sz w:val="10"/>
                <w:szCs w:val="10"/>
              </w:rPr>
            </w:pPr>
          </w:p>
        </w:tc>
        <w:tc>
          <w:tcPr>
            <w:tcW w:w="1133" w:type="dxa"/>
            <w:tcBorders>
              <w:top w:val="single" w:sz="4" w:space="0" w:color="auto"/>
              <w:left w:val="single" w:sz="4" w:space="0" w:color="auto"/>
            </w:tcBorders>
            <w:shd w:val="clear" w:color="auto" w:fill="FFFFFF"/>
          </w:tcPr>
          <w:p w:rsidR="00D806A5" w:rsidRDefault="00D806A5">
            <w:pPr>
              <w:rPr>
                <w:sz w:val="10"/>
                <w:szCs w:val="10"/>
              </w:rPr>
            </w:pPr>
          </w:p>
        </w:tc>
        <w:tc>
          <w:tcPr>
            <w:tcW w:w="4959" w:type="dxa"/>
            <w:gridSpan w:val="2"/>
            <w:tcBorders>
              <w:top w:val="single" w:sz="4" w:space="0" w:color="auto"/>
              <w:left w:val="single" w:sz="4" w:space="0" w:color="auto"/>
            </w:tcBorders>
            <w:shd w:val="clear" w:color="auto" w:fill="FFFFFF"/>
            <w:vAlign w:val="bottom"/>
          </w:tcPr>
          <w:p w:rsidR="00D806A5" w:rsidRDefault="00445FA3">
            <w:r>
              <w:t>TOTAL MANTENIMIENTO CORRECTIVO HASTA</w:t>
            </w:r>
          </w:p>
        </w:tc>
        <w:tc>
          <w:tcPr>
            <w:tcW w:w="1997" w:type="dxa"/>
            <w:tcBorders>
              <w:top w:val="single" w:sz="4" w:space="0" w:color="auto"/>
              <w:left w:val="single" w:sz="4" w:space="0" w:color="auto"/>
              <w:right w:val="single" w:sz="4" w:space="0" w:color="auto"/>
            </w:tcBorders>
            <w:shd w:val="clear" w:color="auto" w:fill="FFFFFF"/>
            <w:vAlign w:val="bottom"/>
          </w:tcPr>
          <w:p w:rsidR="00D806A5" w:rsidRDefault="00445FA3">
            <w:r>
              <w:t>$ 1,165.72</w:t>
            </w:r>
          </w:p>
        </w:tc>
      </w:tr>
      <w:tr w:rsidR="00D806A5">
        <w:trPr>
          <w:trHeight w:val="211"/>
        </w:trPr>
        <w:tc>
          <w:tcPr>
            <w:tcW w:w="859" w:type="dxa"/>
            <w:tcBorders>
              <w:top w:val="single" w:sz="4" w:space="0" w:color="auto"/>
              <w:left w:val="single" w:sz="4" w:space="0" w:color="auto"/>
              <w:bottom w:val="single" w:sz="4" w:space="0" w:color="auto"/>
            </w:tcBorders>
            <w:shd w:val="clear" w:color="auto" w:fill="FFFFFF"/>
          </w:tcPr>
          <w:p w:rsidR="00D806A5" w:rsidRDefault="00D806A5">
            <w:pPr>
              <w:rPr>
                <w:sz w:val="10"/>
                <w:szCs w:val="10"/>
              </w:rPr>
            </w:pPr>
          </w:p>
        </w:tc>
        <w:tc>
          <w:tcPr>
            <w:tcW w:w="1133" w:type="dxa"/>
            <w:tcBorders>
              <w:top w:val="single" w:sz="4" w:space="0" w:color="auto"/>
              <w:left w:val="single" w:sz="4" w:space="0" w:color="auto"/>
              <w:bottom w:val="single" w:sz="4" w:space="0" w:color="auto"/>
            </w:tcBorders>
            <w:shd w:val="clear" w:color="auto" w:fill="FFFFFF"/>
          </w:tcPr>
          <w:p w:rsidR="00D806A5" w:rsidRDefault="00D806A5">
            <w:pPr>
              <w:rPr>
                <w:sz w:val="10"/>
                <w:szCs w:val="10"/>
              </w:rPr>
            </w:pPr>
          </w:p>
        </w:tc>
        <w:tc>
          <w:tcPr>
            <w:tcW w:w="4959" w:type="dxa"/>
            <w:gridSpan w:val="2"/>
            <w:tcBorders>
              <w:top w:val="single" w:sz="4" w:space="0" w:color="auto"/>
              <w:left w:val="single" w:sz="4" w:space="0" w:color="auto"/>
              <w:bottom w:val="single" w:sz="4" w:space="0" w:color="auto"/>
            </w:tcBorders>
            <w:shd w:val="clear" w:color="auto" w:fill="FFFFFF"/>
            <w:vAlign w:val="bottom"/>
          </w:tcPr>
          <w:p w:rsidR="00D806A5" w:rsidRDefault="00445FA3">
            <w:r>
              <w:t>TOTAL</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bottom"/>
          </w:tcPr>
          <w:p w:rsidR="00D806A5" w:rsidRDefault="00445FA3">
            <w:r>
              <w:t>$3,685.00</w:t>
            </w:r>
          </w:p>
        </w:tc>
      </w:tr>
    </w:tbl>
    <w:p w:rsidR="00D806A5" w:rsidRDefault="00445FA3">
      <w:r>
        <w:t>Para el Mantenimiento Preventivo el pago se realizará de forma mensual, posterior a la emisión del Acta de Recepción por el Administrador del Contrato, para el Mantenimiento Correctivo de acuerdo a las necesidades requeridas por el Administrador de Contrato. Dicho monto será</w:t>
      </w:r>
    </w:p>
    <w:p w:rsidR="00D806A5" w:rsidRDefault="00445FA3">
      <w:r>
        <w:t xml:space="preserve">cancelado por EL MINISTERIO, a través de la Unidad Financiera Institucional, dentro de un plazo de sesenta (60) días después de haber retirado el Quedan correspondiente, previa presentación de Factura de Consumidor Final según corresponda o del Comprobante de Crédito Fiscal a nombre de Fondo de Actividades </w:t>
      </w:r>
      <w:r>
        <w:lastRenderedPageBreak/>
        <w:t>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CLAUSULA QUINTA: PROVISIÓN DE PAGO. El gasto indicado será cancelado con cargo a la disponibilidad presupuestaria certificada por la Unidad Financiera Institucional para el presente proceso. CLAUSULA SEXTA: OBLIGACIONES DE EL CONTRATISTA.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En todo caso EL CONTRATISTA garantizará la calidad del servicio que preste, debiendo estar éste, conforme a la Oferta Técnica económica del Contratista y a las especificaciones técnicas requeridas en los Términos de Referencia. CLÁUSULA SÉPTIMA: COMPROMISOS DE EL MINISTERIO Y PLAZO DE RECLAMOS.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servicio, omisiones o acciones incorrectas, el respectivo Administrador del Contrato formulará por escrito a EL CONTRATISTA posteriormente a la verificación del incumplimiento, el reclamo respectivo y pedirá la correcta ejecución del servicio de acuerdo a lo pactado contractualmente, lo cual deberá realizarse en un período máximo de cinco 5 días calendario posteriores a la notificación, salvo</w:t>
      </w:r>
    </w:p>
    <w:p w:rsidR="00D806A5" w:rsidRDefault="00445FA3">
      <w:proofErr w:type="gramStart"/>
      <w:r>
        <w:t>razones</w:t>
      </w:r>
      <w:proofErr w:type="gramEnd"/>
      <w:r>
        <w:t xml:space="preserve"> de caso fortuito o fuerza mayor, caso contrario se </w:t>
      </w:r>
      <w:r>
        <w:lastRenderedPageBreak/>
        <w:t>tendrá por incumplido el Contrato y se procederá de acuerdo a lo establecido en los incisos segundo y tercero del artículo 121 de la LACAP. CLAUSULA OCTAVA: GARANTÍA DE CUMPLIMIENTO DE CONTRATO. Dentro</w:t>
      </w:r>
    </w:p>
    <w:p w:rsidR="00D806A5" w:rsidRDefault="00445FA3">
      <w:r>
        <w:t>de los diez (10) días hábiles siguientes a la notificación de la legalización del Contrato, EL CONTRATISTA deberá presentar a favor de EL MINISTERIO, en la Unidad de Adquisiciones y Contrataciones Institucional (UACI), la Garantía de Cumplimiento de Contrato, por un valor de</w:t>
      </w:r>
    </w:p>
    <w:p w:rsidR="00D806A5" w:rsidRDefault="00445FA3">
      <w:r>
        <w:t xml:space="preserve">TRESCIENTOS SESENTA Y OCHO 50/100 DOLARES DE LOS ESTADOS UNIDOS DE AMÉRICA (US$368.50) equivalente al diez por ciento (10%) del valor total del Contrato, para asegurar el cumplimiento de todas las obligaciones emanadas del mismo, la cual deberá estar vigente a partir de la fecha de su presentación hasta un mínimo de treinta días posteriores a su vigencia, contados a partir de la notificación de la Legalización del contrato. CLAUSULA NOVENA: ADMINISTRADOR DEL CONTRATO: La administración del presente contrato según Acuerdo Número DIECISEIS, antes citado, estará a cargo del Mayor JOSÉ JOAQUÍN PARADA JURADO, Director del Cuerpo de Bomberos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w:t>
      </w:r>
      <w:r>
        <w:lastRenderedPageBreak/>
        <w:t>contratista las garantías correspondientes; g) Gestionar ante la UACI las órdenes de cambio o modificaciones a los contratos, una vez identificada tal necesidad; h) Gestionar los reclamos al contratista relacionados con fallas o desperfectos en obras,</w:t>
      </w:r>
    </w:p>
    <w:p w:rsidR="00D806A5" w:rsidRDefault="00445FA3">
      <w:pPr>
        <w:tabs>
          <w:tab w:val="left" w:pos="1710"/>
        </w:tabs>
      </w:pPr>
      <w:proofErr w:type="gramStart"/>
      <w:r>
        <w:t>bienes</w:t>
      </w:r>
      <w:proofErr w:type="gramEnd"/>
      <w:r>
        <w:t xml:space="preserve">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CLÁUSULA DECIMA: SANCIONES.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 CLÁUSULA DÉCIMA PRIMERA: MODIFICACIÓN Y/O PRÓRROGA.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w:t>
      </w:r>
      <w:r>
        <w:tab/>
        <w:t>86 y 92 de dicha ley y a los Artículos 23 literal k) y 75 del mencionado</w:t>
      </w:r>
    </w:p>
    <w:p w:rsidR="00D806A5" w:rsidRDefault="00445FA3">
      <w:r>
        <w:t xml:space="preserve">Reglamento. CLÁUSULA DÉCIMA SEGUNDA: CASO FORTUITO Y FUERZA MAYOR.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w:t>
      </w:r>
      <w:r>
        <w:lastRenderedPageBreak/>
        <w:t>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CLÁUSULA DÉCIMA TERCERA: CESIÓN. Queda prohibido a EL CONTRATISTA traspasar o ceder a cualquier título los derechos y obligaciones que emanan del</w:t>
      </w:r>
    </w:p>
    <w:p w:rsidR="00D806A5" w:rsidRDefault="00445FA3">
      <w:pPr>
        <w:tabs>
          <w:tab w:val="left" w:pos="7105"/>
        </w:tabs>
      </w:pPr>
      <w:proofErr w:type="gramStart"/>
      <w:r>
        <w:t>presente</w:t>
      </w:r>
      <w:proofErr w:type="gramEnd"/>
      <w:r>
        <w:t xml:space="preserv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CLÁUSULA DÉCIMA QUINTA:</w:t>
      </w:r>
      <w:r>
        <w:tab/>
        <w:t>SOLUCIÓN DE</w:t>
      </w:r>
    </w:p>
    <w:p w:rsidR="00D806A5" w:rsidRDefault="00445FA3">
      <w:pPr>
        <w:tabs>
          <w:tab w:val="right" w:pos="9058"/>
        </w:tabs>
      </w:pPr>
      <w:r>
        <w:t xml:space="preserve">CONFLICTOS.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CLÁUSULA DÉCIMA SEXTA: TERMINACIÓN DEL CONTRATO.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w:t>
      </w:r>
      <w:r w:rsidR="008E2331">
        <w:t>LACAP. CLÁUSULA DÉCIMA SEPTIMA:</w:t>
      </w:r>
      <w:r>
        <w:t>LEGISLACIÓN</w:t>
      </w:r>
    </w:p>
    <w:p w:rsidR="00D806A5" w:rsidRDefault="00445FA3">
      <w:r>
        <w:lastRenderedPageBreak/>
        <w:t xml:space="preserve">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w:t>
      </w:r>
      <w:r w:rsidR="006F6D47">
        <w:t>de (</w:t>
      </w:r>
      <w:r>
        <w:t>l) (la) contratista a la normativa que prohíbe el trabajo infantil y de protección de la persona adolescente trabajadora, se deberá tramitar el procedimiento sancionatorio que dispone el artículo 160 de la LACAP para determinar el</w:t>
      </w:r>
    </w:p>
    <w:p w:rsidR="00D806A5" w:rsidRDefault="00445FA3">
      <w:r>
        <w:t>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Calle Loma Linda N° 246, Colonia San Benito, San Salvador. En fe de lo cual firmamos el presente Contrato, en la ciudad de San Salvador, a los nueve días del mes de abril de dos mil diecinueve.</w:t>
      </w:r>
    </w:p>
    <w:p w:rsidR="006F6D47" w:rsidRDefault="006F6D47"/>
    <w:p w:rsidR="00D806A5" w:rsidRDefault="00445FA3">
      <w:r>
        <w:t>PATRICIA MARGARITA FLORES DE VÁSQUEZ EL MINISTERIO</w:t>
      </w:r>
    </w:p>
    <w:p w:rsidR="00D806A5" w:rsidRDefault="00445FA3">
      <w:r>
        <w:t>RAFAEL GONZALEZ ZEPEDA GBM DE EL SALVADOR, S.A DE C.V.</w:t>
      </w:r>
    </w:p>
    <w:p w:rsidR="00D806A5" w:rsidRDefault="00445FA3">
      <w:r>
        <w:t>EL CONTRATISTA</w:t>
      </w:r>
    </w:p>
    <w:sectPr w:rsidR="00D806A5">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81" w:rsidRDefault="00F14881">
      <w:r>
        <w:separator/>
      </w:r>
    </w:p>
  </w:endnote>
  <w:endnote w:type="continuationSeparator" w:id="0">
    <w:p w:rsidR="00F14881" w:rsidRDefault="00F1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81" w:rsidRDefault="00F14881"/>
  </w:footnote>
  <w:footnote w:type="continuationSeparator" w:id="0">
    <w:p w:rsidR="00F14881" w:rsidRDefault="00F148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806A5"/>
    <w:rsid w:val="001B08AF"/>
    <w:rsid w:val="00445FA3"/>
    <w:rsid w:val="006F6D47"/>
    <w:rsid w:val="007E2B08"/>
    <w:rsid w:val="008E2331"/>
    <w:rsid w:val="009F6F6F"/>
    <w:rsid w:val="00D806A5"/>
    <w:rsid w:val="00E4545A"/>
    <w:rsid w:val="00F148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3258</Words>
  <Characters>17924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5</cp:revision>
  <dcterms:created xsi:type="dcterms:W3CDTF">2019-05-06T15:43:00Z</dcterms:created>
  <dcterms:modified xsi:type="dcterms:W3CDTF">2019-05-07T19:48:00Z</dcterms:modified>
</cp:coreProperties>
</file>