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53D" w:rsidRPr="00561029" w:rsidRDefault="00FD253D" w:rsidP="00FD253D">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FD253D" w:rsidRDefault="00FD253D" w:rsidP="00FD253D">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FD253D" w:rsidRDefault="00FD253D" w:rsidP="00FD253D">
      <w:pPr>
        <w:jc w:val="center"/>
        <w:rPr>
          <w:rFonts w:ascii="Calibri Light" w:hAnsi="Calibri Light" w:cs="Arial"/>
          <w:b/>
          <w:bCs/>
          <w:color w:val="1B1B1B"/>
          <w:sz w:val="22"/>
          <w:szCs w:val="22"/>
        </w:rPr>
      </w:pPr>
    </w:p>
    <w:p w:rsidR="00FD253D" w:rsidRPr="00FD253D" w:rsidRDefault="00FD253D">
      <w:pPr>
        <w:pStyle w:val="Ttulo3"/>
        <w:tabs>
          <w:tab w:val="left" w:pos="360"/>
        </w:tabs>
        <w:rPr>
          <w:rFonts w:ascii="Bookman Old Style" w:hAnsi="Bookman Old Style" w:cs="Arial"/>
          <w:sz w:val="20"/>
          <w:lang w:val="es-ES"/>
        </w:rPr>
      </w:pPr>
    </w:p>
    <w:p w:rsidR="008E5CF4" w:rsidRDefault="00FD253D">
      <w:pPr>
        <w:pStyle w:val="Ttulo3"/>
        <w:tabs>
          <w:tab w:val="left" w:pos="360"/>
        </w:tabs>
        <w:rPr>
          <w:rFonts w:ascii="Bookman Old Style" w:hAnsi="Bookman Old Style" w:cs="Arial"/>
          <w:sz w:val="20"/>
          <w:lang w:val="es-ES_tradnl"/>
        </w:rPr>
      </w:pPr>
      <w:r>
        <w:rPr>
          <w:rFonts w:ascii="Bookman Old Style" w:hAnsi="Bookman Old Style" w:cs="Arial"/>
          <w:sz w:val="20"/>
          <w:lang w:val="es-ES_tradnl"/>
        </w:rPr>
        <w:t>CONTRATO MAG</w:t>
      </w:r>
      <w:r w:rsidR="00B97B02">
        <w:rPr>
          <w:rFonts w:ascii="Bookman Old Style" w:hAnsi="Bookman Old Style" w:cs="Tahoma"/>
          <w:sz w:val="20"/>
        </w:rPr>
        <w:t>–</w:t>
      </w:r>
      <w:r w:rsidR="00B97B02">
        <w:rPr>
          <w:rFonts w:ascii="Bookman Old Style" w:hAnsi="Bookman Old Style" w:cs="Arial"/>
          <w:sz w:val="20"/>
          <w:lang w:val="es-ES_tradnl"/>
        </w:rPr>
        <w:t>No. 057/2018</w:t>
      </w:r>
    </w:p>
    <w:p w:rsidR="008E5CF4" w:rsidRDefault="00B97B02">
      <w:pPr>
        <w:pStyle w:val="Ttulo3"/>
        <w:tabs>
          <w:tab w:val="left" w:pos="360"/>
        </w:tabs>
        <w:rPr>
          <w:rFonts w:ascii="Bookman Old Style" w:hAnsi="Bookman Old Style" w:cs="Arial"/>
          <w:sz w:val="20"/>
          <w:lang w:val="pt-BR"/>
        </w:rPr>
      </w:pPr>
      <w:r>
        <w:rPr>
          <w:rFonts w:ascii="Bookman Old Style" w:hAnsi="Bookman Old Style" w:cs="Arial"/>
          <w:sz w:val="20"/>
          <w:lang w:val="es-ES_tradnl"/>
        </w:rPr>
        <w:t>“ARRENDAMIENTO DE FOTOCOPIADORAS MULTIFUNCIONALES”</w:t>
      </w:r>
    </w:p>
    <w:p w:rsidR="008E5CF4" w:rsidRDefault="008E5CF4">
      <w:pPr>
        <w:tabs>
          <w:tab w:val="left" w:pos="360"/>
        </w:tabs>
        <w:suppressAutoHyphens/>
        <w:jc w:val="both"/>
        <w:rPr>
          <w:rFonts w:cs="Arial"/>
          <w:i w:val="0"/>
          <w:sz w:val="21"/>
          <w:szCs w:val="21"/>
          <w:lang w:val="pt-BR"/>
        </w:rPr>
      </w:pPr>
    </w:p>
    <w:p w:rsidR="008E5CF4" w:rsidRDefault="008E5CF4">
      <w:pPr>
        <w:tabs>
          <w:tab w:val="left" w:pos="360"/>
        </w:tabs>
        <w:suppressAutoHyphens/>
        <w:jc w:val="both"/>
        <w:rPr>
          <w:rFonts w:cs="Arial"/>
          <w:i w:val="0"/>
          <w:sz w:val="21"/>
          <w:szCs w:val="21"/>
          <w:lang w:val="pt-BR"/>
        </w:rPr>
      </w:pPr>
    </w:p>
    <w:p w:rsidR="008E5CF4" w:rsidRDefault="008E5CF4">
      <w:pPr>
        <w:tabs>
          <w:tab w:val="left" w:pos="360"/>
        </w:tabs>
        <w:suppressAutoHyphens/>
        <w:jc w:val="both"/>
        <w:rPr>
          <w:rFonts w:cs="Arial"/>
          <w:i w:val="0"/>
          <w:sz w:val="21"/>
          <w:szCs w:val="21"/>
          <w:lang w:val="pt-BR"/>
        </w:rPr>
      </w:pPr>
    </w:p>
    <w:p w:rsidR="008E5CF4" w:rsidRDefault="00B97B02">
      <w:pPr>
        <w:spacing w:line="360" w:lineRule="auto"/>
        <w:jc w:val="both"/>
        <w:rPr>
          <w:rFonts w:cs="Arial"/>
          <w:i w:val="0"/>
          <w:sz w:val="20"/>
          <w:lang w:val="es-ES_tradnl"/>
        </w:rPr>
      </w:pPr>
      <w:r>
        <w:rPr>
          <w:rFonts w:cs="Arial"/>
          <w:i w:val="0"/>
          <w:sz w:val="20"/>
        </w:rPr>
        <w:t xml:space="preserve">Nosotros, </w:t>
      </w:r>
      <w:r>
        <w:rPr>
          <w:rFonts w:cs="Arial"/>
          <w:b/>
          <w:i w:val="0"/>
          <w:sz w:val="20"/>
        </w:rPr>
        <w:t>WALTER ULISES MENJÍVAR DÍAZ</w:t>
      </w:r>
      <w:r>
        <w:rPr>
          <w:rFonts w:cs="Arial"/>
          <w:i w:val="0"/>
          <w:sz w:val="20"/>
        </w:rPr>
        <w:t xml:space="preserve">, </w:t>
      </w:r>
      <w:r w:rsidR="00FD253D" w:rsidRPr="0052471B">
        <w:rPr>
          <w:rFonts w:ascii="Calibri Light" w:hAnsi="Calibri Light" w:cs="Calibri"/>
          <w:sz w:val="22"/>
          <w:szCs w:val="22"/>
          <w:highlight w:val="black"/>
          <w:lang w:eastAsia="ar-SA"/>
        </w:rPr>
        <w:t>xxxxxxxxxxxxxxxxxxxxxxxxxxxxxxxxxxxxxxxxxxxxxxxxxxxxxxxxxxxxx</w:t>
      </w:r>
      <w:r w:rsidR="00FD253D" w:rsidRPr="006A7C19">
        <w:rPr>
          <w:rFonts w:ascii="Calibri Light" w:hAnsi="Calibri Light" w:cs="Calibri"/>
          <w:sz w:val="22"/>
          <w:szCs w:val="22"/>
          <w:lang w:eastAsia="ar-SA"/>
        </w:rPr>
        <w:t xml:space="preserve">; </w:t>
      </w:r>
      <w:r>
        <w:rPr>
          <w:rFonts w:cs="Arial"/>
          <w:i w:val="0"/>
          <w:sz w:val="20"/>
          <w:lang w:val="es-MX"/>
        </w:rPr>
        <w:t xml:space="preserve"> actuando en representación del Estado y Gobierno de El Salva</w:t>
      </w:r>
      <w:r>
        <w:rPr>
          <w:rFonts w:cs="Arial"/>
          <w:i w:val="0"/>
          <w:sz w:val="20"/>
          <w:lang w:val="es-MX"/>
        </w:rPr>
        <w:t>dor en el Ramo de Agricultura y Ganadería, en mi calidad de Director General de Administración y Finanzas, y designado por el señor Ministro de Agricultura y Ganadería para suscribir contratos  como el presente y que en el transcurso de este contrato me de</w:t>
      </w:r>
      <w:r>
        <w:rPr>
          <w:rFonts w:cs="Arial"/>
          <w:i w:val="0"/>
          <w:sz w:val="20"/>
          <w:lang w:val="es-MX"/>
        </w:rPr>
        <w:t xml:space="preserve">nominaré EL CONTRATANTE o EL MAG, institución, del domicilio de Santa Tecla, departamento de la Libertad,  con Número de Identificación Tributaria </w:t>
      </w:r>
      <w:r>
        <w:rPr>
          <w:rFonts w:cs="Arial"/>
          <w:i w:val="0"/>
          <w:sz w:val="20"/>
          <w:lang w:val="es-SV"/>
        </w:rPr>
        <w:t>cero seiscientos catorce–cero diez mil ciento treinta y uno–cero cero seis–nueve</w:t>
      </w:r>
      <w:r>
        <w:rPr>
          <w:rFonts w:cs="Arial"/>
          <w:i w:val="0"/>
          <w:iCs/>
          <w:sz w:val="20"/>
        </w:rPr>
        <w:t>;</w:t>
      </w:r>
      <w:r>
        <w:rPr>
          <w:rFonts w:cs="Arial"/>
          <w:i w:val="0"/>
          <w:sz w:val="20"/>
        </w:rPr>
        <w:t xml:space="preserve"> </w:t>
      </w:r>
      <w:r>
        <w:rPr>
          <w:rFonts w:cs="Arial"/>
          <w:i w:val="0"/>
          <w:sz w:val="20"/>
          <w:lang w:val="es-ES_tradnl"/>
        </w:rPr>
        <w:t>y por otra parte</w:t>
      </w:r>
      <w:r>
        <w:rPr>
          <w:rFonts w:cs="Arial"/>
          <w:i w:val="0"/>
          <w:sz w:val="20"/>
        </w:rPr>
        <w:t xml:space="preserve"> </w:t>
      </w:r>
      <w:r>
        <w:rPr>
          <w:rFonts w:cs="Arial"/>
          <w:b/>
          <w:i w:val="0"/>
          <w:sz w:val="20"/>
        </w:rPr>
        <w:t>CÉSAR AUGU</w:t>
      </w:r>
      <w:r>
        <w:rPr>
          <w:rFonts w:cs="Arial"/>
          <w:b/>
          <w:i w:val="0"/>
          <w:sz w:val="20"/>
        </w:rPr>
        <w:t>STO PACAS RAMÍREZ</w:t>
      </w:r>
      <w:r>
        <w:rPr>
          <w:rFonts w:cs="Arial"/>
          <w:i w:val="0"/>
          <w:sz w:val="20"/>
        </w:rPr>
        <w:t xml:space="preserve">, </w:t>
      </w:r>
      <w:r w:rsidR="00FD253D" w:rsidRPr="0052471B">
        <w:rPr>
          <w:rFonts w:ascii="Calibri Light" w:hAnsi="Calibri Light" w:cs="Calibri"/>
          <w:sz w:val="22"/>
          <w:szCs w:val="22"/>
          <w:highlight w:val="black"/>
          <w:lang w:eastAsia="ar-SA"/>
        </w:rPr>
        <w:t>xxxxxxxxxxxxxxxxxxxxxxxxxxxxxxxxxxxxxxxxxxxxxxxxxxxxxxxxxxxxx</w:t>
      </w:r>
      <w:r w:rsidR="00FD253D" w:rsidRPr="006A7C19">
        <w:rPr>
          <w:rFonts w:ascii="Calibri Light" w:hAnsi="Calibri Light" w:cs="Calibri"/>
          <w:sz w:val="22"/>
          <w:szCs w:val="22"/>
          <w:lang w:eastAsia="ar-SA"/>
        </w:rPr>
        <w:t xml:space="preserve">; </w:t>
      </w:r>
      <w:r>
        <w:rPr>
          <w:rFonts w:cs="Arial"/>
          <w:i w:val="0"/>
          <w:sz w:val="20"/>
        </w:rPr>
        <w:t xml:space="preserve">actuando en mi calidad de Director Secretario y Representante Legal de la sociedad </w:t>
      </w:r>
      <w:r>
        <w:rPr>
          <w:rFonts w:cs="Arial"/>
          <w:b/>
          <w:i w:val="0"/>
          <w:sz w:val="20"/>
        </w:rPr>
        <w:t>RICOH EL SALVADOR, SOCIEDAD ANÓNIMA DE CAPITAL VARIABLE</w:t>
      </w:r>
      <w:r>
        <w:rPr>
          <w:rFonts w:cs="Arial"/>
          <w:i w:val="0"/>
          <w:sz w:val="20"/>
        </w:rPr>
        <w:t>, que puede abrevia</w:t>
      </w:r>
      <w:r>
        <w:rPr>
          <w:rFonts w:cs="Arial"/>
          <w:i w:val="0"/>
          <w:sz w:val="20"/>
        </w:rPr>
        <w:t xml:space="preserve">rse </w:t>
      </w:r>
      <w:r>
        <w:rPr>
          <w:rFonts w:cs="Arial"/>
          <w:b/>
          <w:i w:val="0"/>
          <w:sz w:val="20"/>
        </w:rPr>
        <w:t>RICOH EL SALVADOR, S.A. DE C.V</w:t>
      </w:r>
      <w:r>
        <w:rPr>
          <w:rFonts w:cs="Arial"/>
          <w:i w:val="0"/>
          <w:sz w:val="20"/>
        </w:rPr>
        <w:t>, del domicilio de San Salvador, con Número de Identificación Tributaria cero seiscientos catorce–doscientos cuarenta mil seiscientos ochenta y siete–cero cero uno–nueve, que en adelante me denominaré LA CONTRATISTA</w:t>
      </w:r>
      <w:r>
        <w:rPr>
          <w:rFonts w:cs="Arial"/>
          <w:i w:val="0"/>
          <w:sz w:val="20"/>
          <w:lang w:val="es-ES_tradnl"/>
        </w:rPr>
        <w:t xml:space="preserve">; </w:t>
      </w:r>
      <w:r>
        <w:rPr>
          <w:rFonts w:cs="Arial"/>
          <w:i w:val="0"/>
          <w:sz w:val="20"/>
        </w:rPr>
        <w:t xml:space="preserve">y en </w:t>
      </w:r>
      <w:r>
        <w:rPr>
          <w:rFonts w:cs="Arial"/>
          <w:i w:val="0"/>
          <w:sz w:val="20"/>
        </w:rPr>
        <w:t xml:space="preserve">los caracteres dichos </w:t>
      </w:r>
      <w:r>
        <w:rPr>
          <w:rFonts w:cs="Arial"/>
          <w:b/>
          <w:i w:val="0"/>
          <w:sz w:val="20"/>
        </w:rPr>
        <w:t>MANIFESTAMOS</w:t>
      </w:r>
      <w:r>
        <w:rPr>
          <w:rFonts w:cs="Arial"/>
          <w:i w:val="0"/>
          <w:sz w:val="20"/>
        </w:rPr>
        <w:t>:</w:t>
      </w:r>
      <w:r>
        <w:rPr>
          <w:rFonts w:cs="Arial"/>
          <w:i w:val="0"/>
          <w:sz w:val="20"/>
          <w:lang w:val="es-ES_tradnl"/>
        </w:rPr>
        <w:t xml:space="preserve"> Que hemos acordado otorgar el presente contrato de ARRENDAMIENTO DE FOTOCOPIADORAS MULTIFUNCIONALES a favor y a satisfacción del Ministerio de Agricultura y Ganadería, en virtud de lo establecido en las Bases de la Licit</w:t>
      </w:r>
      <w:r>
        <w:rPr>
          <w:rFonts w:cs="Arial"/>
          <w:i w:val="0"/>
          <w:sz w:val="20"/>
          <w:lang w:val="es-ES_tradnl"/>
        </w:rPr>
        <w:t>ación Abierta DR–CAFTA número cero cero dos/dos mil diecinueve</w:t>
      </w:r>
      <w:r>
        <w:rPr>
          <w:rFonts w:cs="Arial"/>
          <w:i w:val="0"/>
          <w:sz w:val="20"/>
        </w:rPr>
        <w:t>–</w:t>
      </w:r>
      <w:r>
        <w:rPr>
          <w:rFonts w:cs="Arial"/>
          <w:i w:val="0"/>
          <w:sz w:val="20"/>
          <w:lang w:val="es-ES_tradnl"/>
        </w:rPr>
        <w:t xml:space="preserve">MAG, </w:t>
      </w:r>
      <w:r>
        <w:rPr>
          <w:rFonts w:cs="Arial"/>
          <w:i w:val="0"/>
          <w:sz w:val="20"/>
        </w:rPr>
        <w:t>la Ley de Adquisiciones y Contrataciones de la Administración Pública y su Reglamento, en adelante LACAP y RELACAP respectivamente</w:t>
      </w:r>
      <w:r>
        <w:rPr>
          <w:rFonts w:cs="Arial"/>
          <w:i w:val="0"/>
          <w:sz w:val="20"/>
          <w:lang w:val="es-ES_tradnl"/>
        </w:rPr>
        <w:t xml:space="preserve"> y en especial con las obligaciones, condiciones y pactos </w:t>
      </w:r>
      <w:r>
        <w:rPr>
          <w:rFonts w:cs="Arial"/>
          <w:i w:val="0"/>
          <w:sz w:val="20"/>
          <w:lang w:val="es-ES_tradnl"/>
        </w:rPr>
        <w:t xml:space="preserve">siguientes: </w:t>
      </w:r>
      <w:r>
        <w:rPr>
          <w:rFonts w:cs="Arial"/>
          <w:b/>
          <w:i w:val="0"/>
          <w:sz w:val="20"/>
          <w:lang w:val="es-ES_tradnl"/>
        </w:rPr>
        <w:t>I. OBJETO DEL CONTRATO</w:t>
      </w:r>
      <w:r>
        <w:rPr>
          <w:rFonts w:cs="Arial"/>
          <w:i w:val="0"/>
          <w:sz w:val="20"/>
          <w:lang w:val="es-ES_tradnl"/>
        </w:rPr>
        <w:t>. El objeto del presente contrato es el ARRENDAMIENTO DE FOTOCOPIADORAS MULTIFUNCIONALES,</w:t>
      </w:r>
      <w:r>
        <w:rPr>
          <w:rFonts w:cs="Arial"/>
          <w:b/>
          <w:i w:val="0"/>
          <w:sz w:val="20"/>
          <w:lang w:val="es-ES_tradnl"/>
        </w:rPr>
        <w:t xml:space="preserve"> </w:t>
      </w:r>
      <w:r>
        <w:rPr>
          <w:rFonts w:cs="Arial"/>
          <w:i w:val="0"/>
          <w:sz w:val="20"/>
          <w:lang w:val="es-ES_tradnl"/>
        </w:rPr>
        <w:t>según el siguiente detalle:</w:t>
      </w:r>
    </w:p>
    <w:tbl>
      <w:tblPr>
        <w:tblW w:w="901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39"/>
        <w:gridCol w:w="959"/>
        <w:gridCol w:w="3295"/>
        <w:gridCol w:w="1928"/>
        <w:gridCol w:w="1018"/>
        <w:gridCol w:w="1072"/>
      </w:tblGrid>
      <w:tr w:rsidR="008E5CF4">
        <w:trPr>
          <w:trHeight w:val="614"/>
        </w:trPr>
        <w:tc>
          <w:tcPr>
            <w:tcW w:w="739"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b/>
                <w:bCs/>
                <w:i w:val="0"/>
                <w:color w:val="000000"/>
                <w:sz w:val="16"/>
                <w:szCs w:val="16"/>
              </w:rPr>
            </w:pPr>
            <w:r>
              <w:rPr>
                <w:rFonts w:ascii="Calibri" w:hAnsi="Calibri" w:cs="Calibri"/>
                <w:b/>
                <w:bCs/>
                <w:i w:val="0"/>
                <w:color w:val="000000"/>
                <w:sz w:val="14"/>
                <w:szCs w:val="14"/>
              </w:rPr>
              <w:t>Renglón No.</w:t>
            </w:r>
          </w:p>
        </w:tc>
        <w:tc>
          <w:tcPr>
            <w:tcW w:w="959"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b/>
                <w:bCs/>
                <w:i w:val="0"/>
                <w:color w:val="000000"/>
                <w:sz w:val="16"/>
                <w:szCs w:val="16"/>
              </w:rPr>
            </w:pPr>
            <w:r>
              <w:rPr>
                <w:rFonts w:ascii="Calibri" w:hAnsi="Calibri" w:cs="Calibri"/>
                <w:b/>
                <w:bCs/>
                <w:i w:val="0"/>
                <w:color w:val="000000"/>
                <w:sz w:val="14"/>
                <w:szCs w:val="14"/>
              </w:rPr>
              <w:t>Cantidad</w:t>
            </w:r>
          </w:p>
        </w:tc>
        <w:tc>
          <w:tcPr>
            <w:tcW w:w="3295"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b/>
                <w:bCs/>
                <w:i w:val="0"/>
                <w:color w:val="000000"/>
                <w:sz w:val="16"/>
                <w:szCs w:val="16"/>
              </w:rPr>
            </w:pPr>
            <w:r>
              <w:rPr>
                <w:rFonts w:ascii="Calibri" w:hAnsi="Calibri" w:cs="Calibri"/>
                <w:b/>
                <w:bCs/>
                <w:i w:val="0"/>
                <w:color w:val="000000"/>
                <w:sz w:val="14"/>
                <w:szCs w:val="14"/>
              </w:rPr>
              <w:t xml:space="preserve">Descripción </w:t>
            </w:r>
          </w:p>
        </w:tc>
        <w:tc>
          <w:tcPr>
            <w:tcW w:w="1928"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b/>
                <w:bCs/>
                <w:i w:val="0"/>
                <w:color w:val="000000"/>
                <w:sz w:val="14"/>
                <w:szCs w:val="14"/>
              </w:rPr>
            </w:pPr>
            <w:r>
              <w:rPr>
                <w:rFonts w:ascii="Calibri" w:hAnsi="Calibri" w:cs="Calibri"/>
                <w:b/>
                <w:bCs/>
                <w:i w:val="0"/>
                <w:color w:val="000000"/>
                <w:sz w:val="14"/>
                <w:szCs w:val="14"/>
              </w:rPr>
              <w:t>Marca y Modelo</w:t>
            </w:r>
          </w:p>
        </w:tc>
        <w:tc>
          <w:tcPr>
            <w:tcW w:w="1018"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b/>
                <w:bCs/>
                <w:i w:val="0"/>
                <w:color w:val="000000"/>
                <w:sz w:val="16"/>
                <w:szCs w:val="16"/>
              </w:rPr>
            </w:pPr>
            <w:r>
              <w:rPr>
                <w:rFonts w:ascii="Calibri" w:hAnsi="Calibri" w:cs="Calibri"/>
                <w:b/>
                <w:bCs/>
                <w:i w:val="0"/>
                <w:color w:val="000000"/>
                <w:sz w:val="14"/>
                <w:szCs w:val="14"/>
              </w:rPr>
              <w:t>Precio unitario (US$) mensual IVA incluido</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CF4" w:rsidRDefault="00B97B02">
            <w:pPr>
              <w:jc w:val="center"/>
              <w:rPr>
                <w:i w:val="0"/>
                <w:color w:val="000000"/>
                <w:sz w:val="14"/>
                <w:szCs w:val="14"/>
              </w:rPr>
            </w:pPr>
            <w:r>
              <w:rPr>
                <w:rFonts w:ascii="Calibri" w:hAnsi="Calibri" w:cs="Calibri"/>
                <w:b/>
                <w:bCs/>
                <w:i w:val="0"/>
                <w:color w:val="000000"/>
                <w:sz w:val="14"/>
                <w:szCs w:val="14"/>
              </w:rPr>
              <w:t xml:space="preserve">Precio </w:t>
            </w:r>
            <w:r>
              <w:rPr>
                <w:rFonts w:ascii="Calibri" w:hAnsi="Calibri" w:cs="Calibri"/>
                <w:b/>
                <w:bCs/>
                <w:i w:val="0"/>
                <w:color w:val="000000"/>
                <w:sz w:val="14"/>
                <w:szCs w:val="14"/>
              </w:rPr>
              <w:t>total (US$) IVA incluido, período: 12 meses de enero a diciembre de 2019</w:t>
            </w:r>
          </w:p>
        </w:tc>
      </w:tr>
      <w:tr w:rsidR="008E5CF4">
        <w:trPr>
          <w:trHeight w:val="725"/>
        </w:trPr>
        <w:tc>
          <w:tcPr>
            <w:tcW w:w="739"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i w:val="0"/>
                <w:color w:val="000000"/>
                <w:sz w:val="16"/>
                <w:szCs w:val="16"/>
              </w:rPr>
            </w:pPr>
            <w:r>
              <w:rPr>
                <w:rFonts w:ascii="Calibri" w:hAnsi="Calibri" w:cs="Calibri"/>
                <w:i w:val="0"/>
                <w:color w:val="000000"/>
                <w:sz w:val="16"/>
                <w:szCs w:val="16"/>
              </w:rPr>
              <w:lastRenderedPageBreak/>
              <w:t>1</w:t>
            </w:r>
          </w:p>
        </w:tc>
        <w:tc>
          <w:tcPr>
            <w:tcW w:w="959"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51 Equipos</w:t>
            </w:r>
          </w:p>
        </w:tc>
        <w:tc>
          <w:tcPr>
            <w:tcW w:w="3295"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both"/>
              <w:rPr>
                <w:rFonts w:ascii="Calibri" w:hAnsi="Calibri" w:cs="Calibri"/>
                <w:i w:val="0"/>
                <w:color w:val="000000"/>
                <w:sz w:val="16"/>
                <w:szCs w:val="16"/>
              </w:rPr>
            </w:pPr>
            <w:r>
              <w:rPr>
                <w:rFonts w:ascii="Calibri" w:hAnsi="Calibri" w:cs="Calibri"/>
                <w:i w:val="0"/>
                <w:color w:val="000000"/>
                <w:sz w:val="16"/>
                <w:szCs w:val="16"/>
              </w:rPr>
              <w:t>Arrendamiento de Equipos Multifuncionales, grandes monocromáticos</w:t>
            </w:r>
          </w:p>
        </w:tc>
        <w:tc>
          <w:tcPr>
            <w:tcW w:w="1928"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Marca: Ricoh</w:t>
            </w:r>
          </w:p>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Modelo: MP2555, año 2016/2017</w:t>
            </w:r>
          </w:p>
        </w:tc>
        <w:tc>
          <w:tcPr>
            <w:tcW w:w="1018" w:type="dxa"/>
            <w:vMerge w:val="restart"/>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5,778.00</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69,336.00</w:t>
            </w:r>
          </w:p>
        </w:tc>
      </w:tr>
      <w:tr w:rsidR="008E5CF4">
        <w:trPr>
          <w:trHeight w:val="677"/>
        </w:trPr>
        <w:tc>
          <w:tcPr>
            <w:tcW w:w="739"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i w:val="0"/>
                <w:color w:val="000000"/>
              </w:rPr>
            </w:pPr>
            <w:r>
              <w:rPr>
                <w:rFonts w:ascii="Calibri" w:hAnsi="Calibri" w:cs="Calibri"/>
                <w:i w:val="0"/>
                <w:color w:val="000000"/>
                <w:sz w:val="16"/>
                <w:szCs w:val="16"/>
              </w:rPr>
              <w:t>3</w:t>
            </w:r>
          </w:p>
        </w:tc>
        <w:tc>
          <w:tcPr>
            <w:tcW w:w="959"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31 Equipos</w:t>
            </w:r>
          </w:p>
        </w:tc>
        <w:tc>
          <w:tcPr>
            <w:tcW w:w="3295"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both"/>
              <w:rPr>
                <w:rFonts w:ascii="Calibri" w:hAnsi="Calibri" w:cs="Calibri"/>
                <w:i w:val="0"/>
                <w:color w:val="000000"/>
                <w:sz w:val="16"/>
                <w:szCs w:val="16"/>
              </w:rPr>
            </w:pPr>
            <w:r>
              <w:rPr>
                <w:rFonts w:ascii="Calibri" w:hAnsi="Calibri" w:cs="Calibri"/>
                <w:i w:val="0"/>
                <w:color w:val="000000"/>
                <w:sz w:val="16"/>
                <w:szCs w:val="16"/>
              </w:rPr>
              <w:t xml:space="preserve">Arrendamiento de Equipos </w:t>
            </w:r>
            <w:r>
              <w:rPr>
                <w:rFonts w:ascii="Calibri" w:hAnsi="Calibri" w:cs="Calibri"/>
                <w:i w:val="0"/>
                <w:color w:val="000000"/>
                <w:sz w:val="16"/>
                <w:szCs w:val="16"/>
              </w:rPr>
              <w:t>Multifuncionales, pequeños monocromáticos</w:t>
            </w:r>
          </w:p>
        </w:tc>
        <w:tc>
          <w:tcPr>
            <w:tcW w:w="1928"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Marca: Ricoh</w:t>
            </w:r>
          </w:p>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Modelo: MP305 SPF, año 2016/2017</w:t>
            </w:r>
          </w:p>
        </w:tc>
        <w:tc>
          <w:tcPr>
            <w:tcW w:w="1018" w:type="dxa"/>
            <w:vMerge/>
            <w:tcBorders>
              <w:top w:val="single" w:sz="4" w:space="0" w:color="000000"/>
              <w:left w:val="single" w:sz="4" w:space="0" w:color="000000"/>
              <w:bottom w:val="single" w:sz="4" w:space="0" w:color="000000"/>
            </w:tcBorders>
            <w:shd w:val="clear" w:color="auto" w:fill="auto"/>
            <w:vAlign w:val="center"/>
          </w:tcPr>
          <w:p w:rsidR="008E5CF4" w:rsidRDefault="008E5CF4">
            <w:pPr>
              <w:snapToGrid w:val="0"/>
              <w:jc w:val="center"/>
              <w:rPr>
                <w:rFonts w:ascii="Calibri" w:hAnsi="Calibri" w:cs="Calibri"/>
                <w:i w:val="0"/>
                <w:color w:val="000000"/>
                <w:sz w:val="16"/>
                <w:szCs w:val="16"/>
              </w:rPr>
            </w:pP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CF4" w:rsidRDefault="008E5CF4">
            <w:pPr>
              <w:snapToGrid w:val="0"/>
              <w:jc w:val="center"/>
              <w:rPr>
                <w:rFonts w:ascii="Calibri" w:hAnsi="Calibri" w:cs="Calibri"/>
                <w:i w:val="0"/>
                <w:color w:val="000000"/>
                <w:sz w:val="16"/>
                <w:szCs w:val="16"/>
              </w:rPr>
            </w:pPr>
          </w:p>
        </w:tc>
      </w:tr>
      <w:tr w:rsidR="008E5CF4">
        <w:trPr>
          <w:trHeight w:val="675"/>
        </w:trPr>
        <w:tc>
          <w:tcPr>
            <w:tcW w:w="739"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i w:val="0"/>
                <w:color w:val="000000"/>
                <w:sz w:val="16"/>
                <w:szCs w:val="16"/>
              </w:rPr>
            </w:pPr>
            <w:r>
              <w:rPr>
                <w:rFonts w:ascii="Calibri" w:hAnsi="Calibri" w:cs="Calibri"/>
                <w:i w:val="0"/>
                <w:color w:val="000000"/>
                <w:sz w:val="16"/>
                <w:szCs w:val="16"/>
              </w:rPr>
              <w:t>2</w:t>
            </w:r>
          </w:p>
        </w:tc>
        <w:tc>
          <w:tcPr>
            <w:tcW w:w="959"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 xml:space="preserve">2 </w:t>
            </w:r>
          </w:p>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Equipos</w:t>
            </w:r>
          </w:p>
        </w:tc>
        <w:tc>
          <w:tcPr>
            <w:tcW w:w="3295"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both"/>
              <w:rPr>
                <w:rFonts w:ascii="Calibri" w:hAnsi="Calibri" w:cs="Calibri"/>
                <w:i w:val="0"/>
                <w:color w:val="000000"/>
                <w:sz w:val="16"/>
                <w:szCs w:val="16"/>
              </w:rPr>
            </w:pPr>
            <w:r>
              <w:rPr>
                <w:rFonts w:ascii="Calibri" w:hAnsi="Calibri" w:cs="Calibri"/>
                <w:i w:val="0"/>
                <w:color w:val="000000"/>
                <w:sz w:val="16"/>
                <w:szCs w:val="16"/>
              </w:rPr>
              <w:t>Arrendamiento de Equipos Multifuncionales, grandes color</w:t>
            </w:r>
          </w:p>
        </w:tc>
        <w:tc>
          <w:tcPr>
            <w:tcW w:w="1928"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Marca: Ricoh</w:t>
            </w:r>
          </w:p>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Modelo: MPC 2504 SP, año 2016/2017</w:t>
            </w:r>
          </w:p>
        </w:tc>
        <w:tc>
          <w:tcPr>
            <w:tcW w:w="1018" w:type="dxa"/>
            <w:vMerge w:val="restart"/>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1,800.00</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21,600.00</w:t>
            </w:r>
          </w:p>
        </w:tc>
      </w:tr>
      <w:tr w:rsidR="008E5CF4">
        <w:trPr>
          <w:trHeight w:val="625"/>
        </w:trPr>
        <w:tc>
          <w:tcPr>
            <w:tcW w:w="739" w:type="dxa"/>
            <w:tcBorders>
              <w:top w:val="single" w:sz="4" w:space="0" w:color="000000"/>
              <w:left w:val="single" w:sz="4" w:space="0" w:color="000000"/>
              <w:bottom w:val="single" w:sz="4" w:space="0" w:color="000000"/>
            </w:tcBorders>
            <w:shd w:val="clear" w:color="auto" w:fill="auto"/>
            <w:vAlign w:val="center"/>
          </w:tcPr>
          <w:p w:rsidR="008E5CF4" w:rsidRDefault="00B97B02">
            <w:pPr>
              <w:jc w:val="center"/>
              <w:rPr>
                <w:rFonts w:ascii="Calibri" w:hAnsi="Calibri" w:cs="Calibri"/>
                <w:i w:val="0"/>
                <w:color w:val="000000"/>
                <w:sz w:val="16"/>
                <w:szCs w:val="16"/>
              </w:rPr>
            </w:pPr>
            <w:r>
              <w:rPr>
                <w:rFonts w:ascii="Calibri" w:hAnsi="Calibri" w:cs="Calibri"/>
                <w:i w:val="0"/>
                <w:color w:val="000000"/>
                <w:sz w:val="16"/>
                <w:szCs w:val="16"/>
              </w:rPr>
              <w:t>4</w:t>
            </w:r>
          </w:p>
        </w:tc>
        <w:tc>
          <w:tcPr>
            <w:tcW w:w="959"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 xml:space="preserve">4 </w:t>
            </w:r>
          </w:p>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Equipos</w:t>
            </w:r>
          </w:p>
        </w:tc>
        <w:tc>
          <w:tcPr>
            <w:tcW w:w="3295"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both"/>
              <w:rPr>
                <w:rFonts w:ascii="Calibri" w:hAnsi="Calibri" w:cs="Calibri"/>
                <w:i w:val="0"/>
                <w:color w:val="000000"/>
                <w:sz w:val="16"/>
                <w:szCs w:val="16"/>
              </w:rPr>
            </w:pPr>
            <w:r>
              <w:rPr>
                <w:rFonts w:ascii="Calibri" w:hAnsi="Calibri" w:cs="Calibri"/>
                <w:i w:val="0"/>
                <w:color w:val="000000"/>
                <w:sz w:val="16"/>
                <w:szCs w:val="16"/>
              </w:rPr>
              <w:t xml:space="preserve">Arrendamiento </w:t>
            </w:r>
            <w:r>
              <w:rPr>
                <w:rFonts w:ascii="Calibri" w:hAnsi="Calibri" w:cs="Calibri"/>
                <w:i w:val="0"/>
                <w:color w:val="000000"/>
                <w:sz w:val="16"/>
                <w:szCs w:val="16"/>
              </w:rPr>
              <w:t>de Equipos Multifuncionales, pequeños color</w:t>
            </w:r>
          </w:p>
        </w:tc>
        <w:tc>
          <w:tcPr>
            <w:tcW w:w="1928" w:type="dxa"/>
            <w:tcBorders>
              <w:top w:val="single" w:sz="4" w:space="0" w:color="000000"/>
              <w:left w:val="single" w:sz="4" w:space="0" w:color="000000"/>
              <w:bottom w:val="single" w:sz="4" w:space="0" w:color="000000"/>
            </w:tcBorders>
            <w:shd w:val="clear" w:color="auto" w:fill="auto"/>
            <w:vAlign w:val="center"/>
          </w:tcPr>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Marca: Ricoh</w:t>
            </w:r>
          </w:p>
          <w:p w:rsidR="008E5CF4" w:rsidRDefault="00B97B02">
            <w:pPr>
              <w:snapToGrid w:val="0"/>
              <w:jc w:val="center"/>
              <w:rPr>
                <w:rFonts w:ascii="Calibri" w:hAnsi="Calibri" w:cs="Calibri"/>
                <w:i w:val="0"/>
                <w:color w:val="000000"/>
                <w:sz w:val="16"/>
                <w:szCs w:val="16"/>
              </w:rPr>
            </w:pPr>
            <w:r>
              <w:rPr>
                <w:rFonts w:ascii="Calibri" w:hAnsi="Calibri" w:cs="Calibri"/>
                <w:i w:val="0"/>
                <w:color w:val="000000"/>
                <w:sz w:val="16"/>
                <w:szCs w:val="16"/>
              </w:rPr>
              <w:t>Modelo: SPC 252 SPF, año 2016/2017</w:t>
            </w:r>
          </w:p>
        </w:tc>
        <w:tc>
          <w:tcPr>
            <w:tcW w:w="1018" w:type="dxa"/>
            <w:vMerge/>
            <w:tcBorders>
              <w:top w:val="single" w:sz="4" w:space="0" w:color="000000"/>
              <w:left w:val="single" w:sz="4" w:space="0" w:color="000000"/>
              <w:bottom w:val="single" w:sz="4" w:space="0" w:color="000000"/>
            </w:tcBorders>
            <w:shd w:val="clear" w:color="auto" w:fill="auto"/>
            <w:vAlign w:val="center"/>
          </w:tcPr>
          <w:p w:rsidR="008E5CF4" w:rsidRDefault="008E5CF4">
            <w:pPr>
              <w:snapToGrid w:val="0"/>
              <w:rPr>
                <w:rFonts w:ascii="Calibri" w:hAnsi="Calibri" w:cs="Calibri"/>
                <w:i w:val="0"/>
                <w:color w:val="000000"/>
                <w:sz w:val="16"/>
                <w:szCs w:val="16"/>
              </w:rPr>
            </w:pP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CF4" w:rsidRDefault="008E5CF4">
            <w:pPr>
              <w:snapToGrid w:val="0"/>
              <w:rPr>
                <w:rFonts w:ascii="Calibri" w:hAnsi="Calibri" w:cs="Calibri"/>
                <w:i w:val="0"/>
                <w:color w:val="000000"/>
                <w:sz w:val="16"/>
                <w:szCs w:val="16"/>
              </w:rPr>
            </w:pPr>
          </w:p>
        </w:tc>
      </w:tr>
      <w:tr w:rsidR="008E5CF4">
        <w:trPr>
          <w:trHeight w:val="285"/>
        </w:trPr>
        <w:tc>
          <w:tcPr>
            <w:tcW w:w="739" w:type="dxa"/>
            <w:tcBorders>
              <w:top w:val="single" w:sz="4" w:space="0" w:color="000000"/>
              <w:left w:val="single" w:sz="4" w:space="0" w:color="000000"/>
              <w:bottom w:val="single" w:sz="4" w:space="0" w:color="000000"/>
            </w:tcBorders>
            <w:shd w:val="clear" w:color="auto" w:fill="BFBFBF" w:themeFill="background1" w:themeFillShade="BF"/>
            <w:vAlign w:val="center"/>
          </w:tcPr>
          <w:p w:rsidR="008E5CF4" w:rsidRDefault="00B97B02">
            <w:pPr>
              <w:snapToGrid w:val="0"/>
              <w:jc w:val="center"/>
              <w:rPr>
                <w:rFonts w:ascii="Calibri" w:hAnsi="Calibri" w:cs="Calibri"/>
                <w:b/>
                <w:bCs/>
                <w:i w:val="0"/>
                <w:color w:val="000000"/>
                <w:sz w:val="14"/>
                <w:szCs w:val="14"/>
              </w:rPr>
            </w:pPr>
            <w:r>
              <w:rPr>
                <w:rFonts w:ascii="Calibri" w:hAnsi="Calibri" w:cs="Calibri"/>
                <w:b/>
                <w:bCs/>
                <w:i w:val="0"/>
                <w:color w:val="000000"/>
                <w:sz w:val="14"/>
                <w:szCs w:val="14"/>
              </w:rPr>
              <w:t>TOTALES</w:t>
            </w:r>
          </w:p>
        </w:tc>
        <w:tc>
          <w:tcPr>
            <w:tcW w:w="959" w:type="dxa"/>
            <w:tcBorders>
              <w:top w:val="single" w:sz="4" w:space="0" w:color="000000"/>
              <w:left w:val="single" w:sz="4" w:space="0" w:color="000000"/>
              <w:bottom w:val="single" w:sz="4" w:space="0" w:color="000000"/>
            </w:tcBorders>
            <w:shd w:val="clear" w:color="auto" w:fill="BFBFBF" w:themeFill="background1" w:themeFillShade="BF"/>
            <w:vAlign w:val="center"/>
          </w:tcPr>
          <w:p w:rsidR="008E5CF4" w:rsidRDefault="00B97B02">
            <w:pPr>
              <w:snapToGrid w:val="0"/>
              <w:jc w:val="center"/>
              <w:rPr>
                <w:rFonts w:ascii="Calibri" w:hAnsi="Calibri" w:cs="Calibri"/>
                <w:b/>
                <w:bCs/>
                <w:i w:val="0"/>
                <w:color w:val="000000"/>
                <w:sz w:val="14"/>
                <w:szCs w:val="14"/>
              </w:rPr>
            </w:pPr>
            <w:r>
              <w:rPr>
                <w:rFonts w:ascii="Calibri" w:hAnsi="Calibri" w:cs="Calibri"/>
                <w:b/>
                <w:bCs/>
                <w:i w:val="0"/>
                <w:color w:val="000000"/>
                <w:sz w:val="14"/>
                <w:szCs w:val="14"/>
              </w:rPr>
              <w:t>88 EQUIPOS</w:t>
            </w:r>
          </w:p>
        </w:tc>
        <w:tc>
          <w:tcPr>
            <w:tcW w:w="6241" w:type="dxa"/>
            <w:gridSpan w:val="3"/>
            <w:tcBorders>
              <w:top w:val="single" w:sz="4" w:space="0" w:color="000000"/>
              <w:left w:val="single" w:sz="4" w:space="0" w:color="000000"/>
              <w:bottom w:val="single" w:sz="4" w:space="0" w:color="000000"/>
            </w:tcBorders>
            <w:shd w:val="clear" w:color="auto" w:fill="BFBFBF" w:themeFill="background1" w:themeFillShade="BF"/>
            <w:vAlign w:val="center"/>
          </w:tcPr>
          <w:p w:rsidR="008E5CF4" w:rsidRDefault="00B97B02">
            <w:pPr>
              <w:jc w:val="center"/>
              <w:rPr>
                <w:i w:val="0"/>
                <w:color w:val="000000"/>
              </w:rPr>
            </w:pPr>
            <w:r>
              <w:rPr>
                <w:rFonts w:ascii="Calibri" w:hAnsi="Calibri" w:cs="Calibri"/>
                <w:b/>
                <w:i w:val="0"/>
                <w:color w:val="000000"/>
                <w:sz w:val="16"/>
                <w:szCs w:val="16"/>
              </w:rPr>
              <w:t>MONTO TOTAL ADJUDICADO US$</w:t>
            </w:r>
          </w:p>
        </w:tc>
        <w:tc>
          <w:tcPr>
            <w:tcW w:w="10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E5CF4" w:rsidRDefault="00B97B02">
            <w:pPr>
              <w:snapToGrid w:val="0"/>
              <w:jc w:val="center"/>
              <w:rPr>
                <w:rFonts w:ascii="Calibri" w:hAnsi="Calibri" w:cs="Calibri"/>
                <w:b/>
                <w:bCs/>
                <w:i w:val="0"/>
                <w:color w:val="000000"/>
                <w:sz w:val="16"/>
                <w:szCs w:val="16"/>
              </w:rPr>
            </w:pPr>
            <w:r>
              <w:rPr>
                <w:rFonts w:ascii="Calibri" w:hAnsi="Calibri" w:cs="Calibri"/>
                <w:b/>
                <w:bCs/>
                <w:i w:val="0"/>
                <w:color w:val="000000"/>
                <w:sz w:val="16"/>
                <w:szCs w:val="16"/>
              </w:rPr>
              <w:t>90,936.00</w:t>
            </w:r>
          </w:p>
        </w:tc>
      </w:tr>
    </w:tbl>
    <w:p w:rsidR="008E5CF4" w:rsidRDefault="008E5CF4">
      <w:pPr>
        <w:pStyle w:val="Textoindependiente"/>
        <w:rPr>
          <w:rFonts w:ascii="Bookman Old Style" w:hAnsi="Bookman Old Style" w:cs="Arial"/>
          <w:sz w:val="23"/>
          <w:szCs w:val="23"/>
        </w:rPr>
      </w:pPr>
    </w:p>
    <w:p w:rsidR="008E5CF4" w:rsidRDefault="00B97B02">
      <w:pPr>
        <w:pStyle w:val="Textoindependiente"/>
        <w:spacing w:line="360" w:lineRule="auto"/>
        <w:rPr>
          <w:rFonts w:ascii="Bookman Old Style" w:hAnsi="Bookman Old Style" w:cs="Arial"/>
          <w:sz w:val="20"/>
          <w:lang w:val="es-SV"/>
        </w:rPr>
      </w:pPr>
      <w:r>
        <w:rPr>
          <w:rFonts w:ascii="Bookman Old Style" w:hAnsi="Bookman Old Style" w:cs="Calibri"/>
          <w:color w:val="000000"/>
          <w:sz w:val="20"/>
        </w:rPr>
        <w:t>Volumen mensual trescientas veintiún mil copias/impresiones monocromáticas, costo unitario por excedente mensual, es decir de trescientas veintiún mil una copias/impresiones monocromáticas en adelante, cero punto cero dieciocho centavos de dólar de los Est</w:t>
      </w:r>
      <w:r>
        <w:rPr>
          <w:rFonts w:ascii="Bookman Old Style" w:hAnsi="Bookman Old Style" w:cs="Calibri"/>
          <w:color w:val="000000"/>
          <w:sz w:val="20"/>
        </w:rPr>
        <w:t>ados Unidos de América. Volumen mensual dieciocho mil copias/impresiones a color, costo unitario por excedente mensual, es decir de dieciocho mil una copias/impresiones a color en adelante, cero punto diez centavos de dólar de los Estados Unidos de América</w:t>
      </w:r>
      <w:r>
        <w:rPr>
          <w:rFonts w:ascii="Bookman Old Style" w:hAnsi="Bookman Old Style" w:cs="Calibri"/>
          <w:color w:val="000000"/>
          <w:sz w:val="20"/>
        </w:rPr>
        <w:t>. El arrendamiento incluye el mantenimiento y reparación, mano de obra en general, repuestos y suministro de tóner; todas las visitas correctivas son ilimitadas y solicitadas por medio de llamada telefónica, por fax o por correo electrónico, las veinticuat</w:t>
      </w:r>
      <w:r>
        <w:rPr>
          <w:rFonts w:ascii="Bookman Old Style" w:hAnsi="Bookman Old Style" w:cs="Calibri"/>
          <w:color w:val="000000"/>
          <w:sz w:val="20"/>
        </w:rPr>
        <w:t>ro horas del día; el tiempo de respuesta después de un reporte de falla no deberá exceder de dos horas en las oficinas centrales del MAG, ubicadas en Santa Tecla y en las oficinas del MAG en el cantón El Matazano, Soyapango, y veinticuatro horas para el re</w:t>
      </w:r>
      <w:r>
        <w:rPr>
          <w:rFonts w:ascii="Bookman Old Style" w:hAnsi="Bookman Old Style" w:cs="Calibri"/>
          <w:color w:val="000000"/>
          <w:sz w:val="20"/>
        </w:rPr>
        <w:t>sto de oficinas, en ambos casos durante la jornada laboral, de las siete horas con treinta minutos a las quince horas con treinta minutos, de lunes a viernes. El servicio también incluye el reemplazo del equipo por obsolescencia o fallas constantes y la ca</w:t>
      </w:r>
      <w:r>
        <w:rPr>
          <w:rFonts w:ascii="Bookman Old Style" w:hAnsi="Bookman Old Style" w:cs="Calibri"/>
          <w:color w:val="000000"/>
          <w:sz w:val="20"/>
        </w:rPr>
        <w:t>pacitación en el uso del equipo. Si se da el caso que EL CONTRATANTE no consuma las trescientas treinta y nueve mil copias durante el mes, EL CONTRATANTE cancelará el consumo real durante ese mes. El servicio de arrendamiento no incluye el suministro de pa</w:t>
      </w:r>
      <w:r>
        <w:rPr>
          <w:rFonts w:ascii="Bookman Old Style" w:hAnsi="Bookman Old Style" w:cs="Calibri"/>
          <w:color w:val="000000"/>
          <w:sz w:val="20"/>
        </w:rPr>
        <w:t>pel. El servicio será prestado durante el plazo de trescientos sesenta y cinco días, contados a partir del uno de enero, hasta el treinta y uno de diciembre de dos mil diecinueve, conforme a lo establecido en los términos de referencia, las condiciones y l</w:t>
      </w:r>
      <w:r>
        <w:rPr>
          <w:rFonts w:ascii="Bookman Old Style" w:hAnsi="Bookman Old Style" w:cs="Calibri"/>
          <w:color w:val="000000"/>
          <w:sz w:val="20"/>
        </w:rPr>
        <w:t>a oferta presentada por LA CONTRATISTA el día trece de noviembre de dos mil dieciocho. A efecto de garantizar el cumplimiento del presente contrato, EL CONTRATANTE deberá realizar todas las gestiones de control en los aspectos material, técnico financiero,</w:t>
      </w:r>
      <w:r>
        <w:rPr>
          <w:rFonts w:ascii="Bookman Old Style" w:hAnsi="Bookman Old Style" w:cs="Calibri"/>
          <w:color w:val="000000"/>
          <w:sz w:val="20"/>
        </w:rPr>
        <w:t xml:space="preserve"> legal y contable que razonablemente considere necesarias a efecto de salvaguardar los intereses que persigue. </w:t>
      </w:r>
      <w:r>
        <w:rPr>
          <w:rFonts w:ascii="Bookman Old Style" w:hAnsi="Bookman Old Style" w:cs="Calibri"/>
          <w:b/>
          <w:color w:val="000000"/>
          <w:sz w:val="20"/>
        </w:rPr>
        <w:t>II. PRECIO Y FORMA DE PAGO</w:t>
      </w:r>
      <w:r>
        <w:rPr>
          <w:rFonts w:ascii="Bookman Old Style" w:hAnsi="Bookman Old Style" w:cs="Calibri"/>
          <w:color w:val="000000"/>
          <w:sz w:val="20"/>
        </w:rPr>
        <w:t xml:space="preserve">. El precio total por el servicio mencionado en la cláusula I de este contrato es por la </w:t>
      </w:r>
      <w:r>
        <w:rPr>
          <w:rFonts w:ascii="Bookman Old Style" w:hAnsi="Bookman Old Style" w:cs="Calibri"/>
          <w:color w:val="000000"/>
          <w:sz w:val="20"/>
        </w:rPr>
        <w:lastRenderedPageBreak/>
        <w:t xml:space="preserve">cantidad de </w:t>
      </w:r>
      <w:r>
        <w:rPr>
          <w:rFonts w:ascii="Bookman Old Style" w:hAnsi="Bookman Old Style" w:cs="Calibri"/>
          <w:b/>
          <w:bCs/>
          <w:color w:val="000000"/>
          <w:sz w:val="20"/>
        </w:rPr>
        <w:t>NOVENTA MIL NOVECI</w:t>
      </w:r>
      <w:r>
        <w:rPr>
          <w:rFonts w:ascii="Bookman Old Style" w:hAnsi="Bookman Old Style" w:cs="Calibri"/>
          <w:b/>
          <w:bCs/>
          <w:color w:val="000000"/>
          <w:sz w:val="20"/>
        </w:rPr>
        <w:t>ENTOS TREINTA Y SEIS</w:t>
      </w:r>
      <w:r>
        <w:rPr>
          <w:rFonts w:ascii="Bookman Old Style" w:hAnsi="Bookman Old Style" w:cs="Calibri"/>
          <w:b/>
          <w:bCs/>
          <w:color w:val="000000"/>
          <w:sz w:val="20"/>
          <w:lang w:val="es-MX"/>
        </w:rPr>
        <w:t xml:space="preserve"> DÓLARES DE LOS ESTADOS UNIDOS DE AMÉRICA (US$90,936.00)</w:t>
      </w:r>
      <w:r>
        <w:rPr>
          <w:rFonts w:ascii="Bookman Old Style" w:hAnsi="Bookman Old Style" w:cs="Calibri"/>
          <w:color w:val="000000"/>
          <w:sz w:val="20"/>
          <w:lang w:val="es-MX"/>
        </w:rPr>
        <w:t xml:space="preserve">, </w:t>
      </w:r>
      <w:r>
        <w:rPr>
          <w:rFonts w:ascii="Bookman Old Style" w:hAnsi="Bookman Old Style" w:cs="Calibri"/>
          <w:color w:val="000000"/>
          <w:sz w:val="20"/>
        </w:rPr>
        <w:t>el cual incluye el Impuesto a la Transferencia de Bienes Muebles y a la Prestación de Servicios (IVA), pagaderos por medio de cuotas mensuales posteriores a la finalización de ca</w:t>
      </w:r>
      <w:r>
        <w:rPr>
          <w:rFonts w:ascii="Bookman Old Style" w:hAnsi="Bookman Old Style" w:cs="Calibri"/>
          <w:color w:val="000000"/>
          <w:sz w:val="20"/>
        </w:rPr>
        <w:t xml:space="preserve">da uno de los meses comprendidos en el plazo de enero a diciembre de dos mil diecinueve, por la cantidad de </w:t>
      </w:r>
      <w:r>
        <w:rPr>
          <w:rFonts w:ascii="Bookman Old Style" w:hAnsi="Bookman Old Style" w:cs="Calibri"/>
          <w:b/>
          <w:bCs/>
          <w:color w:val="000000"/>
          <w:sz w:val="20"/>
        </w:rPr>
        <w:t>SIETE MIL QUINIENTOS SETENTA Y OCHO DÓLARES DE LOS ESTADOS UNIDOS DE AMÉRICA (US$7,578.00)</w:t>
      </w:r>
      <w:r>
        <w:rPr>
          <w:rFonts w:ascii="Bookman Old Style" w:hAnsi="Bookman Old Style" w:cs="Calibri"/>
          <w:color w:val="000000"/>
          <w:sz w:val="20"/>
        </w:rPr>
        <w:t xml:space="preserve"> cada una. EL MAG efectuará los pagos dentro de un plazo d</w:t>
      </w:r>
      <w:r>
        <w:rPr>
          <w:rFonts w:ascii="Bookman Old Style" w:hAnsi="Bookman Old Style" w:cs="Calibri"/>
          <w:color w:val="000000"/>
          <w:sz w:val="20"/>
        </w:rPr>
        <w:t>e treinta días posteriores al recibo de los comprobantes de crédito fiscal a nombre de: la Pagaduría Auxiliar del Fondo de Actividades Especiales de la Dirección General de Sanidad Vegetal y Animal y las actas de recepción respectivas, documentos que deber</w:t>
      </w:r>
      <w:r>
        <w:rPr>
          <w:rFonts w:ascii="Bookman Old Style" w:hAnsi="Bookman Old Style" w:cs="Calibri"/>
          <w:color w:val="000000"/>
          <w:sz w:val="20"/>
        </w:rPr>
        <w:t>án estar firmados por el administrador del contrato, haciendo constar que recibió a satisfacción el servicio, y por ser la Dirección solicitante agente de retención, de dicho pago se retendrá el uno por ciento en concepto de anticipo del Impuesto a la Tran</w:t>
      </w:r>
      <w:r>
        <w:rPr>
          <w:rFonts w:ascii="Bookman Old Style" w:hAnsi="Bookman Old Style" w:cs="Calibri"/>
          <w:color w:val="000000"/>
          <w:sz w:val="20"/>
        </w:rPr>
        <w:t>sferencia de Bienes Muebles y a la Prestación de Servicios (IVA), según resolución emitida por el Ministerio de Hacienda. Los pagos serán realizados mediante el Sistema de Cuenta Única del Tesoro Público, por la Dirección General de Tesorería del Ministeri</w:t>
      </w:r>
      <w:r>
        <w:rPr>
          <w:rFonts w:ascii="Bookman Old Style" w:hAnsi="Bookman Old Style" w:cs="Calibri"/>
          <w:color w:val="000000"/>
          <w:sz w:val="20"/>
        </w:rPr>
        <w:t xml:space="preserve">o de Hacienda, </w:t>
      </w:r>
      <w:r>
        <w:rPr>
          <w:rFonts w:ascii="Bookman Old Style" w:hAnsi="Bookman Old Style" w:cs="Calibri"/>
          <w:color w:val="000000"/>
          <w:sz w:val="20"/>
          <w:lang w:val="es-ES"/>
        </w:rPr>
        <w:t xml:space="preserve">a la cuenta corriente del Banco de </w:t>
      </w:r>
      <w:r w:rsidR="00FD253D" w:rsidRPr="0052471B">
        <w:rPr>
          <w:rFonts w:ascii="Calibri Light" w:hAnsi="Calibri Light" w:cs="Calibri"/>
          <w:sz w:val="22"/>
          <w:szCs w:val="22"/>
          <w:highlight w:val="black"/>
          <w:lang w:val="es-ES" w:eastAsia="ar-SA"/>
        </w:rPr>
        <w:t>xxxxxxxxxxxxxxxxxxxxxxxxxxxxxxxxxxxxxxxxxxxxxxxxxxxxxxxxxxxxx</w:t>
      </w:r>
      <w:r w:rsidR="00FD253D" w:rsidRPr="006A7C19">
        <w:rPr>
          <w:rFonts w:ascii="Calibri Light" w:hAnsi="Calibri Light" w:cs="Calibri"/>
          <w:sz w:val="22"/>
          <w:szCs w:val="22"/>
          <w:lang w:val="es-ES" w:eastAsia="ar-SA"/>
        </w:rPr>
        <w:t xml:space="preserve">; </w:t>
      </w:r>
      <w:r>
        <w:rPr>
          <w:rFonts w:ascii="Bookman Old Style" w:hAnsi="Bookman Old Style" w:cs="Calibri"/>
          <w:color w:val="000000"/>
          <w:sz w:val="20"/>
        </w:rPr>
        <w:t>cuyo titular es LA CONTRATISTA, y designada por ésta de conformidad a lo establecido en los artículos sesenta, sesenta y uno, sesenta y d</w:t>
      </w:r>
      <w:r>
        <w:rPr>
          <w:rFonts w:ascii="Bookman Old Style" w:hAnsi="Bookman Old Style" w:cs="Calibri"/>
          <w:color w:val="000000"/>
          <w:sz w:val="20"/>
        </w:rPr>
        <w:t>os, sesenta y tres y setenta de la Ley Orgánica de Administración Financiera del Estado y artículos setenta y cinco y setenta y seis de su Reglamento</w:t>
      </w:r>
      <w:r>
        <w:rPr>
          <w:rFonts w:ascii="Bookman Old Style" w:hAnsi="Bookman Old Style" w:cs="Arial"/>
          <w:color w:val="000000"/>
          <w:sz w:val="20"/>
        </w:rPr>
        <w:t>.</w:t>
      </w:r>
      <w:r>
        <w:rPr>
          <w:rFonts w:ascii="Bookman Old Style" w:hAnsi="Bookman Old Style" w:cs="Arial"/>
          <w:b/>
          <w:color w:val="000000"/>
          <w:sz w:val="20"/>
        </w:rPr>
        <w:t xml:space="preserve"> </w:t>
      </w:r>
      <w:r>
        <w:rPr>
          <w:rFonts w:ascii="Bookman Old Style" w:hAnsi="Bookman Old Style" w:cs="Calibri"/>
          <w:b/>
          <w:color w:val="000000"/>
          <w:sz w:val="20"/>
        </w:rPr>
        <w:t xml:space="preserve">III. VIGENCIA DEL CONTRATO. </w:t>
      </w:r>
      <w:r>
        <w:rPr>
          <w:rFonts w:ascii="Bookman Old Style" w:hAnsi="Bookman Old Style" w:cs="Calibri"/>
          <w:color w:val="000000"/>
          <w:sz w:val="20"/>
        </w:rPr>
        <w:t>El plazo de vigencia del presente contrato será a partir de la fecha de suscr</w:t>
      </w:r>
      <w:r>
        <w:rPr>
          <w:rFonts w:ascii="Bookman Old Style" w:hAnsi="Bookman Old Style" w:cs="Calibri"/>
          <w:color w:val="000000"/>
          <w:sz w:val="20"/>
        </w:rPr>
        <w:t>ipción hasta el treinta y uno de diciembre de dos mil diecinueve. Se podrá prorrogar el plazo del contrato de conformidad con la LACAP y su Reglamento</w:t>
      </w:r>
      <w:r>
        <w:rPr>
          <w:rFonts w:ascii="Bookman Old Style" w:hAnsi="Bookman Old Style" w:cs="Calibri"/>
          <w:color w:val="000000"/>
          <w:sz w:val="20"/>
          <w:lang w:val="es-MX"/>
        </w:rPr>
        <w:t>.</w:t>
      </w:r>
      <w:r>
        <w:rPr>
          <w:rFonts w:ascii="Bookman Old Style" w:hAnsi="Bookman Old Style" w:cs="Calibri"/>
          <w:color w:val="000000"/>
          <w:sz w:val="20"/>
        </w:rPr>
        <w:t xml:space="preserve"> Y los servicios serán prestados a partir del uno de enero hasta el treinta y uno de diciembre de dos mil</w:t>
      </w:r>
      <w:r>
        <w:rPr>
          <w:rFonts w:ascii="Bookman Old Style" w:hAnsi="Bookman Old Style" w:cs="Calibri"/>
          <w:color w:val="000000"/>
          <w:sz w:val="20"/>
        </w:rPr>
        <w:t xml:space="preserve"> diecinueve. </w:t>
      </w:r>
      <w:r>
        <w:rPr>
          <w:rFonts w:ascii="Bookman Old Style" w:hAnsi="Bookman Old Style" w:cs="Calibri"/>
          <w:b/>
          <w:color w:val="000000"/>
          <w:sz w:val="20"/>
        </w:rPr>
        <w:t>IV. FORMA Y LUGAR DE PRESTACIÓN DE LOS SERVICIOS.</w:t>
      </w:r>
      <w:r>
        <w:rPr>
          <w:rFonts w:ascii="Bookman Old Style" w:hAnsi="Bookman Old Style" w:cs="Calibri"/>
          <w:color w:val="000000"/>
          <w:sz w:val="20"/>
        </w:rPr>
        <w:t xml:space="preserve"> De conformidad con el artículo cuarenta y cuatro letra j) de la Ley de Adquisiciones y Contrataciones de la Administración Pública, su reglamento, y con los Términos de Referencia establecidos </w:t>
      </w:r>
      <w:r>
        <w:rPr>
          <w:rFonts w:ascii="Bookman Old Style" w:hAnsi="Bookman Old Style" w:cs="Calibri"/>
          <w:color w:val="000000"/>
          <w:sz w:val="20"/>
        </w:rPr>
        <w:t>en el proceso de licitación abierta DR CAFTA  número cero cero dos/dos mil diecinueve</w:t>
      </w:r>
      <w:r>
        <w:rPr>
          <w:rFonts w:ascii="Bookman Old Style" w:hAnsi="Bookman Old Style" w:cs="Calibri"/>
          <w:color w:val="000000"/>
          <w:sz w:val="20"/>
          <w:lang w:val="es-ES"/>
        </w:rPr>
        <w:t>–</w:t>
      </w:r>
      <w:r>
        <w:rPr>
          <w:rFonts w:ascii="Bookman Old Style" w:hAnsi="Bookman Old Style" w:cs="Calibri"/>
          <w:color w:val="000000"/>
          <w:sz w:val="20"/>
        </w:rPr>
        <w:t>MAG, los equipos en arrendamiento serán entregados e instalados por LA CONTRATISTA de acuerdo a la oferta presentada, en los lugares detallados en el anexo número tres de</w:t>
      </w:r>
      <w:r>
        <w:rPr>
          <w:rFonts w:ascii="Bookman Old Style" w:hAnsi="Bookman Old Style" w:cs="Calibri"/>
          <w:color w:val="000000"/>
          <w:sz w:val="20"/>
        </w:rPr>
        <w:t xml:space="preserve"> las bases de licitación, en las instalaciones de las oficinas de EL CONTRATANTE: Secretaría de Estado y CENDEPESCA, ubicadas en final Primera Avenida Norte, Trece Calle Oriente y Avenida Manuel Gallardo, Santa Tecla, departamento de La Libertad; y en las </w:t>
      </w:r>
      <w:r>
        <w:rPr>
          <w:rFonts w:ascii="Bookman Old Style" w:hAnsi="Bookman Old Style" w:cs="Calibri"/>
          <w:color w:val="000000"/>
          <w:sz w:val="20"/>
        </w:rPr>
        <w:t xml:space="preserve">oficinas de la Dirección General de Sanidad Vegetal y de la Dirección General de Ordenamiento Forestal, Cuencas y Riego, ubicadas en cantón </w:t>
      </w:r>
      <w:r>
        <w:rPr>
          <w:rFonts w:ascii="Bookman Old Style" w:hAnsi="Bookman Old Style" w:cs="Calibri"/>
          <w:color w:val="000000"/>
          <w:sz w:val="20"/>
        </w:rPr>
        <w:lastRenderedPageBreak/>
        <w:t>El Matazano, Soyapango, departamento de San Salvador; y en las diferentes oficinas ubicadas en el interior del país</w:t>
      </w:r>
      <w:r>
        <w:rPr>
          <w:rFonts w:ascii="Bookman Old Style" w:hAnsi="Bookman Old Style" w:cs="Calibri"/>
          <w:color w:val="000000"/>
          <w:sz w:val="20"/>
          <w:lang w:val="es-MX"/>
        </w:rPr>
        <w:t>.</w:t>
      </w:r>
      <w:r>
        <w:rPr>
          <w:rFonts w:ascii="Bookman Old Style" w:hAnsi="Bookman Old Style" w:cs="Calibri"/>
          <w:color w:val="000000"/>
          <w:sz w:val="20"/>
          <w:lang w:val="es-MX"/>
        </w:rPr>
        <w:t xml:space="preserve"> </w:t>
      </w:r>
      <w:r>
        <w:rPr>
          <w:rFonts w:ascii="Bookman Old Style" w:hAnsi="Bookman Old Style" w:cs="Calibri"/>
          <w:b/>
          <w:color w:val="000000"/>
          <w:sz w:val="20"/>
        </w:rPr>
        <w:t>V. OBLIGACIONES DE EL MAG.</w:t>
      </w:r>
      <w:r>
        <w:rPr>
          <w:rFonts w:ascii="Bookman Old Style" w:hAnsi="Bookman Old Style" w:cs="Arial"/>
          <w:color w:val="000000"/>
          <w:sz w:val="20"/>
        </w:rPr>
        <w:t xml:space="preserve"> </w:t>
      </w:r>
      <w:r>
        <w:rPr>
          <w:rFonts w:ascii="Bookman Old Style" w:hAnsi="Bookman Old Style" w:cs="Calibri"/>
          <w:color w:val="000000"/>
          <w:sz w:val="20"/>
        </w:rPr>
        <w:t>EL MAG deberá hacer el pago por el servicio detallado en la cláusula I, con aplicación al Fondo de Actividades Especiales de la Dirección General de Sanidad Vegetal y Animal.</w:t>
      </w:r>
      <w:r>
        <w:rPr>
          <w:rFonts w:ascii="Bookman Old Style" w:hAnsi="Bookman Old Style" w:cs="Arial"/>
          <w:sz w:val="20"/>
        </w:rPr>
        <w:t xml:space="preserve"> </w:t>
      </w:r>
      <w:r>
        <w:rPr>
          <w:rFonts w:ascii="Bookman Old Style" w:hAnsi="Bookman Old Style" w:cs="Arial"/>
          <w:b/>
          <w:sz w:val="20"/>
        </w:rPr>
        <w:t xml:space="preserve">VI. </w:t>
      </w:r>
      <w:r>
        <w:rPr>
          <w:rFonts w:ascii="Bookman Old Style" w:hAnsi="Bookman Old Style" w:cs="Arial"/>
          <w:b/>
          <w:sz w:val="20"/>
          <w:lang w:val="es-SV"/>
        </w:rPr>
        <w:t>ADMINISTRACIÓN DEL CONTRATO</w:t>
      </w:r>
      <w:r>
        <w:rPr>
          <w:rFonts w:ascii="Bookman Old Style" w:hAnsi="Bookman Old Style" w:cs="Arial"/>
          <w:sz w:val="20"/>
          <w:lang w:val="es-SV"/>
        </w:rPr>
        <w:t xml:space="preserve">. </w:t>
      </w:r>
      <w:r>
        <w:rPr>
          <w:rFonts w:ascii="Bookman Old Style" w:hAnsi="Bookman Old Style" w:cs="Arial"/>
          <w:sz w:val="20"/>
        </w:rPr>
        <w:t>El delegado del titu</w:t>
      </w:r>
      <w:r>
        <w:rPr>
          <w:rFonts w:ascii="Bookman Old Style" w:hAnsi="Bookman Old Style" w:cs="Arial"/>
          <w:sz w:val="20"/>
        </w:rPr>
        <w:t xml:space="preserve">lar del MAG, mediante Acuerdo Ejecutivo en el Ramo de Agricultura y Ganadería número quinientos cuarenta y nueve de fecha treinta de octubre de dos mil dieciocho, </w:t>
      </w:r>
      <w:r>
        <w:rPr>
          <w:rFonts w:ascii="Bookman Old Style" w:hAnsi="Bookman Old Style" w:cs="Arial"/>
          <w:bCs/>
          <w:iCs/>
          <w:sz w:val="20"/>
          <w:lang w:val="es-ES"/>
        </w:rPr>
        <w:t xml:space="preserve">nombró como administrador del presente contrato al ingeniero </w:t>
      </w:r>
      <w:r>
        <w:rPr>
          <w:rFonts w:ascii="Bookman Old Style" w:hAnsi="Bookman Old Style" w:cs="Arial"/>
          <w:sz w:val="20"/>
          <w:lang w:val="es-SV"/>
        </w:rPr>
        <w:t xml:space="preserve">Elmer Eduardo López Bonilla, </w:t>
      </w:r>
      <w:r>
        <w:rPr>
          <w:rFonts w:ascii="Bookman Old Style" w:hAnsi="Bookman Old Style" w:cs="Arial"/>
          <w:sz w:val="20"/>
          <w:lang w:val="es-SV"/>
        </w:rPr>
        <w:t>Jefe de la División de Logística de la Oficina General de Administración</w:t>
      </w:r>
      <w:r>
        <w:rPr>
          <w:rFonts w:ascii="Bookman Old Style" w:hAnsi="Bookman Old Style" w:cs="Arial"/>
          <w:bCs/>
          <w:iCs/>
          <w:sz w:val="20"/>
          <w:lang w:val="es-SV"/>
        </w:rPr>
        <w:t>.</w:t>
      </w:r>
      <w:r>
        <w:rPr>
          <w:rFonts w:ascii="Bookman Old Style" w:hAnsi="Bookman Old Style" w:cs="Arial"/>
          <w:bCs/>
          <w:sz w:val="20"/>
          <w:lang w:val="es-ES"/>
        </w:rPr>
        <w:t xml:space="preserve"> Serán funciones del administrador del contrato las siguientes:</w:t>
      </w:r>
      <w:r>
        <w:rPr>
          <w:rFonts w:ascii="Bookman Old Style" w:hAnsi="Bookman Old Style" w:cs="Arial"/>
          <w:sz w:val="20"/>
        </w:rPr>
        <w:t xml:space="preserve"> </w:t>
      </w:r>
      <w:r>
        <w:rPr>
          <w:rFonts w:ascii="Bookman Old Style" w:hAnsi="Bookman Old Style" w:cs="Arial"/>
          <w:b/>
          <w:sz w:val="20"/>
        </w:rPr>
        <w:t>a)</w:t>
      </w:r>
      <w:r>
        <w:rPr>
          <w:rFonts w:ascii="Bookman Old Style" w:hAnsi="Bookman Old Style" w:cs="Arial"/>
          <w:sz w:val="20"/>
        </w:rPr>
        <w:t xml:space="preserve"> Ser el representante del Ministerio en el desarrollo y ejecución del contrato; </w:t>
      </w:r>
      <w:r>
        <w:rPr>
          <w:rFonts w:ascii="Bookman Old Style" w:hAnsi="Bookman Old Style" w:cs="Arial"/>
          <w:b/>
          <w:sz w:val="20"/>
        </w:rPr>
        <w:t>b)</w:t>
      </w:r>
      <w:r>
        <w:rPr>
          <w:rFonts w:ascii="Bookman Old Style" w:hAnsi="Bookman Old Style" w:cs="Arial"/>
          <w:sz w:val="20"/>
        </w:rPr>
        <w:t xml:space="preserve"> Dar seguimiento a la ejecución del</w:t>
      </w:r>
      <w:r>
        <w:rPr>
          <w:rFonts w:ascii="Bookman Old Style" w:hAnsi="Bookman Old Style" w:cs="Arial"/>
          <w:sz w:val="20"/>
        </w:rPr>
        <w:t xml:space="preserve"> contrato y efectuar directamente los reclamos por escrito a LA CONTRATISTA en caso de incumplimiento e informar a la OACI de ello; </w:t>
      </w:r>
      <w:r>
        <w:rPr>
          <w:rFonts w:ascii="Bookman Old Style" w:hAnsi="Bookman Old Style" w:cs="Arial"/>
          <w:b/>
          <w:sz w:val="20"/>
        </w:rPr>
        <w:t>c)</w:t>
      </w:r>
      <w:r>
        <w:rPr>
          <w:rFonts w:ascii="Bookman Old Style" w:hAnsi="Bookman Old Style" w:cs="Arial"/>
          <w:sz w:val="20"/>
        </w:rPr>
        <w:t xml:space="preserve"> Hacer reportes de cualquier deficiencia en el desarrollo del contrato y remitir cuando corresponda, al Titular a través d</w:t>
      </w:r>
      <w:r>
        <w:rPr>
          <w:rFonts w:ascii="Bookman Old Style" w:hAnsi="Bookman Old Style" w:cs="Arial"/>
          <w:sz w:val="20"/>
        </w:rPr>
        <w:t xml:space="preserve">e la Oficina de Adquisiciones y Contrataciones Institucional del MAG, el respectivo informe para los efectos de imposición de multa, conforme a lo establecido en los artículos ciento sesenta de la LACAP y ochenta del RELACAP; </w:t>
      </w:r>
      <w:r>
        <w:rPr>
          <w:rFonts w:ascii="Bookman Old Style" w:hAnsi="Bookman Old Style" w:cs="Arial"/>
          <w:b/>
          <w:sz w:val="20"/>
        </w:rPr>
        <w:t>d)</w:t>
      </w:r>
      <w:r>
        <w:rPr>
          <w:rFonts w:ascii="Bookman Old Style" w:hAnsi="Bookman Old Style" w:cs="Arial"/>
          <w:sz w:val="20"/>
        </w:rPr>
        <w:t xml:space="preserve"> Emitir dictamen sobre la pr</w:t>
      </w:r>
      <w:r>
        <w:rPr>
          <w:rFonts w:ascii="Bookman Old Style" w:hAnsi="Bookman Old Style" w:cs="Arial"/>
          <w:sz w:val="20"/>
        </w:rPr>
        <w:t>ocedencia o no, de cualquier modificación o prórroga al contrato, en caso de ser procedente, deberá realizar la gestión respectiva, ante la OACI/MAG, previo al vencimiento del plazo, proporcionando toda la documentación de respaldo necesaria para su tramit</w:t>
      </w:r>
      <w:r>
        <w:rPr>
          <w:rFonts w:ascii="Bookman Old Style" w:hAnsi="Bookman Old Style" w:cs="Arial"/>
          <w:sz w:val="20"/>
        </w:rPr>
        <w:t xml:space="preserve">ación, </w:t>
      </w:r>
      <w:r>
        <w:rPr>
          <w:rFonts w:ascii="Bookman Old Style" w:hAnsi="Bookman Old Style" w:cs="Arial"/>
          <w:b/>
          <w:sz w:val="20"/>
        </w:rPr>
        <w:t>e)</w:t>
      </w:r>
      <w:r>
        <w:rPr>
          <w:rFonts w:ascii="Bookman Old Style" w:hAnsi="Bookman Old Style" w:cs="Arial"/>
          <w:sz w:val="20"/>
        </w:rPr>
        <w:t xml:space="preserve"> La elaboración del Acta de Recepción respectiva, de conformidad a lo estipulado en el artículo setenta y siete RELACAP; </w:t>
      </w:r>
      <w:r>
        <w:rPr>
          <w:rFonts w:ascii="Bookman Old Style" w:hAnsi="Bookman Old Style" w:cs="Arial"/>
          <w:b/>
          <w:sz w:val="20"/>
        </w:rPr>
        <w:t>f)</w:t>
      </w:r>
      <w:r>
        <w:rPr>
          <w:rFonts w:ascii="Bookman Old Style" w:hAnsi="Bookman Old Style" w:cs="Arial"/>
          <w:sz w:val="20"/>
        </w:rPr>
        <w:t xml:space="preserve"> Remitir a la OACI copia del Acta de Recepción, a más tardar tres días hábiles posteriores a la recepción; </w:t>
      </w:r>
      <w:r>
        <w:rPr>
          <w:rFonts w:ascii="Bookman Old Style" w:hAnsi="Bookman Old Style" w:cs="Arial"/>
          <w:b/>
          <w:sz w:val="20"/>
        </w:rPr>
        <w:t>g)</w:t>
      </w:r>
      <w:r>
        <w:rPr>
          <w:rFonts w:ascii="Bookman Old Style" w:hAnsi="Bookman Old Style" w:cs="Arial"/>
          <w:sz w:val="20"/>
        </w:rPr>
        <w:t xml:space="preserve"> Evaluar el des</w:t>
      </w:r>
      <w:r>
        <w:rPr>
          <w:rFonts w:ascii="Bookman Old Style" w:hAnsi="Bookman Old Style" w:cs="Arial"/>
          <w:sz w:val="20"/>
        </w:rPr>
        <w:t>empeño de LA CONTRATISTA, mediante el formulario respectivo, en un plazo máximo de ocho días hábiles a la emisión del acta de recepción total o definitiva, evaluación que deberá ser enviada a la OACI en un tiempo máximo de dos días hábiles posteriores a la</w:t>
      </w:r>
      <w:r>
        <w:rPr>
          <w:rFonts w:ascii="Bookman Old Style" w:hAnsi="Bookman Old Style" w:cs="Arial"/>
          <w:sz w:val="20"/>
        </w:rPr>
        <w:t xml:space="preserve"> fecha de la evaluación; </w:t>
      </w:r>
      <w:r>
        <w:rPr>
          <w:rFonts w:ascii="Bookman Old Style" w:hAnsi="Bookman Old Style" w:cs="Arial"/>
          <w:b/>
          <w:sz w:val="20"/>
        </w:rPr>
        <w:t>h)</w:t>
      </w:r>
      <w:r>
        <w:rPr>
          <w:rFonts w:ascii="Bookman Old Style" w:hAnsi="Bookman Old Style" w:cs="Arial"/>
          <w:sz w:val="20"/>
        </w:rPr>
        <w:t xml:space="preserve"> Informar a la OACI sobre el vencimiento de las garantías, en un periodo no mayor de ocho días hábiles posteriores a su vencimiento, a fin de que esa Oficina proceda a su devolución conforme al artículo ochenta y dos–Bis letra h)</w:t>
      </w:r>
      <w:r>
        <w:rPr>
          <w:rFonts w:ascii="Bookman Old Style" w:hAnsi="Bookman Old Style" w:cs="Arial"/>
          <w:sz w:val="20"/>
        </w:rPr>
        <w:t xml:space="preserve"> de la LACAP; </w:t>
      </w:r>
      <w:r>
        <w:rPr>
          <w:rFonts w:ascii="Bookman Old Style" w:hAnsi="Bookman Old Style" w:cs="Arial"/>
          <w:b/>
          <w:sz w:val="20"/>
        </w:rPr>
        <w:t>i)</w:t>
      </w:r>
      <w:r>
        <w:rPr>
          <w:rFonts w:ascii="Bookman Old Style" w:hAnsi="Bookman Old Style" w:cs="Arial"/>
          <w:sz w:val="20"/>
        </w:rPr>
        <w:t xml:space="preserve"> Remitir copia a la OACI de toda gestión que realice en el ejercicio de sus funciones como Administrador de Contrato conforme al artículo cuarenta y dos inciso tres del RELACAP; </w:t>
      </w:r>
      <w:r>
        <w:rPr>
          <w:rFonts w:ascii="Bookman Old Style" w:hAnsi="Bookman Old Style" w:cs="Arial"/>
          <w:b/>
          <w:sz w:val="20"/>
        </w:rPr>
        <w:t>j)</w:t>
      </w:r>
      <w:r>
        <w:rPr>
          <w:rFonts w:ascii="Bookman Old Style" w:hAnsi="Bookman Old Style" w:cs="Arial"/>
          <w:sz w:val="20"/>
        </w:rPr>
        <w:t xml:space="preserve"> Cumplir con cualquier otra función que le corresponda de ac</w:t>
      </w:r>
      <w:r>
        <w:rPr>
          <w:rFonts w:ascii="Bookman Old Style" w:hAnsi="Bookman Old Style" w:cs="Arial"/>
          <w:sz w:val="20"/>
        </w:rPr>
        <w:t>uerdo al contrato y demás documentos contractuales o que le sean asignadas por el MAG así como también con las demás funciones establecidas en los artículos diecinueve, ochenta y dos–Bis y ciento veintidós de la LACAP, setenta y cuatro, setenta y cinco inc</w:t>
      </w:r>
      <w:r>
        <w:rPr>
          <w:rFonts w:ascii="Bookman Old Style" w:hAnsi="Bookman Old Style" w:cs="Arial"/>
          <w:sz w:val="20"/>
        </w:rPr>
        <w:t xml:space="preserve">iso dos y ochenta y uno del RELACAP, y demás disposiciones aplicables de la Ley de Adquisiciones y Contrataciones de </w:t>
      </w:r>
      <w:r>
        <w:rPr>
          <w:rFonts w:ascii="Bookman Old Style" w:hAnsi="Bookman Old Style" w:cs="Arial"/>
          <w:sz w:val="20"/>
        </w:rPr>
        <w:lastRenderedPageBreak/>
        <w:t>la Administración Pública, su Reglamento y Manual de Procedimientos para el Ciclo de Gestión de Adquisiciones y Contrataciones de las Insti</w:t>
      </w:r>
      <w:r>
        <w:rPr>
          <w:rFonts w:ascii="Bookman Old Style" w:hAnsi="Bookman Old Style" w:cs="Arial"/>
          <w:sz w:val="20"/>
        </w:rPr>
        <w:t xml:space="preserve">tuciones de la Administración Pública. </w:t>
      </w:r>
      <w:r>
        <w:rPr>
          <w:rFonts w:ascii="Bookman Old Style" w:hAnsi="Bookman Old Style" w:cs="Arial"/>
          <w:b/>
          <w:iCs/>
          <w:sz w:val="20"/>
        </w:rPr>
        <w:t>VII. CESIÓN</w:t>
      </w:r>
      <w:r>
        <w:rPr>
          <w:rFonts w:ascii="Bookman Old Style" w:hAnsi="Bookman Old Style" w:cs="Arial"/>
          <w:iCs/>
          <w:sz w:val="20"/>
        </w:rPr>
        <w:t>.</w:t>
      </w:r>
      <w:r>
        <w:rPr>
          <w:rFonts w:ascii="Bookman Old Style" w:hAnsi="Bookman Old Style" w:cs="Arial"/>
          <w:b/>
          <w:iCs/>
          <w:sz w:val="20"/>
        </w:rPr>
        <w:t xml:space="preserve"> </w:t>
      </w:r>
      <w:r>
        <w:rPr>
          <w:rFonts w:ascii="Bookman Old Style" w:hAnsi="Bookman Old Style" w:cs="Arial"/>
          <w:iCs/>
          <w:sz w:val="20"/>
        </w:rPr>
        <w:t>Queda expresamente prohibido a LA CONTRATISTA traspasar o ceder a cualquier título los derechos y obligaciones</w:t>
      </w:r>
      <w:r>
        <w:rPr>
          <w:rFonts w:ascii="Bookman Old Style" w:hAnsi="Bookman Old Style" w:cs="Arial"/>
          <w:sz w:val="20"/>
        </w:rPr>
        <w:t xml:space="preserve"> que emanan del presente contrato. La transgresión de esta disposición dará lugar a la caducid</w:t>
      </w:r>
      <w:r>
        <w:rPr>
          <w:rFonts w:ascii="Bookman Old Style" w:hAnsi="Bookman Old Style" w:cs="Arial"/>
          <w:sz w:val="20"/>
        </w:rPr>
        <w:t xml:space="preserve">ad del contrato. </w:t>
      </w:r>
      <w:r>
        <w:rPr>
          <w:rFonts w:ascii="Bookman Old Style" w:hAnsi="Bookman Old Style" w:cs="Arial"/>
          <w:b/>
          <w:sz w:val="20"/>
        </w:rPr>
        <w:t>VIII. GARANTÍAS</w:t>
      </w:r>
      <w:r>
        <w:rPr>
          <w:rFonts w:ascii="Bookman Old Style" w:hAnsi="Bookman Old Style" w:cs="Arial"/>
          <w:sz w:val="20"/>
        </w:rPr>
        <w:t>. Para garantizar el cumplimiento de las obligaciones emanadas del presente contrato LA CONTRATISTA se obliga a presentar a EL CONTRATANTE en un plazo no mayor de diez días hábiles después de recibir copia de este contrato d</w:t>
      </w:r>
      <w:r>
        <w:rPr>
          <w:rFonts w:ascii="Bookman Old Style" w:hAnsi="Bookman Old Style" w:cs="Arial"/>
          <w:sz w:val="20"/>
        </w:rPr>
        <w:t>ebidamente legalizado, una garantía de cumplimiento de contrato por un monto de</w:t>
      </w:r>
      <w:r>
        <w:rPr>
          <w:rFonts w:ascii="Bookman Old Style" w:hAnsi="Bookman Old Style" w:cs="Arial"/>
          <w:b/>
          <w:sz w:val="20"/>
        </w:rPr>
        <w:t xml:space="preserve"> NUEVE MIL NOVENTA Y TRES DÓLARES CON SESENTA CENTAVOS DE DÓLAR DE LOS ESTADOS UNIDOS DE AMÉRICA</w:t>
      </w:r>
      <w:r>
        <w:rPr>
          <w:rFonts w:ascii="Bookman Old Style" w:hAnsi="Bookman Old Style" w:cs="Arial"/>
          <w:sz w:val="20"/>
        </w:rPr>
        <w:t>, equivalente al diez por ciento del monto del contrato. Dicha garantía deberá ex</w:t>
      </w:r>
      <w:r>
        <w:rPr>
          <w:rFonts w:ascii="Bookman Old Style" w:hAnsi="Bookman Old Style" w:cs="Arial"/>
          <w:sz w:val="20"/>
        </w:rPr>
        <w:t xml:space="preserve">ceder en sesenta días el plazo de vigencia del contrato, de conformidad con lo establecido en las Bases de Licitación y en el artículo treinta y cinco de la LACAP. Si no se presentare tal garantía en el plazo establecido se tendrá por caducado el presente </w:t>
      </w:r>
      <w:r>
        <w:rPr>
          <w:rFonts w:ascii="Bookman Old Style" w:hAnsi="Bookman Old Style" w:cs="Arial"/>
          <w:sz w:val="20"/>
        </w:rPr>
        <w:t>contrato y se entenderá que LA CONTRATISTA ha desistido de su oferta, haciéndose efectiva la garantía de mantenimiento de oferta, sin detrimento de la acción que le compete a EL CONTRATANTE, para reclamar los daños y perjuicios resultantes.</w:t>
      </w:r>
      <w:r>
        <w:rPr>
          <w:rFonts w:ascii="Bookman Old Style" w:hAnsi="Bookman Old Style" w:cs="Arial"/>
          <w:b/>
          <w:sz w:val="20"/>
        </w:rPr>
        <w:t xml:space="preserve"> IX. INCUMPLIMIE</w:t>
      </w:r>
      <w:r>
        <w:rPr>
          <w:rFonts w:ascii="Bookman Old Style" w:hAnsi="Bookman Old Style" w:cs="Arial"/>
          <w:b/>
          <w:sz w:val="20"/>
        </w:rPr>
        <w:t>NTO</w:t>
      </w:r>
      <w:r>
        <w:rPr>
          <w:rFonts w:ascii="Bookman Old Style" w:hAnsi="Bookman Old Style" w:cs="Arial"/>
          <w:sz w:val="20"/>
        </w:rPr>
        <w:t xml:space="preserve">. En caso de mora de LA CONTRATISTA en el cumplimiento de las obligaciones emanadas del presente contrato se le aplicarán las multas establecidas en el artículo ochenta y cinco de la LACAP. </w:t>
      </w:r>
      <w:r>
        <w:rPr>
          <w:rFonts w:ascii="Bookman Old Style" w:hAnsi="Bookman Old Style" w:cs="Arial"/>
          <w:b/>
          <w:sz w:val="20"/>
        </w:rPr>
        <w:t>X. CADUCIDAD</w:t>
      </w:r>
      <w:r>
        <w:rPr>
          <w:rFonts w:ascii="Bookman Old Style" w:hAnsi="Bookman Old Style" w:cs="Arial"/>
          <w:sz w:val="20"/>
        </w:rPr>
        <w:t>. Serán causales de caducidad las establecidas en l</w:t>
      </w:r>
      <w:r>
        <w:rPr>
          <w:rFonts w:ascii="Bookman Old Style" w:hAnsi="Bookman Old Style" w:cs="Arial"/>
          <w:sz w:val="20"/>
        </w:rPr>
        <w:t xml:space="preserve">as letras a) y b) del artículo noventa y cuatro de la LACAP. </w:t>
      </w:r>
      <w:r>
        <w:rPr>
          <w:rFonts w:ascii="Bookman Old Style" w:hAnsi="Bookman Old Style" w:cs="Arial"/>
          <w:b/>
          <w:sz w:val="20"/>
        </w:rPr>
        <w:t>XI. PLAZO DE RECLAMOS</w:t>
      </w:r>
      <w:r>
        <w:rPr>
          <w:rFonts w:ascii="Bookman Old Style" w:hAnsi="Bookman Old Style" w:cs="Arial"/>
          <w:sz w:val="20"/>
        </w:rPr>
        <w:t>.</w:t>
      </w:r>
      <w:r>
        <w:rPr>
          <w:rFonts w:ascii="Bookman Old Style" w:hAnsi="Bookman Old Style" w:cs="Arial"/>
          <w:b/>
          <w:sz w:val="20"/>
        </w:rPr>
        <w:t xml:space="preserve"> </w:t>
      </w:r>
      <w:r>
        <w:rPr>
          <w:rFonts w:ascii="Bookman Old Style" w:hAnsi="Bookman Old Style" w:cs="Arial"/>
          <w:sz w:val="20"/>
        </w:rPr>
        <w:t>A partir de la recepción formal del servicio</w:t>
      </w:r>
      <w:r>
        <w:rPr>
          <w:rFonts w:ascii="Bookman Old Style" w:hAnsi="Bookman Old Style" w:cs="Arial"/>
          <w:iCs/>
          <w:sz w:val="20"/>
        </w:rPr>
        <w:t xml:space="preserve"> </w:t>
      </w:r>
      <w:r>
        <w:rPr>
          <w:rFonts w:ascii="Bookman Old Style" w:hAnsi="Bookman Old Style" w:cs="Arial"/>
          <w:sz w:val="20"/>
        </w:rPr>
        <w:t>objeto de este contrato, EL CONTRATANTE tendrá un plazo de diez días hábiles para efectuar cualquier reclamo relacionado con el</w:t>
      </w:r>
      <w:r>
        <w:rPr>
          <w:rFonts w:ascii="Bookman Old Style" w:hAnsi="Bookman Old Style" w:cs="Arial"/>
          <w:sz w:val="20"/>
        </w:rPr>
        <w:t xml:space="preserve"> servicio. </w:t>
      </w:r>
      <w:r>
        <w:rPr>
          <w:rFonts w:ascii="Bookman Old Style" w:hAnsi="Bookman Old Style" w:cs="Arial"/>
          <w:b/>
          <w:sz w:val="20"/>
        </w:rPr>
        <w:t>XII. MODIFICACIÓN</w:t>
      </w:r>
      <w:r>
        <w:rPr>
          <w:rFonts w:ascii="Bookman Old Style" w:hAnsi="Bookman Old Style" w:cs="Arial"/>
          <w:sz w:val="20"/>
        </w:rPr>
        <w:t>.</w:t>
      </w:r>
      <w:r>
        <w:rPr>
          <w:rFonts w:ascii="Bookman Old Style" w:hAnsi="Bookman Old Style" w:cs="Arial"/>
          <w:b/>
          <w:sz w:val="20"/>
        </w:rPr>
        <w:t xml:space="preserve"> </w:t>
      </w:r>
      <w:r>
        <w:rPr>
          <w:rFonts w:ascii="Bookman Old Style" w:hAnsi="Bookman Old Style" w:cs="Arial"/>
          <w:sz w:val="20"/>
        </w:rPr>
        <w:t>De</w:t>
      </w:r>
      <w:r>
        <w:rPr>
          <w:rFonts w:ascii="Bookman Old Style" w:hAnsi="Bookman Old Style" w:cs="Arial"/>
          <w:b/>
          <w:sz w:val="20"/>
        </w:rPr>
        <w:t xml:space="preserve"> </w:t>
      </w:r>
      <w:r>
        <w:rPr>
          <w:rFonts w:ascii="Bookman Old Style" w:hAnsi="Bookman Old Style" w:cs="Arial"/>
          <w:sz w:val="20"/>
        </w:rPr>
        <w:t xml:space="preserve">común acuerdo entre las partes, el presente contrato podrá ser modificado de conformidad con la Ley. En tal caso, </w:t>
      </w:r>
      <w:r>
        <w:rPr>
          <w:rFonts w:ascii="Bookman Old Style" w:hAnsi="Bookman Old Style" w:cs="Arial"/>
          <w:bCs/>
          <w:sz w:val="20"/>
        </w:rPr>
        <w:t>EL CONTRATANTE</w:t>
      </w:r>
      <w:r>
        <w:rPr>
          <w:rFonts w:ascii="Bookman Old Style" w:hAnsi="Bookman Old Style" w:cs="Arial"/>
          <w:sz w:val="20"/>
        </w:rPr>
        <w:t xml:space="preserve"> emitirá la correspondiente resolución modificativa, la cual se relacionará en el instrumento m</w:t>
      </w:r>
      <w:r>
        <w:rPr>
          <w:rFonts w:ascii="Bookman Old Style" w:hAnsi="Bookman Old Style" w:cs="Arial"/>
          <w:sz w:val="20"/>
        </w:rPr>
        <w:t xml:space="preserve">odificativo que será firmado por el señor Ministro de Agricultura y Ganadería y LA CONTRATISTA. </w:t>
      </w:r>
      <w:r>
        <w:rPr>
          <w:rFonts w:ascii="Bookman Old Style" w:hAnsi="Bookman Old Style" w:cs="Arial"/>
          <w:b/>
          <w:sz w:val="20"/>
        </w:rPr>
        <w:t>XIII. DOCUMENTOS CONTRACTUALES</w:t>
      </w:r>
      <w:r>
        <w:rPr>
          <w:rFonts w:ascii="Bookman Old Style" w:hAnsi="Bookman Old Style" w:cs="Arial"/>
          <w:sz w:val="20"/>
        </w:rPr>
        <w:t xml:space="preserve">. Forman parte integrante del presente contrato los siguientes documentos: </w:t>
      </w:r>
      <w:r>
        <w:rPr>
          <w:rFonts w:ascii="Bookman Old Style" w:hAnsi="Bookman Old Style" w:cs="Arial"/>
          <w:b/>
          <w:sz w:val="20"/>
        </w:rPr>
        <w:t>a)</w:t>
      </w:r>
      <w:r>
        <w:rPr>
          <w:rFonts w:ascii="Bookman Old Style" w:hAnsi="Bookman Old Style" w:cs="Arial"/>
          <w:sz w:val="20"/>
        </w:rPr>
        <w:t xml:space="preserve"> Bases de Licitación; </w:t>
      </w:r>
      <w:r>
        <w:rPr>
          <w:rFonts w:ascii="Bookman Old Style" w:hAnsi="Bookman Old Style" w:cs="Arial"/>
          <w:b/>
          <w:sz w:val="20"/>
        </w:rPr>
        <w:t>b)</w:t>
      </w:r>
      <w:r>
        <w:rPr>
          <w:rFonts w:ascii="Bookman Old Style" w:hAnsi="Bookman Old Style" w:cs="Arial"/>
          <w:sz w:val="20"/>
        </w:rPr>
        <w:t xml:space="preserve"> Adendas; </w:t>
      </w:r>
      <w:r>
        <w:rPr>
          <w:rFonts w:ascii="Bookman Old Style" w:hAnsi="Bookman Old Style" w:cs="Arial"/>
          <w:b/>
          <w:sz w:val="20"/>
        </w:rPr>
        <w:t>c)</w:t>
      </w:r>
      <w:r>
        <w:rPr>
          <w:rFonts w:ascii="Bookman Old Style" w:hAnsi="Bookman Old Style" w:cs="Arial"/>
          <w:sz w:val="20"/>
        </w:rPr>
        <w:t xml:space="preserve"> Aclaraciones; </w:t>
      </w:r>
      <w:r>
        <w:rPr>
          <w:rFonts w:ascii="Bookman Old Style" w:hAnsi="Bookman Old Style" w:cs="Arial"/>
          <w:b/>
          <w:sz w:val="20"/>
        </w:rPr>
        <w:t>d)</w:t>
      </w:r>
      <w:r>
        <w:rPr>
          <w:rFonts w:ascii="Bookman Old Style" w:hAnsi="Bookman Old Style" w:cs="Arial"/>
          <w:sz w:val="20"/>
        </w:rPr>
        <w:t xml:space="preserve"> Enmiendas; </w:t>
      </w:r>
      <w:r>
        <w:rPr>
          <w:rFonts w:ascii="Bookman Old Style" w:hAnsi="Bookman Old Style" w:cs="Arial"/>
          <w:b/>
          <w:sz w:val="20"/>
        </w:rPr>
        <w:t>e)</w:t>
      </w:r>
      <w:r>
        <w:rPr>
          <w:rFonts w:ascii="Bookman Old Style" w:hAnsi="Bookman Old Style" w:cs="Arial"/>
          <w:sz w:val="20"/>
        </w:rPr>
        <w:t xml:space="preserve"> Consultas; </w:t>
      </w:r>
      <w:r>
        <w:rPr>
          <w:rFonts w:ascii="Bookman Old Style" w:hAnsi="Bookman Old Style" w:cs="Arial"/>
          <w:b/>
          <w:sz w:val="20"/>
        </w:rPr>
        <w:t>f)</w:t>
      </w:r>
      <w:r>
        <w:rPr>
          <w:rFonts w:ascii="Bookman Old Style" w:hAnsi="Bookman Old Style" w:cs="Arial"/>
          <w:sz w:val="20"/>
        </w:rPr>
        <w:t xml:space="preserve"> Oferta de fecha trece de noviembre de dos mil dieciocho; </w:t>
      </w:r>
      <w:r>
        <w:rPr>
          <w:rFonts w:ascii="Bookman Old Style" w:hAnsi="Bookman Old Style" w:cs="Arial"/>
          <w:b/>
          <w:sz w:val="20"/>
        </w:rPr>
        <w:t>g)</w:t>
      </w:r>
      <w:r>
        <w:rPr>
          <w:rFonts w:ascii="Bookman Old Style" w:hAnsi="Bookman Old Style" w:cs="Arial"/>
          <w:sz w:val="20"/>
        </w:rPr>
        <w:t xml:space="preserve"> Resolución de Adjudicación; </w:t>
      </w:r>
      <w:r>
        <w:rPr>
          <w:rFonts w:ascii="Bookman Old Style" w:hAnsi="Bookman Old Style" w:cs="Arial"/>
          <w:b/>
          <w:sz w:val="20"/>
        </w:rPr>
        <w:t>h)</w:t>
      </w:r>
      <w:r>
        <w:rPr>
          <w:rFonts w:ascii="Bookman Old Style" w:hAnsi="Bookman Old Style" w:cs="Arial"/>
          <w:sz w:val="20"/>
        </w:rPr>
        <w:t xml:space="preserve"> Garantía; </w:t>
      </w:r>
      <w:r>
        <w:rPr>
          <w:rFonts w:ascii="Bookman Old Style" w:hAnsi="Bookman Old Style" w:cs="Arial"/>
          <w:b/>
          <w:sz w:val="20"/>
        </w:rPr>
        <w:t>i)</w:t>
      </w:r>
      <w:r>
        <w:rPr>
          <w:rFonts w:ascii="Bookman Old Style" w:hAnsi="Bookman Old Style" w:cs="Arial"/>
          <w:sz w:val="20"/>
        </w:rPr>
        <w:t xml:space="preserve"> Resolución modificativa, y otros documentos que emanaren del presente contrato. En caso de controversia entre estos documen</w:t>
      </w:r>
      <w:r>
        <w:rPr>
          <w:rFonts w:ascii="Bookman Old Style" w:hAnsi="Bookman Old Style" w:cs="Arial"/>
          <w:sz w:val="20"/>
        </w:rPr>
        <w:t>tos y el contrato, prevalecerá este último.</w:t>
      </w:r>
      <w:r>
        <w:rPr>
          <w:rFonts w:ascii="Bookman Old Style" w:hAnsi="Bookman Old Style" w:cs="Arial"/>
          <w:b/>
          <w:sz w:val="20"/>
        </w:rPr>
        <w:t xml:space="preserve"> XIV. INTERPRETACIÓN DEL CONTRATO</w:t>
      </w:r>
      <w:r>
        <w:rPr>
          <w:rFonts w:ascii="Bookman Old Style" w:hAnsi="Bookman Old Style" w:cs="Arial"/>
          <w:sz w:val="20"/>
        </w:rPr>
        <w:t>. De conformidad con el artículo ochenta y cuatro incisos primero y segundo de la Ley de Adquisiciones y Contrataciones de la Administración Pública, EL CONTRATANTE se reserva la f</w:t>
      </w:r>
      <w:r>
        <w:rPr>
          <w:rFonts w:ascii="Bookman Old Style" w:hAnsi="Bookman Old Style" w:cs="Arial"/>
          <w:sz w:val="20"/>
        </w:rPr>
        <w:t xml:space="preserve">acultad de </w:t>
      </w:r>
      <w:r>
        <w:rPr>
          <w:rFonts w:ascii="Bookman Old Style" w:hAnsi="Bookman Old Style" w:cs="Arial"/>
          <w:sz w:val="20"/>
        </w:rPr>
        <w:lastRenderedPageBreak/>
        <w:t>interpretar el presente contrato de conformidad con la Constitución de la República, la Ley de Adquisiciones y Contrataciones de la Administración Pública, demás legislación aplicable y los Principios Generales del Derecho Administrativo y de la</w:t>
      </w:r>
      <w:r>
        <w:rPr>
          <w:rFonts w:ascii="Bookman Old Style" w:hAnsi="Bookman Old Style" w:cs="Arial"/>
          <w:sz w:val="20"/>
        </w:rPr>
        <w:t xml:space="preserve"> forma que más convenga al interés público que se pretende satisfacer de forma directa o indirecta con la prestación objeto del presente instrumento, pudiendo en tal caso girar las instrucciones por escrito que al respecto considere convenientes. LA CONTRA</w:t>
      </w:r>
      <w:r>
        <w:rPr>
          <w:rFonts w:ascii="Bookman Old Style" w:hAnsi="Bookman Old Style" w:cs="Arial"/>
          <w:sz w:val="20"/>
        </w:rPr>
        <w:t xml:space="preserve">TISTA expresamente acepta tal disposición y se obliga a dar estricto cumplimiento a las instrucciones que al respecto dicte EL CONTRATANTE las cuales le serán comunicadas por medio del administrador del contrato. </w:t>
      </w:r>
      <w:r>
        <w:rPr>
          <w:rFonts w:ascii="Bookman Old Style" w:hAnsi="Bookman Old Style" w:cs="Arial"/>
          <w:b/>
          <w:sz w:val="20"/>
        </w:rPr>
        <w:t>XV. MODIFICACIÓN UNILATERAL</w:t>
      </w:r>
      <w:r>
        <w:rPr>
          <w:rFonts w:ascii="Bookman Old Style" w:hAnsi="Bookman Old Style" w:cs="Arial"/>
          <w:sz w:val="20"/>
        </w:rPr>
        <w:t>. Queda convenid</w:t>
      </w:r>
      <w:r>
        <w:rPr>
          <w:rFonts w:ascii="Bookman Old Style" w:hAnsi="Bookman Old Style" w:cs="Arial"/>
          <w:sz w:val="20"/>
        </w:rPr>
        <w:t>o por ambas partes que cuando el interés público lo hiciera necesario, sea por necesidades nuevas, causas imprevistas u otras circunstancias, EL CONTRATANTE podrá modificar de forma unilateral el presente contrato, emitiendo al efecto la resolución corresp</w:t>
      </w:r>
      <w:r>
        <w:rPr>
          <w:rFonts w:ascii="Bookman Old Style" w:hAnsi="Bookman Old Style" w:cs="Arial"/>
          <w:sz w:val="20"/>
        </w:rPr>
        <w:t xml:space="preserve">ondiente, la que formará parte integrante del presente contrato. </w:t>
      </w:r>
      <w:r>
        <w:rPr>
          <w:rFonts w:ascii="Bookman Old Style" w:hAnsi="Bookman Old Style" w:cs="Arial"/>
          <w:b/>
          <w:sz w:val="20"/>
        </w:rPr>
        <w:t>XVI. FUERZA MAYOR O CASO FORTUITO</w:t>
      </w:r>
      <w:r>
        <w:rPr>
          <w:rFonts w:ascii="Bookman Old Style" w:hAnsi="Bookman Old Style" w:cs="Arial"/>
          <w:sz w:val="20"/>
        </w:rPr>
        <w:t>.</w:t>
      </w:r>
      <w:r>
        <w:rPr>
          <w:rFonts w:ascii="Bookman Old Style" w:hAnsi="Bookman Old Style" w:cs="Arial"/>
          <w:b/>
          <w:sz w:val="20"/>
        </w:rPr>
        <w:t xml:space="preserve"> </w:t>
      </w:r>
      <w:r>
        <w:rPr>
          <w:rFonts w:ascii="Bookman Old Style" w:hAnsi="Bookman Old Style" w:cs="Arial"/>
          <w:iCs/>
          <w:sz w:val="20"/>
        </w:rPr>
        <w:t>En caso fortuito o fuerza mayor y de conformidad con el artículo ochenta y seis de la Ley de Adquisiciones y Contrataciones de la Administración Pública, LA</w:t>
      </w:r>
      <w:r>
        <w:rPr>
          <w:rFonts w:ascii="Bookman Old Style" w:hAnsi="Bookman Old Style" w:cs="Arial"/>
          <w:iCs/>
          <w:sz w:val="20"/>
        </w:rPr>
        <w:t xml:space="preserve"> CONTRATISTA, previa justificación y entrega de la prórroga de la garantía cuando proceda podrá solicitar una prórroga del plazo de cumplimiento de las obligaciones objeto del presente contrato</w:t>
      </w:r>
      <w:r>
        <w:rPr>
          <w:rFonts w:ascii="Bookman Old Style" w:hAnsi="Bookman Old Style" w:cs="Arial"/>
          <w:iCs/>
          <w:sz w:val="20"/>
          <w:lang w:val="es-SV"/>
        </w:rPr>
        <w:t xml:space="preserve">. </w:t>
      </w:r>
      <w:r>
        <w:rPr>
          <w:rFonts w:ascii="Bookman Old Style" w:hAnsi="Bookman Old Style" w:cs="Arial"/>
          <w:sz w:val="20"/>
        </w:rPr>
        <w:t>Para los efectos de este contrato, fuerza mayor o caso fortui</w:t>
      </w:r>
      <w:r>
        <w:rPr>
          <w:rFonts w:ascii="Bookman Old Style" w:hAnsi="Bookman Old Style" w:cs="Arial"/>
          <w:sz w:val="20"/>
        </w:rPr>
        <w:t>to significa un evento que escapa al control de una de las partes y el cual hace que el cumplimiento de las obligaciones contractuales de esa parte resulte imposible o impráctico en atención a las circunstancias. Esto incluye, pero no se limita a guerra, m</w:t>
      </w:r>
      <w:r>
        <w:rPr>
          <w:rFonts w:ascii="Bookman Old Style" w:hAnsi="Bookman Old Style" w:cs="Arial"/>
          <w:sz w:val="20"/>
        </w:rPr>
        <w:t xml:space="preserve">otines, disturbios civiles, terremoto, incendio, explosión, inundación u otras condiciones climáticas adversas, huelgas, cierres empresariales u otras acciones similares. </w:t>
      </w:r>
      <w:r>
        <w:rPr>
          <w:rFonts w:ascii="Bookman Old Style" w:hAnsi="Bookman Old Style" w:cs="Arial"/>
          <w:b/>
          <w:sz w:val="20"/>
        </w:rPr>
        <w:t>XVII. SOLUCIÓN DE CONFLICTOS</w:t>
      </w:r>
      <w:r>
        <w:rPr>
          <w:rFonts w:ascii="Bookman Old Style" w:hAnsi="Bookman Old Style" w:cs="Arial"/>
          <w:sz w:val="20"/>
        </w:rPr>
        <w:t xml:space="preserve">. </w:t>
      </w:r>
      <w:r>
        <w:rPr>
          <w:rFonts w:ascii="Bookman Old Style" w:hAnsi="Bookman Old Style" w:cs="Tahoma"/>
          <w:sz w:val="20"/>
          <w:lang w:val="es-ES"/>
        </w:rPr>
        <w:t>Para resolver las diferencias o conflictos que surgiere</w:t>
      </w:r>
      <w:r>
        <w:rPr>
          <w:rFonts w:ascii="Bookman Old Style" w:hAnsi="Bookman Old Style" w:cs="Tahoma"/>
          <w:sz w:val="20"/>
          <w:lang w:val="es-ES"/>
        </w:rPr>
        <w:t>n durante la ejecución del contrato, se acudirá a los tribunales comunes.</w:t>
      </w:r>
      <w:r>
        <w:rPr>
          <w:rFonts w:ascii="Bookman Old Style" w:hAnsi="Bookman Old Style" w:cs="Arial"/>
          <w:sz w:val="20"/>
        </w:rPr>
        <w:t xml:space="preserve"> </w:t>
      </w:r>
      <w:r>
        <w:rPr>
          <w:rFonts w:ascii="Bookman Old Style" w:hAnsi="Bookman Old Style" w:cs="Arial"/>
          <w:b/>
          <w:sz w:val="20"/>
        </w:rPr>
        <w:t>XVIII. TERMINACIÓN BILATERAL</w:t>
      </w:r>
      <w:r>
        <w:rPr>
          <w:rFonts w:ascii="Bookman Old Style" w:hAnsi="Bookman Old Style" w:cs="Arial"/>
          <w:sz w:val="20"/>
        </w:rPr>
        <w:t>.</w:t>
      </w:r>
      <w:r>
        <w:rPr>
          <w:rFonts w:ascii="Bookman Old Style" w:hAnsi="Bookman Old Style" w:cs="Arial"/>
          <w:b/>
          <w:sz w:val="20"/>
        </w:rPr>
        <w:t xml:space="preserve"> </w:t>
      </w:r>
      <w:r>
        <w:rPr>
          <w:rFonts w:ascii="Bookman Old Style" w:hAnsi="Bookman Old Style" w:cs="Arial"/>
          <w:sz w:val="20"/>
        </w:rPr>
        <w:t xml:space="preserve">Las partes contratantes podrán de conformidad con el artículo noventa y cinco de la Ley de Adquisiciones y Contrataciones de la Administración Pública, </w:t>
      </w:r>
      <w:r>
        <w:rPr>
          <w:rFonts w:ascii="Bookman Old Style" w:hAnsi="Bookman Old Style" w:cs="Arial"/>
          <w:sz w:val="20"/>
        </w:rPr>
        <w:t>dar por terminada bilateralmente la relación jurídica que emana del presente contrato, debiendo en tal caso emitirse la resolución correspondiente y otorgarse el instrumento de resciliación en un plazo no mayor de treinta días hábiles de notificada tal res</w:t>
      </w:r>
      <w:r>
        <w:rPr>
          <w:rFonts w:ascii="Bookman Old Style" w:hAnsi="Bookman Old Style" w:cs="Arial"/>
          <w:sz w:val="20"/>
        </w:rPr>
        <w:t xml:space="preserve">olución. </w:t>
      </w:r>
      <w:r>
        <w:rPr>
          <w:rFonts w:ascii="Bookman Old Style" w:hAnsi="Bookman Old Style" w:cs="Arial"/>
          <w:b/>
          <w:sz w:val="20"/>
        </w:rPr>
        <w:t>XIX. DOMICILIO ESPECIAL</w:t>
      </w:r>
      <w:r>
        <w:rPr>
          <w:rFonts w:ascii="Bookman Old Style" w:hAnsi="Bookman Old Style" w:cs="Arial"/>
          <w:sz w:val="20"/>
        </w:rPr>
        <w:t xml:space="preserve">. </w:t>
      </w:r>
      <w:r>
        <w:rPr>
          <w:rFonts w:ascii="Bookman Old Style" w:hAnsi="Bookman Old Style" w:cs="Tahoma"/>
          <w:sz w:val="20"/>
        </w:rPr>
        <w:t>Para los efectos jurisdiccionales de este contrato los contratantes señalan como domicilio especial la ciudad de Santa Tecla, departamento de La Libertad, a la competencia de cuyos tribunales se someten.</w:t>
      </w:r>
      <w:r>
        <w:rPr>
          <w:rFonts w:ascii="Bookman Old Style" w:hAnsi="Bookman Old Style" w:cs="Arial"/>
          <w:sz w:val="20"/>
        </w:rPr>
        <w:t xml:space="preserve"> </w:t>
      </w:r>
      <w:r>
        <w:rPr>
          <w:rFonts w:ascii="Bookman Old Style" w:hAnsi="Bookman Old Style" w:cs="Arial"/>
          <w:b/>
          <w:sz w:val="20"/>
        </w:rPr>
        <w:t>XX. NOTIFICACIONES</w:t>
      </w:r>
      <w:r>
        <w:rPr>
          <w:rFonts w:ascii="Bookman Old Style" w:hAnsi="Bookman Old Style" w:cs="Arial"/>
          <w:sz w:val="20"/>
        </w:rPr>
        <w:t>.</w:t>
      </w:r>
      <w:r>
        <w:rPr>
          <w:rFonts w:ascii="Bookman Old Style" w:hAnsi="Bookman Old Style" w:cs="Arial"/>
          <w:b/>
          <w:sz w:val="20"/>
        </w:rPr>
        <w:t xml:space="preserve"> </w:t>
      </w:r>
      <w:r>
        <w:rPr>
          <w:rFonts w:ascii="Bookman Old Style" w:hAnsi="Bookman Old Style" w:cs="Arial"/>
          <w:sz w:val="20"/>
        </w:rPr>
        <w:t xml:space="preserve">Todas las notificaciones referentes a la ejecución de este contrato, serán válidas solamente cuando sean hechas por escrito a </w:t>
      </w:r>
      <w:r>
        <w:rPr>
          <w:rFonts w:ascii="Bookman Old Style" w:hAnsi="Bookman Old Style" w:cs="Arial"/>
          <w:bCs/>
          <w:sz w:val="20"/>
        </w:rPr>
        <w:t>EL CONTRATANTE</w:t>
      </w:r>
      <w:r>
        <w:rPr>
          <w:rFonts w:ascii="Bookman Old Style" w:hAnsi="Bookman Old Style" w:cs="Arial"/>
          <w:sz w:val="20"/>
        </w:rPr>
        <w:t xml:space="preserve"> a través del Administrador del Contrato, en las oficinas de la División </w:t>
      </w:r>
      <w:r>
        <w:rPr>
          <w:rFonts w:ascii="Bookman Old Style" w:hAnsi="Bookman Old Style" w:cs="Arial"/>
          <w:sz w:val="20"/>
        </w:rPr>
        <w:lastRenderedPageBreak/>
        <w:t>de Logística del Ministerio de Agricultur</w:t>
      </w:r>
      <w:r>
        <w:rPr>
          <w:rFonts w:ascii="Bookman Old Style" w:hAnsi="Bookman Old Style" w:cs="Arial"/>
          <w:sz w:val="20"/>
        </w:rPr>
        <w:t xml:space="preserve">a y Ganadería, ubicado en Final Primera Avenida Norte, Trece Calle Oriente y Avenida Manuel Gallardo, Santa Tecla, departamento de La Libertad; y a LA CONTRATISTA a través del señor César Augusto Pacas Ramírez, </w:t>
      </w:r>
      <w:r w:rsidR="00FD253D" w:rsidRPr="0052471B">
        <w:rPr>
          <w:rFonts w:ascii="Calibri Light" w:hAnsi="Calibri Light" w:cs="Calibri"/>
          <w:sz w:val="22"/>
          <w:szCs w:val="22"/>
          <w:highlight w:val="black"/>
          <w:lang w:val="es-ES" w:eastAsia="ar-SA"/>
        </w:rPr>
        <w:t>xxxxxxxxxxxxxxxxxxxxxxxxxxxxxxxxxxxxxxxxxxxxxxxxxxxxxxxxxxxxx</w:t>
      </w:r>
      <w:r w:rsidR="00FD253D" w:rsidRPr="006A7C19">
        <w:rPr>
          <w:rFonts w:ascii="Calibri Light" w:hAnsi="Calibri Light" w:cs="Calibri"/>
          <w:sz w:val="22"/>
          <w:szCs w:val="22"/>
          <w:lang w:val="es-ES" w:eastAsia="ar-SA"/>
        </w:rPr>
        <w:t xml:space="preserve">; </w:t>
      </w:r>
      <w:bookmarkStart w:id="0" w:name="_GoBack"/>
      <w:bookmarkEnd w:id="0"/>
      <w:r>
        <w:rPr>
          <w:rFonts w:ascii="Bookman Old Style" w:hAnsi="Bookman Old Style" w:cs="Arial"/>
          <w:sz w:val="20"/>
        </w:rPr>
        <w:t xml:space="preserve">Así nos expresamos los otorgantes, quienes enterados y conscientes de los términos y efectos legales del presente contrato, por convenir así a los </w:t>
      </w:r>
      <w:r>
        <w:rPr>
          <w:rFonts w:ascii="Bookman Old Style" w:hAnsi="Bookman Old Style" w:cs="Arial"/>
          <w:sz w:val="20"/>
        </w:rPr>
        <w:t>intereses de nuestros representados, ratificamos su contenido, en fe de lo cual firmamos, en la ciudad de Santa Tecla, a los catorce días del mes de diciembre de dos mil dieciocho.</w:t>
      </w:r>
    </w:p>
    <w:p w:rsidR="008E5CF4" w:rsidRDefault="008E5CF4">
      <w:pPr>
        <w:spacing w:line="360" w:lineRule="auto"/>
        <w:jc w:val="both"/>
        <w:rPr>
          <w:rFonts w:cs="Arial"/>
          <w:i w:val="0"/>
          <w:sz w:val="20"/>
          <w:lang w:val="es-ES_tradnl"/>
        </w:rPr>
      </w:pPr>
    </w:p>
    <w:p w:rsidR="008E5CF4" w:rsidRDefault="008E5CF4">
      <w:pPr>
        <w:spacing w:line="360" w:lineRule="auto"/>
        <w:jc w:val="both"/>
        <w:rPr>
          <w:rFonts w:cs="Arial"/>
          <w:i w:val="0"/>
          <w:sz w:val="20"/>
        </w:rPr>
      </w:pPr>
    </w:p>
    <w:p w:rsidR="008E5CF4" w:rsidRDefault="008E5CF4">
      <w:pPr>
        <w:spacing w:line="360" w:lineRule="auto"/>
        <w:jc w:val="both"/>
        <w:rPr>
          <w:rFonts w:cs="Arial"/>
          <w:i w:val="0"/>
          <w:sz w:val="20"/>
        </w:rPr>
      </w:pPr>
    </w:p>
    <w:p w:rsidR="008E5CF4" w:rsidRDefault="008E5CF4">
      <w:pPr>
        <w:spacing w:line="360" w:lineRule="auto"/>
        <w:ind w:firstLine="708"/>
        <w:jc w:val="both"/>
        <w:rPr>
          <w:rFonts w:cs="Arial"/>
          <w:i w:val="0"/>
          <w:sz w:val="20"/>
        </w:rPr>
      </w:pPr>
    </w:p>
    <w:p w:rsidR="008E5CF4" w:rsidRDefault="008E5CF4">
      <w:pPr>
        <w:spacing w:line="360" w:lineRule="auto"/>
        <w:ind w:firstLine="708"/>
        <w:jc w:val="both"/>
        <w:rPr>
          <w:rFonts w:cs="Arial"/>
          <w:i w:val="0"/>
          <w:sz w:val="20"/>
        </w:rPr>
      </w:pPr>
    </w:p>
    <w:p w:rsidR="008E5CF4" w:rsidRDefault="008E5CF4">
      <w:pPr>
        <w:spacing w:line="360" w:lineRule="auto"/>
        <w:ind w:firstLine="708"/>
        <w:jc w:val="both"/>
        <w:rPr>
          <w:rFonts w:cs="Arial"/>
          <w:i w:val="0"/>
          <w:sz w:val="20"/>
        </w:rPr>
      </w:pPr>
    </w:p>
    <w:p w:rsidR="008E5CF4" w:rsidRDefault="008E5CF4">
      <w:pPr>
        <w:spacing w:line="360" w:lineRule="auto"/>
        <w:ind w:firstLine="708"/>
        <w:jc w:val="both"/>
        <w:rPr>
          <w:rFonts w:cs="Arial"/>
          <w:i w:val="0"/>
          <w:sz w:val="20"/>
        </w:rPr>
      </w:pPr>
    </w:p>
    <w:p w:rsidR="008E5CF4" w:rsidRDefault="00B97B02">
      <w:pPr>
        <w:jc w:val="both"/>
        <w:rPr>
          <w:rFonts w:cs="Tahoma"/>
          <w:i w:val="0"/>
          <w:sz w:val="20"/>
        </w:rPr>
      </w:pPr>
      <w:r>
        <w:rPr>
          <w:rFonts w:cs="Tahoma"/>
          <w:i w:val="0"/>
          <w:sz w:val="20"/>
        </w:rPr>
        <w:t>____________________________________</w:t>
      </w:r>
      <w:r>
        <w:rPr>
          <w:rFonts w:cs="Tahoma"/>
          <w:i w:val="0"/>
          <w:sz w:val="20"/>
        </w:rPr>
        <w:tab/>
      </w:r>
      <w:r>
        <w:rPr>
          <w:rFonts w:cs="Tahoma"/>
          <w:i w:val="0"/>
          <w:sz w:val="20"/>
        </w:rPr>
        <w:t xml:space="preserve">              ____________________________________</w:t>
      </w:r>
    </w:p>
    <w:p w:rsidR="008E5CF4" w:rsidRDefault="00B97B02">
      <w:pPr>
        <w:jc w:val="both"/>
        <w:rPr>
          <w:rFonts w:cs="Tahoma"/>
          <w:b/>
          <w:i w:val="0"/>
          <w:sz w:val="20"/>
          <w:lang w:val="pt-BR"/>
        </w:rPr>
      </w:pPr>
      <w:r>
        <w:rPr>
          <w:rFonts w:cs="Tahoma"/>
          <w:b/>
          <w:i w:val="0"/>
          <w:sz w:val="20"/>
          <w:lang w:val="es-ES_tradnl"/>
        </w:rPr>
        <w:t xml:space="preserve">     </w:t>
      </w:r>
      <w:r>
        <w:rPr>
          <w:rFonts w:cs="Tahoma"/>
          <w:b/>
          <w:i w:val="0"/>
          <w:sz w:val="20"/>
        </w:rPr>
        <w:t>Walter Ulises Menjívar Díaz</w:t>
      </w:r>
      <w:r>
        <w:rPr>
          <w:rFonts w:cs="Tahoma"/>
          <w:b/>
          <w:i w:val="0"/>
          <w:sz w:val="20"/>
          <w:lang w:val="es-ES_tradnl"/>
        </w:rPr>
        <w:t xml:space="preserve"> </w:t>
      </w:r>
      <w:r>
        <w:rPr>
          <w:rFonts w:cs="Tahoma"/>
          <w:b/>
          <w:i w:val="0"/>
          <w:sz w:val="20"/>
          <w:lang w:val="pt-BR"/>
        </w:rPr>
        <w:t xml:space="preserve">                               </w:t>
      </w:r>
      <w:r>
        <w:rPr>
          <w:rFonts w:cs="Arial"/>
          <w:b/>
          <w:i w:val="0"/>
          <w:sz w:val="20"/>
          <w:lang w:val="es-ES_tradnl"/>
        </w:rPr>
        <w:t>César Augusto Pacas Ramírez</w:t>
      </w:r>
    </w:p>
    <w:p w:rsidR="008E5CF4" w:rsidRDefault="00B97B02">
      <w:pPr>
        <w:ind w:firstLine="708"/>
        <w:jc w:val="both"/>
        <w:rPr>
          <w:rFonts w:cs="Tahoma"/>
          <w:b/>
          <w:i w:val="0"/>
          <w:sz w:val="20"/>
        </w:rPr>
      </w:pPr>
      <w:r>
        <w:rPr>
          <w:rFonts w:cs="Tahoma"/>
          <w:b/>
          <w:i w:val="0"/>
          <w:sz w:val="12"/>
          <w:szCs w:val="12"/>
          <w:lang w:eastAsia="ar-SA"/>
        </w:rPr>
        <w:t>“AUTORIZADO POR ACUERDO EJECUTIVO</w:t>
      </w:r>
      <w:r>
        <w:rPr>
          <w:rFonts w:cs="Tahoma"/>
          <w:b/>
          <w:i w:val="0"/>
          <w:sz w:val="20"/>
        </w:rPr>
        <w:t xml:space="preserve">                </w:t>
      </w:r>
      <w:r>
        <w:rPr>
          <w:rFonts w:cs="Tahoma"/>
          <w:b/>
          <w:i w:val="0"/>
          <w:sz w:val="20"/>
        </w:rPr>
        <w:tab/>
        <w:t xml:space="preserve">                 LA CONTRATISTA</w:t>
      </w:r>
    </w:p>
    <w:p w:rsidR="008E5CF4" w:rsidRDefault="00B97B02">
      <w:pPr>
        <w:suppressAutoHyphens/>
        <w:jc w:val="both"/>
        <w:rPr>
          <w:rFonts w:cs="Tahoma"/>
          <w:b/>
          <w:i w:val="0"/>
          <w:sz w:val="12"/>
          <w:szCs w:val="12"/>
          <w:lang w:eastAsia="ar-SA"/>
        </w:rPr>
      </w:pPr>
      <w:r>
        <w:rPr>
          <w:rFonts w:cs="Tahoma"/>
          <w:b/>
          <w:i w:val="0"/>
          <w:sz w:val="12"/>
          <w:szCs w:val="12"/>
          <w:lang w:eastAsia="ar-SA"/>
        </w:rPr>
        <w:t xml:space="preserve">        EN EL RAMO DE </w:t>
      </w:r>
      <w:r>
        <w:rPr>
          <w:rFonts w:cs="Tahoma"/>
          <w:b/>
          <w:i w:val="0"/>
          <w:sz w:val="12"/>
          <w:szCs w:val="12"/>
          <w:lang w:eastAsia="ar-SA"/>
        </w:rPr>
        <w:t>AGRICULTURA Y GANADERIA No. 605</w:t>
      </w:r>
    </w:p>
    <w:p w:rsidR="008E5CF4" w:rsidRDefault="00B97B02">
      <w:pPr>
        <w:spacing w:line="360" w:lineRule="auto"/>
        <w:ind w:firstLine="708"/>
        <w:jc w:val="both"/>
        <w:rPr>
          <w:rFonts w:cs="Arial"/>
          <w:i w:val="0"/>
          <w:sz w:val="20"/>
        </w:rPr>
      </w:pPr>
      <w:r>
        <w:rPr>
          <w:rFonts w:cs="Tahoma"/>
          <w:b/>
          <w:i w:val="0"/>
          <w:sz w:val="12"/>
          <w:szCs w:val="12"/>
          <w:lang w:eastAsia="ar-SA"/>
        </w:rPr>
        <w:t>DE FECHA 03 DE SEPTIEMBRE DE 2015”</w:t>
      </w:r>
    </w:p>
    <w:p w:rsidR="008E5CF4" w:rsidRDefault="008E5CF4">
      <w:pPr>
        <w:spacing w:line="360" w:lineRule="auto"/>
        <w:ind w:firstLine="708"/>
        <w:jc w:val="both"/>
        <w:rPr>
          <w:rFonts w:cs="Arial"/>
          <w:i w:val="0"/>
          <w:sz w:val="20"/>
        </w:rPr>
      </w:pPr>
    </w:p>
    <w:p w:rsidR="00FD253D" w:rsidRDefault="00FD253D">
      <w:pPr>
        <w:spacing w:line="360" w:lineRule="auto"/>
        <w:ind w:firstLine="708"/>
        <w:jc w:val="both"/>
        <w:rPr>
          <w:rFonts w:cs="Arial"/>
          <w:i w:val="0"/>
          <w:sz w:val="20"/>
        </w:rPr>
      </w:pPr>
    </w:p>
    <w:p w:rsidR="00FD253D" w:rsidRPr="00561029" w:rsidRDefault="00FD253D" w:rsidP="00FD253D">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FD253D" w:rsidRDefault="00FD253D" w:rsidP="00FD253D">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FD253D" w:rsidRDefault="00FD253D" w:rsidP="00FD253D">
      <w:pPr>
        <w:jc w:val="center"/>
        <w:rPr>
          <w:rFonts w:ascii="Calibri Light" w:hAnsi="Calibri Light" w:cs="Arial"/>
          <w:b/>
          <w:bCs/>
          <w:color w:val="1B1B1B"/>
          <w:sz w:val="22"/>
          <w:szCs w:val="22"/>
        </w:rPr>
      </w:pPr>
    </w:p>
    <w:sectPr w:rsidR="00FD253D">
      <w:footerReference w:type="default" r:id="rId6"/>
      <w:pgSz w:w="12240" w:h="15840"/>
      <w:pgMar w:top="1701" w:right="1701" w:bottom="1701"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02" w:rsidRDefault="00B97B02">
      <w:r>
        <w:separator/>
      </w:r>
    </w:p>
  </w:endnote>
  <w:endnote w:type="continuationSeparator" w:id="0">
    <w:p w:rsidR="00B97B02" w:rsidRDefault="00B9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imes New Roman Bold">
    <w:charset w:val="01"/>
    <w:family w:val="roman"/>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mazone BT">
    <w:altName w:val="Times New Roman"/>
    <w:charset w:val="01"/>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677306"/>
      <w:docPartObj>
        <w:docPartGallery w:val="Page Numbers (Bottom of Page)"/>
        <w:docPartUnique/>
      </w:docPartObj>
    </w:sdtPr>
    <w:sdtEndPr/>
    <w:sdtContent>
      <w:p w:rsidR="008E5CF4" w:rsidRDefault="00B97B02">
        <w:pPr>
          <w:pStyle w:val="Piedepgina"/>
          <w:jc w:val="right"/>
        </w:pPr>
        <w:r>
          <w:rPr>
            <w:rFonts w:ascii="Amazone BT" w:hAnsi="Amazone BT"/>
            <w:sz w:val="16"/>
            <w:szCs w:val="16"/>
          </w:rPr>
          <w:fldChar w:fldCharType="begin"/>
        </w:r>
        <w:r>
          <w:rPr>
            <w:rFonts w:ascii="Amazone BT" w:hAnsi="Amazone BT"/>
            <w:sz w:val="16"/>
            <w:szCs w:val="16"/>
          </w:rPr>
          <w:instrText>PAGE</w:instrText>
        </w:r>
        <w:r>
          <w:rPr>
            <w:rFonts w:ascii="Amazone BT" w:hAnsi="Amazone BT"/>
            <w:sz w:val="16"/>
            <w:szCs w:val="16"/>
          </w:rPr>
          <w:fldChar w:fldCharType="separate"/>
        </w:r>
        <w:r w:rsidR="00FD253D">
          <w:rPr>
            <w:rFonts w:ascii="Amazone BT" w:hAnsi="Amazone BT"/>
            <w:noProof/>
            <w:sz w:val="16"/>
            <w:szCs w:val="16"/>
          </w:rPr>
          <w:t>5</w:t>
        </w:r>
        <w:r>
          <w:rPr>
            <w:rFonts w:ascii="Amazone BT" w:hAnsi="Amazone BT"/>
            <w:sz w:val="16"/>
            <w:szCs w:val="16"/>
          </w:rPr>
          <w:fldChar w:fldCharType="end"/>
        </w:r>
      </w:p>
    </w:sdtContent>
  </w:sdt>
  <w:p w:rsidR="008E5CF4" w:rsidRDefault="008E5C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02" w:rsidRDefault="00B97B02">
      <w:r>
        <w:separator/>
      </w:r>
    </w:p>
  </w:footnote>
  <w:footnote w:type="continuationSeparator" w:id="0">
    <w:p w:rsidR="00B97B02" w:rsidRDefault="00B9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F4"/>
    <w:rsid w:val="008E5CF4"/>
    <w:rsid w:val="00B97B02"/>
    <w:rsid w:val="00FD253D"/>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7ECC"/>
  <w15:docId w15:val="{EC282FE5-E076-4CB3-8402-7C381BF1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53"/>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qFormat/>
    <w:rsid w:val="009C3F53"/>
    <w:pPr>
      <w:suppressAutoHyphens/>
      <w:jc w:val="center"/>
      <w:outlineLvl w:val="2"/>
    </w:pPr>
    <w:rPr>
      <w:rFonts w:ascii="Times New Roman Bold" w:hAnsi="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9C3F53"/>
    <w:rPr>
      <w:rFonts w:ascii="Times New Roman Bold" w:eastAsia="Times New Roman" w:hAnsi="Times New Roman Bold" w:cs="Times New Roman"/>
      <w:b/>
      <w:sz w:val="28"/>
      <w:szCs w:val="20"/>
      <w:lang w:val="en-US" w:eastAsia="es-ES"/>
    </w:rPr>
  </w:style>
  <w:style w:type="character" w:customStyle="1" w:styleId="TextoindependienteCar">
    <w:name w:val="Texto independiente Car"/>
    <w:basedOn w:val="Fuentedeprrafopredeter"/>
    <w:link w:val="Textoindependiente"/>
    <w:qFormat/>
    <w:rsid w:val="009C3F53"/>
    <w:rPr>
      <w:rFonts w:ascii="Times New Roman" w:eastAsia="Times New Roman" w:hAnsi="Times New Roman" w:cs="Times New Roman"/>
      <w:sz w:val="18"/>
      <w:szCs w:val="20"/>
      <w:lang w:val="es-ES_tradnl" w:eastAsia="es-ES"/>
    </w:rPr>
  </w:style>
  <w:style w:type="character" w:customStyle="1" w:styleId="PiedepginaCar">
    <w:name w:val="Pie de página Car"/>
    <w:basedOn w:val="Fuentedeprrafopredeter"/>
    <w:link w:val="Piedepgina"/>
    <w:uiPriority w:val="99"/>
    <w:qFormat/>
    <w:rsid w:val="009C3F53"/>
    <w:rPr>
      <w:rFonts w:ascii="Arial" w:eastAsia="Times New Roman" w:hAnsi="Arial" w:cs="Arial"/>
      <w:lang w:val="es-ES" w:eastAsia="es-ES"/>
    </w:rPr>
  </w:style>
  <w:style w:type="paragraph" w:styleId="Ttulo">
    <w:name w:val="Title"/>
    <w:basedOn w:val="Normal"/>
    <w:next w:val="Textoindependiente"/>
    <w:qFormat/>
    <w:pPr>
      <w:keepNext/>
      <w:spacing w:before="240" w:after="120"/>
    </w:pPr>
    <w:rPr>
      <w:rFonts w:ascii="Times New Roman" w:eastAsia="Microsoft YaHei" w:hAnsi="Times New Roman" w:cs="Lucida Sans"/>
      <w:sz w:val="28"/>
      <w:szCs w:val="28"/>
    </w:rPr>
  </w:style>
  <w:style w:type="paragraph" w:styleId="Textoindependiente">
    <w:name w:val="Body Text"/>
    <w:basedOn w:val="Normal"/>
    <w:link w:val="TextoindependienteCar"/>
    <w:rsid w:val="009C3F53"/>
    <w:pPr>
      <w:jc w:val="both"/>
    </w:pPr>
    <w:rPr>
      <w:rFonts w:ascii="Times New Roman" w:hAnsi="Times New Roman"/>
      <w:i w:val="0"/>
      <w:sz w:val="18"/>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ascii="Times New Roman" w:hAnsi="Times New Roman" w:cs="Lucida Sans"/>
      <w:iCs/>
      <w:szCs w:val="24"/>
    </w:rPr>
  </w:style>
  <w:style w:type="paragraph" w:customStyle="1" w:styleId="ndice">
    <w:name w:val="Índice"/>
    <w:basedOn w:val="Normal"/>
    <w:qFormat/>
    <w:pPr>
      <w:suppressLineNumbers/>
    </w:pPr>
    <w:rPr>
      <w:rFonts w:ascii="Times New Roman" w:hAnsi="Times New Roman" w:cs="Lucida Sans"/>
    </w:rPr>
  </w:style>
  <w:style w:type="paragraph" w:styleId="Piedepgina">
    <w:name w:val="footer"/>
    <w:basedOn w:val="Normal"/>
    <w:link w:val="PiedepginaCar"/>
    <w:uiPriority w:val="99"/>
    <w:rsid w:val="009C3F53"/>
    <w:pPr>
      <w:tabs>
        <w:tab w:val="center" w:pos="4252"/>
        <w:tab w:val="right" w:pos="8504"/>
      </w:tabs>
    </w:pPr>
    <w:rPr>
      <w:rFonts w:ascii="Arial" w:hAnsi="Arial" w:cs="Arial"/>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2828</Words>
  <Characters>15560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Estrada Olivares</dc:creator>
  <dc:description/>
  <cp:lastModifiedBy>Dorys Beatriz Coto Herrera</cp:lastModifiedBy>
  <cp:revision>2</cp:revision>
  <dcterms:created xsi:type="dcterms:W3CDTF">2019-02-05T16:10:00Z</dcterms:created>
  <dcterms:modified xsi:type="dcterms:W3CDTF">2019-02-05T16:10:00Z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