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A15" w:rsidRDefault="002A43F3">
      <w:pPr>
        <w:framePr w:wrap="notBeside" w:vAnchor="text" w:hAnchor="text" w:xAlign="center" w:y="1"/>
        <w:jc w:val="center"/>
        <w:rPr>
          <w:sz w:val="0"/>
          <w:szCs w:val="0"/>
        </w:rPr>
      </w:pPr>
      <w:r>
        <w:rPr>
          <w:noProof/>
          <w:lang w:val="es-SV"/>
        </w:rPr>
        <w:drawing>
          <wp:inline distT="0" distB="0" distL="0" distR="0">
            <wp:extent cx="914400" cy="796290"/>
            <wp:effectExtent l="0" t="0" r="0" b="3810"/>
            <wp:docPr id="1" name="Imagen 1"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96290"/>
                    </a:xfrm>
                    <a:prstGeom prst="rect">
                      <a:avLst/>
                    </a:prstGeom>
                    <a:noFill/>
                    <a:ln>
                      <a:noFill/>
                    </a:ln>
                  </pic:spPr>
                </pic:pic>
              </a:graphicData>
            </a:graphic>
          </wp:inline>
        </w:drawing>
      </w:r>
    </w:p>
    <w:p w:rsidR="00B37A15" w:rsidRDefault="00B37A15">
      <w:pPr>
        <w:rPr>
          <w:sz w:val="2"/>
          <w:szCs w:val="2"/>
        </w:rPr>
      </w:pPr>
    </w:p>
    <w:p w:rsidR="00B37A15" w:rsidRDefault="007C54C9">
      <w:pPr>
        <w:pStyle w:val="Cuerpodeltexto20"/>
        <w:shd w:val="clear" w:color="auto" w:fill="auto"/>
        <w:spacing w:after="110"/>
      </w:pPr>
      <w:r>
        <w:t>"CONTRATO DE SERVICIO DE ENLACE DE DATOS, ACCESO A INTERNET Y TELEFONIA PARA EL MINISTERIO DE GOBERNACIÓN Y DESARROLLO TERRITORIAL Y SUS DEPENDENCIAS" No. MG-071/2017</w:t>
      </w:r>
    </w:p>
    <w:p w:rsidR="00B37A15" w:rsidRDefault="007C54C9">
      <w:pPr>
        <w:pStyle w:val="Cuerpodeltexto0"/>
        <w:shd w:val="clear" w:color="auto" w:fill="auto"/>
        <w:spacing w:before="0"/>
        <w:ind w:left="20" w:right="20"/>
        <w:sectPr w:rsidR="00B37A15">
          <w:footerReference w:type="default" r:id="rId8"/>
          <w:type w:val="continuous"/>
          <w:pgSz w:w="11905" w:h="16837"/>
          <w:pgMar w:top="1675" w:right="1129" w:bottom="1725" w:left="1413" w:header="0" w:footer="3" w:gutter="0"/>
          <w:cols w:space="720"/>
          <w:noEndnote/>
          <w:docGrid w:linePitch="360"/>
        </w:sectPr>
      </w:pPr>
      <w:r>
        <w:t>Nosotros</w:t>
      </w:r>
      <w:r w:rsidR="00D44242">
        <w:t>--------------------------------------------------------</w:t>
      </w:r>
      <w:r>
        <w:rPr>
          <w:rStyle w:val="CuerpodeltextoNegrita"/>
        </w:rPr>
        <w:t>,</w:t>
      </w:r>
      <w:r>
        <w:t xml:space="preserve"> de </w:t>
      </w:r>
      <w:r w:rsidR="00D44242">
        <w:t>------------------------------------------------</w:t>
      </w:r>
      <w:r>
        <w:t xml:space="preserve">, de este domicilio, con Documento Único de Identidad número: </w:t>
      </w:r>
      <w:r w:rsidR="00D44242">
        <w:t>--------------------------------------</w:t>
      </w:r>
      <w:r>
        <w:t>;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w:t>
      </w:r>
      <w:r>
        <w:rPr>
          <w:rStyle w:val="CuerpodeltextoNegrita"/>
        </w:rPr>
        <w:t xml:space="preserve"> "EL MINISTERIO";</w:t>
      </w:r>
      <w:r>
        <w:t xml:space="preserve"> y</w:t>
      </w:r>
      <w:r>
        <w:rPr>
          <w:rStyle w:val="CuerpodeltextoNegrita"/>
        </w:rPr>
        <w:t xml:space="preserve"> </w:t>
      </w:r>
      <w:r w:rsidR="00D44242">
        <w:rPr>
          <w:rStyle w:val="CuerpodeltextoNegrita"/>
        </w:rPr>
        <w:t>--------------------------------------------</w:t>
      </w:r>
      <w:r>
        <w:rPr>
          <w:rStyle w:val="CuerpodeltextoNegrita"/>
        </w:rPr>
        <w:t>,</w:t>
      </w:r>
      <w:r>
        <w:t xml:space="preserve"> de </w:t>
      </w:r>
      <w:r w:rsidR="00D44242">
        <w:t>-------------------------------</w:t>
      </w:r>
      <w:r>
        <w:t xml:space="preserve">, Estudiante, del domicilio de </w:t>
      </w:r>
      <w:r w:rsidR="00D44242">
        <w:t>-----------------------------------------</w:t>
      </w:r>
      <w:r>
        <w:t xml:space="preserve">, portador del Documento Único de Identidad número </w:t>
      </w:r>
      <w:r w:rsidR="00D44242">
        <w:t>------------------------------</w:t>
      </w:r>
      <w:r>
        <w:t xml:space="preserve">y Número de Identificación Tributaria </w:t>
      </w:r>
      <w:r w:rsidR="00D44242">
        <w:t>-----------------------------------</w:t>
      </w:r>
      <w:r>
        <w:t>; actuando en mi calidad de Apoderado Especial de la Sociedad TELECOMODA, SOCIEDAD ANONIMA DE CAPITAL VARIABLE, que puede abreviarse TELECOMODA S.A DE C.V., sociedad de nacionalidad salvadoreña y de este domicilio, con Número de Identificación Tributaria cero seiscientos catorce - cero veinte mil setecientos noventa y nueve - ciento dos - uno, personería que acredito por medio de: Copia Certificada por Notario de Escritura Pública de Poder Especial otorgado a mi favor, a las quince horas del día dieciocho de junio de dos mil quince, ante los oficios notariales de Olga Lissette Serpas Montoya, otorgado por el señor</w:t>
      </w:r>
    </w:p>
    <w:p w:rsidR="00B37A15" w:rsidRDefault="007C54C9">
      <w:pPr>
        <w:pStyle w:val="Cuerpodeltexto0"/>
        <w:shd w:val="clear" w:color="auto" w:fill="auto"/>
        <w:spacing w:before="0"/>
        <w:ind w:left="20" w:right="20"/>
      </w:pPr>
      <w:r>
        <w:lastRenderedPageBreak/>
        <w:t xml:space="preserve">Rafael </w:t>
      </w:r>
      <w:proofErr w:type="spellStart"/>
      <w:r>
        <w:t>Balmore</w:t>
      </w:r>
      <w:proofErr w:type="spellEnd"/>
      <w:r>
        <w:t xml:space="preserve"> Menjivar Morales en su calidad de Gerente General y Representante Legal de la sociedad TELECOMODA S.A DE C.V. por lo que, ostento las suficientes facultades para comparecer a otorgar actos como el que ampara este instrumento, y que en lo sucesivo se me denominará</w:t>
      </w:r>
      <w:r>
        <w:rPr>
          <w:rStyle w:val="CuerpodeltextoNegrita0"/>
        </w:rPr>
        <w:t xml:space="preserve"> "EL CONTRATISTA",</w:t>
      </w:r>
      <w:r>
        <w:t xml:space="preserve"> convenimos en celebrar y al efecto así lo hacemos, con base en el proceso de</w:t>
      </w:r>
      <w:r>
        <w:rPr>
          <w:rStyle w:val="CuerpodeltextoNegrita0"/>
        </w:rPr>
        <w:t xml:space="preserve"> CONTRATACIÓN DIRECTA No. CD-MG-03/2017, </w:t>
      </w:r>
      <w:r>
        <w:t xml:space="preserve">promovido por el Ministerio de Gobernación y </w:t>
      </w:r>
      <w:r>
        <w:lastRenderedPageBreak/>
        <w:t xml:space="preserve">Desarrollo Territorial y en la Resolución Número VEINTISIETE, emitida por el Órgano Ejecutivo en el Ramo de Gobernación y Desarrollo Territorial, el día treinta de agosto de dos mil diecisiete, el siguiente Contrato de </w:t>
      </w:r>
      <w:r>
        <w:rPr>
          <w:rStyle w:val="CuerpodeltextoNegrita0"/>
        </w:rPr>
        <w:t>"SERVICIO DE ENLACE DE DATOS, ACCESO A INTERNET, Y TELEFONÍA PARA EL MINISTERIO DE GOBERNACIÓN Y DESARROLLO TERRITORIAL Y SUS DEPENDENCIAS",</w:t>
      </w:r>
      <w:r>
        <w:t xml:space="preserve"> de conformidad a la Constitución de la República, la Ley de Adquisiciones y Contrataciones de la Administración Pública, que en adelante se denominará LACAP, a su Reglamento y en especial a las obligaciones, condiciones, pactos y renuncias siguientes:</w:t>
      </w:r>
      <w:r>
        <w:rPr>
          <w:rStyle w:val="CuerpodeltextoNegrita0"/>
        </w:rPr>
        <w:t xml:space="preserve"> CLÁUSULA PRIMERA: OBTETO Y ALCANCE DEL CONTRATO.</w:t>
      </w:r>
      <w:r>
        <w:t xml:space="preserve"> EL CONTRATISTA se obliga a prestar a el Ministerio de Gobernación y Desarrollo Territorial y sus Dependencias, de conformidad a su Oferta Técnico Económica y según detalle, cantidades y especificaciones estipuladas en los Términos de Referencia los siguientes servicios: ÍTEM 1-ENLACE DE DATOS: El Ministerio de Gobernación y Desarrollo Territorial y sus Dependencias requiere del servicio de Enlace de datos y de respaldo, por medio de fibra óptica para los sitios centrales y de un enlace por medio de cobre para los sitios remotos (Gobernaciones Político Departamentales y Estaciones de Bomberos); ÍTEM 2-INTERNET: El Ministerio de Gobernación y Desarrollo Territorial y sus Dependencias requieren de enlaces dedicados con acceso a la red mundial de Internet. Estos serán instalados en las Oficinas Centrales de cada dependencia por medio de fibra óptica, este servicio es para implementar el servicio de correo electrónico y la publicación de las páginas Web del Ministerio de Gobernación y Desarrollo Territorial y sus Dependencias; ÍTEM 3-INTERNET MOVIL: El Ministerio de Gobernación y Desarrollo Territorial y sus Dependencias requieren módems inalámbricos móviles Ilimitados, con tecnología 3G o Superior; ÍTEM 4- TELEFONÍA MÓVIL Y FIJA: El Ministerio de Gobernación y Desarrollo Territorial y sus Dependencias requiere de servicios de voz, fija y móvil, para mantener comunicación con todas las dependencias y oficinas al interior del país. Se necesita que estos servicios sean de calidad (libre de ruidos y latencia) y tengan cobertura tanto a nivel nacional como dentro de las oficinas del Ministerio de Gobernación y Desarrollo Territorial y sus dependencias, lo cual aplica para telefonía fija y telefonía móvil. El CONTRATISTA responderá de acuerdo a los términos y condiciones establecidos en el presente Contrato, especialmente por la calidad del servicio que presta y proporcionará todo aquello que sea necesario para el correcto funcionamiento de todos y cada uno de los componentes del mismo. Corresponderá al respectivo Administrador del Contrato, velar por el fiel cumplimiento de las obligaciones emanadas del presente Contrato, debiendo informar a la Unidad de Adquisiciones y Contrataciones Institucional, las omisiones o </w:t>
      </w:r>
      <w:r>
        <w:lastRenderedPageBreak/>
        <w:t>acciones incorrectas en la ejecución del mismo.</w:t>
      </w:r>
      <w:r>
        <w:rPr>
          <w:rStyle w:val="CuerpodeltextoNegrita1"/>
        </w:rPr>
        <w:t xml:space="preserve"> CLÁUSULA 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y sus Adendas, si las hubiere; b) La Oferta Técnica y Económica de EL CONTRATISTA y sus documentos; c) La Resolución Número VEINTISIETE, antes citada; d) el Acuerdo Número SESENTA emitido por el Órgano Ejecutivo en el Ramo de Gobernación y Desarrollo Territorial, en fecha treinta y uno de agosto del año dos mil diecisiete, de Nombramiento de Administradores de Contrato; e) Las resoluciones modificativas, en su caso; f) las Garantías otorgadas; y g) Cualquier otro documento que emanare del presente Instrumento. </w:t>
      </w:r>
      <w:r>
        <w:rPr>
          <w:rStyle w:val="CuerpodeltextoNegrita1"/>
        </w:rPr>
        <w:t>CLAUSULA TERCERA: PLAZO.</w:t>
      </w:r>
      <w:r>
        <w:t xml:space="preserve"> El plazo para la prestación del servicio, será a partir del uno de septiembre de dos mil diecisiete hasta el treinta y uno de diciembre de dos mil diecisiete, previa notificación de la Orden de Inicio emitida por parte de los Administradores de Contrato. La vigencia del presente contrato será a partir de la legalización del mismo hasta el treinta y uno de diciembre de dos mil diecisiete. Debiendo ser proporcionados los servicios objeto del presente Contrato en los lugares detallados en los Términos de Referencia, obligándose las partes a cumplir con todas las condiciones establecidas en este Contrato y demás documentos contractuales; asumiendo además todas las responsabilidades que se deriven del mismo.</w:t>
      </w:r>
      <w:r>
        <w:rPr>
          <w:rStyle w:val="CuerpodeltextoNegrita1"/>
        </w:rPr>
        <w:t xml:space="preserve"> CLÁUSULA CUARTA: PRECIO Y FORMA DE PAGO.</w:t>
      </w:r>
      <w:r>
        <w:t xml:space="preserve"> El monto total por los servicios básicos objeto del presente contrato será de</w:t>
      </w:r>
      <w:r>
        <w:rPr>
          <w:rStyle w:val="CuerpodeltextoNegrita1"/>
        </w:rPr>
        <w:t xml:space="preserve"> hasta CIENTO CINCUENTA Y OCHO MIL QUINIENTOS DIECISIETE 71/100 DOLARES DE LOS ESTADOS UNIDOS DE AMÉRICA (US$158,517.71),</w:t>
      </w:r>
      <w:r>
        <w:t xml:space="preserve"> valor que</w:t>
      </w:r>
    </w:p>
    <w:p w:rsidR="00B37A15" w:rsidRDefault="007C54C9">
      <w:pPr>
        <w:pStyle w:val="Cuerpodeltexto0"/>
        <w:shd w:val="clear" w:color="auto" w:fill="auto"/>
        <w:spacing w:before="0" w:line="210" w:lineRule="exact"/>
        <w:ind w:left="9240"/>
        <w:jc w:val="left"/>
        <w:sectPr w:rsidR="00B37A15">
          <w:footerReference w:type="default" r:id="rId9"/>
          <w:type w:val="continuous"/>
          <w:pgSz w:w="11905" w:h="16837"/>
          <w:pgMar w:top="1675" w:right="1129" w:bottom="1725" w:left="1413" w:header="0" w:footer="3" w:gutter="0"/>
          <w:cols w:space="720"/>
          <w:noEndnote/>
          <w:titlePg/>
          <w:docGrid w:linePitch="360"/>
        </w:sectPr>
      </w:pPr>
      <w:r>
        <w:t>3</w:t>
      </w:r>
    </w:p>
    <w:p w:rsidR="00B37A15" w:rsidRDefault="007C54C9">
      <w:pPr>
        <w:pStyle w:val="Cuerpodeltexto0"/>
        <w:shd w:val="clear" w:color="auto" w:fill="auto"/>
        <w:spacing w:before="0" w:after="96" w:line="422" w:lineRule="exact"/>
        <w:ind w:left="380" w:right="440"/>
      </w:pPr>
      <w:r>
        <w:lastRenderedPageBreak/>
        <w:t>incluye el Impuesto a la Transferencia de Bienes Muebles y a la Prestación de Servicios (IVA) y la Contribución Especial para la Seguridad Ciudadana y Convivencia (CESC); de los cuales corresponde el monto total por los servicios básicos la cantidad de</w:t>
      </w:r>
      <w:r>
        <w:rPr>
          <w:rStyle w:val="CuerpodeltextoNegrita2"/>
        </w:rPr>
        <w:t xml:space="preserve"> CIENTO DIECINUEVE MIL QUINIENTOS DIECINUEVE 62/100 DÓLARES DE LOS ESTADOS UNIDOS DE AMÉRICA (US$119,519.62);</w:t>
      </w:r>
      <w:r>
        <w:t xml:space="preserve"> y una disponibilidad presupuestaria para el consumo adicional durante el plazo contractual de</w:t>
      </w:r>
      <w:r>
        <w:rPr>
          <w:rStyle w:val="CuerpodeltextoNegrita2"/>
        </w:rPr>
        <w:t xml:space="preserve"> hasta TREINTA Y OCHO MIL NOVECIENTOS NOVENTA Y OCHO 09/100 DOLARES DE LOS ESTADOS UNIDOS DE AMERICA (US$38,998.09),</w:t>
      </w:r>
      <w:r>
        <w:t xml:space="preserve"> de acuerdo al siguiente detalle:</w:t>
      </w:r>
    </w:p>
    <w:tbl>
      <w:tblPr>
        <w:tblW w:w="0" w:type="auto"/>
        <w:jc w:val="center"/>
        <w:tblLayout w:type="fixed"/>
        <w:tblCellMar>
          <w:left w:w="10" w:type="dxa"/>
          <w:right w:w="10" w:type="dxa"/>
        </w:tblCellMar>
        <w:tblLook w:val="04A0" w:firstRow="1" w:lastRow="0" w:firstColumn="1" w:lastColumn="0" w:noHBand="0" w:noVBand="1"/>
      </w:tblPr>
      <w:tblGrid>
        <w:gridCol w:w="2328"/>
        <w:gridCol w:w="1416"/>
        <w:gridCol w:w="1450"/>
        <w:gridCol w:w="1526"/>
        <w:gridCol w:w="1709"/>
        <w:gridCol w:w="1709"/>
      </w:tblGrid>
      <w:tr w:rsidR="00B37A15">
        <w:trPr>
          <w:trHeight w:val="792"/>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spacing w:line="240" w:lineRule="auto"/>
              <w:ind w:left="560"/>
            </w:pPr>
            <w:r>
              <w:lastRenderedPageBreak/>
              <w:t>DEPENDENCIA</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ind w:right="260"/>
              <w:jc w:val="right"/>
            </w:pPr>
            <w:r>
              <w:t>ÍTEM 1 - ENLACE DE DATOS</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ind w:right="340"/>
              <w:jc w:val="right"/>
            </w:pPr>
            <w:r>
              <w:t xml:space="preserve">ÍTEM </w:t>
            </w:r>
            <w:r>
              <w:rPr>
                <w:lang w:val="de"/>
              </w:rPr>
              <w:t xml:space="preserve">2 - </w:t>
            </w:r>
            <w:r>
              <w:t>INTERNET</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jc w:val="both"/>
            </w:pPr>
            <w:r>
              <w:t xml:space="preserve">ÍTEM </w:t>
            </w:r>
            <w:r>
              <w:rPr>
                <w:lang w:val="de"/>
              </w:rPr>
              <w:t xml:space="preserve">3- </w:t>
            </w:r>
            <w:r>
              <w:t>INTERNET MOVIL</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jc w:val="center"/>
            </w:pPr>
            <w:r>
              <w:t>ÍTEM 4- TELEFONÍA MÓVIL Y FIJA</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ind w:left="200"/>
            </w:pPr>
            <w:r>
              <w:t>TOTAL POR DEPENDENCIA</w:t>
            </w:r>
          </w:p>
        </w:tc>
      </w:tr>
      <w:tr w:rsidR="00B37A15">
        <w:trPr>
          <w:trHeight w:val="586"/>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jc w:val="both"/>
            </w:pPr>
            <w:r>
              <w:t>MINISTERIO DE GOBERNACION Y PROTECCION CIVIL</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right="260"/>
            </w:pPr>
            <w:r>
              <w:rPr>
                <w:lang w:val="es"/>
              </w:rPr>
              <w:t>$ 12,215.36</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40"/>
              <w:jc w:val="left"/>
            </w:pPr>
            <w:r>
              <w:t>$ 13,588.88</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20"/>
              <w:jc w:val="left"/>
            </w:pPr>
            <w:r>
              <w:t>$ 21,451.36</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jc w:val="center"/>
            </w:pPr>
            <w:r>
              <w:rPr>
                <w:lang w:val="es"/>
              </w:rPr>
              <w:t>$ 11,131.98</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200"/>
              <w:jc w:val="left"/>
            </w:pPr>
            <w:r>
              <w:t>$ 58,387.58</w:t>
            </w:r>
          </w:p>
        </w:tc>
      </w:tr>
      <w:tr w:rsidR="00B37A15">
        <w:trPr>
          <w:trHeight w:val="528"/>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spacing w:line="240" w:lineRule="auto"/>
              <w:ind w:left="80"/>
            </w:pPr>
            <w:r>
              <w:t>CENTROS DE GOBIERNO</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right="260"/>
            </w:pPr>
            <w:r>
              <w:rPr>
                <w:lang w:val="es"/>
              </w:rPr>
              <w:t>$ -</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right="340"/>
            </w:pPr>
            <w:r>
              <w:t>$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20"/>
              <w:jc w:val="left"/>
            </w:pPr>
            <w:r>
              <w:t>$ -</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jc w:val="center"/>
            </w:pPr>
            <w:r>
              <w:rPr>
                <w:lang w:val="es"/>
              </w:rPr>
              <w:t>$ 314.88</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200"/>
              <w:jc w:val="left"/>
            </w:pPr>
            <w:r>
              <w:t>$ 314.88</w:t>
            </w:r>
          </w:p>
        </w:tc>
      </w:tr>
      <w:tr w:rsidR="00B37A15">
        <w:trPr>
          <w:trHeight w:val="514"/>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spacing w:line="240" w:lineRule="auto"/>
              <w:ind w:left="80"/>
            </w:pPr>
            <w:r>
              <w:t>IMPRENTA NACIONAL</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right="260"/>
            </w:pPr>
            <w:r>
              <w:rPr>
                <w:lang w:val="es"/>
              </w:rPr>
              <w:t>$ 519.20</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40"/>
              <w:jc w:val="left"/>
            </w:pPr>
            <w:r>
              <w:t>$ 4,715.28</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20"/>
              <w:jc w:val="left"/>
            </w:pPr>
            <w:r>
              <w:t>$ -</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jc w:val="center"/>
            </w:pPr>
            <w:r>
              <w:rPr>
                <w:lang w:val="es"/>
              </w:rPr>
              <w:t>$ 913.92</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200"/>
              <w:jc w:val="left"/>
            </w:pPr>
            <w:r>
              <w:t>$ 6,148.40</w:t>
            </w:r>
          </w:p>
        </w:tc>
      </w:tr>
      <w:tr w:rsidR="00B37A15">
        <w:trPr>
          <w:trHeight w:val="533"/>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ind w:left="80"/>
            </w:pPr>
            <w:r>
              <w:t>CORREOS DE EL SALVADOR</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right="260"/>
            </w:pPr>
            <w:r>
              <w:rPr>
                <w:lang w:val="es"/>
              </w:rPr>
              <w:t>$ -</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40"/>
              <w:jc w:val="left"/>
            </w:pPr>
            <w:r>
              <w:t>$ 21,820.52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20"/>
              <w:jc w:val="left"/>
            </w:pPr>
            <w:r>
              <w:t>$ 2,004.80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jc w:val="center"/>
            </w:pPr>
            <w:r>
              <w:rPr>
                <w:lang w:val="es"/>
              </w:rPr>
              <w:t>$ 8,802.80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200"/>
              <w:jc w:val="left"/>
            </w:pPr>
            <w:r>
              <w:t>$ 32,628.12</w:t>
            </w:r>
          </w:p>
        </w:tc>
      </w:tr>
      <w:tr w:rsidR="00B37A15">
        <w:trPr>
          <w:trHeight w:val="557"/>
          <w:jc w:val="center"/>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ind w:left="80"/>
            </w:pPr>
            <w:r>
              <w:t>CUERPO DE BOMBEROS DE EL SALVADOR</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right="260"/>
            </w:pPr>
            <w:r>
              <w:rPr>
                <w:lang w:val="es"/>
              </w:rPr>
              <w:t>$ 11,653.68</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40"/>
              <w:jc w:val="left"/>
            </w:pPr>
            <w:r>
              <w:t>$ 4,956.00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120"/>
              <w:jc w:val="left"/>
            </w:pPr>
            <w:r>
              <w:t>$ 601.44</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jc w:val="center"/>
            </w:pPr>
            <w:r>
              <w:rPr>
                <w:lang w:val="es"/>
              </w:rPr>
              <w:t>$ 4,829.52</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40"/>
              <w:framePr w:wrap="notBeside" w:vAnchor="text" w:hAnchor="text" w:xAlign="center" w:y="1"/>
              <w:shd w:val="clear" w:color="auto" w:fill="auto"/>
              <w:spacing w:line="240" w:lineRule="auto"/>
              <w:ind w:left="200"/>
              <w:jc w:val="left"/>
            </w:pPr>
            <w:r>
              <w:t>$ 22,040.64</w:t>
            </w:r>
          </w:p>
        </w:tc>
      </w:tr>
      <w:tr w:rsidR="00B37A15">
        <w:trPr>
          <w:trHeight w:val="418"/>
          <w:jc w:val="center"/>
        </w:trPr>
        <w:tc>
          <w:tcPr>
            <w:tcW w:w="8429" w:type="dxa"/>
            <w:gridSpan w:val="5"/>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spacing w:line="240" w:lineRule="auto"/>
              <w:ind w:left="5860"/>
            </w:pPr>
            <w:r>
              <w:t>TOTAL (INCLUYE IVA Y CESC)</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37A15" w:rsidRDefault="007C54C9">
            <w:pPr>
              <w:pStyle w:val="Cuerpodeltexto30"/>
              <w:framePr w:wrap="notBeside" w:vAnchor="text" w:hAnchor="text" w:xAlign="center" w:y="1"/>
              <w:shd w:val="clear" w:color="auto" w:fill="auto"/>
              <w:spacing w:line="240" w:lineRule="auto"/>
              <w:ind w:left="200"/>
            </w:pPr>
            <w:r>
              <w:rPr>
                <w:lang w:val="de"/>
              </w:rPr>
              <w:t>$119,519.62</w:t>
            </w:r>
          </w:p>
        </w:tc>
      </w:tr>
    </w:tbl>
    <w:p w:rsidR="00B37A15" w:rsidRDefault="00B37A15">
      <w:pPr>
        <w:rPr>
          <w:sz w:val="2"/>
          <w:szCs w:val="2"/>
        </w:rPr>
      </w:pPr>
    </w:p>
    <w:p w:rsidR="00B37A15" w:rsidRDefault="007C54C9">
      <w:pPr>
        <w:pStyle w:val="Cuerpodeltexto0"/>
        <w:shd w:val="clear" w:color="auto" w:fill="auto"/>
        <w:spacing w:before="0" w:line="408" w:lineRule="exact"/>
        <w:ind w:left="380" w:right="440"/>
      </w:pPr>
      <w:r>
        <w:t>EL MINISTERIO, a través de la Unidad Financiera Institucional y las Pagadurías Auxiliares de cada una de las Dependencias (si aplicare), efectuará los pagos mensuales respectivos de conformidad a los servicios efectivamente recibidos, en un plazo efectivo dentro de los sesenta (60) días posteriores de haber retirado el respectivo Quedan, previa presentación del Acta de Recepción del Servicio, firmada y sellada por el respectivo Administrador del Contrato y un Representante de EL CONTRATISTA, y de la Factura de Consumidor Final a nombre del Ministerio de Gobernación y Desarrollo Territorial y/o de los Comprobantes de Crédito Fiscal a nombre del Fondo de Actividades Especiales del Ministerio de Gobernación y Desarrollo Territorial de cada Dependencia solicitante (Según indique la Dirección Financiera Institucional). Los precios anteriores incluyen el trece por ciento (13%) del Impuesto a la Transferencia de Bienes Muebles y a la Prestación de Servicios y la Contribución Especial para la Seguridad Ciudadana y Convivencia (CESC). Asimismo dichos precios quedan sujetos a cualquier impuesto, relativo a la prestación de servicios y/o adquisición de bienes muebles, vigente durante la ejecución contractual. Por medio de Resoluciones Números 1230l-NEX-2143- 2007 y 12301-NEX-2150-2007,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3"/>
        </w:rPr>
        <w:t xml:space="preserve"> CLÁUSULA QUINTA: PROVISIÓN DE </w:t>
      </w:r>
      <w:r>
        <w:rPr>
          <w:rStyle w:val="CuerpodeltextoNegrita3"/>
        </w:rPr>
        <w:lastRenderedPageBreak/>
        <w:t>PAGO.</w:t>
      </w:r>
      <w:r>
        <w:t xml:space="preserve"> Los recursos para el cumplimiento del compromiso adquirido en este Contrato provendrán del Presupuesto General Vigente, según certificación de fondos emitida por la Unidad Financiera Institucional, con cargo a las cifras presupuestarias correspondientes.</w:t>
      </w:r>
      <w:r>
        <w:rPr>
          <w:rStyle w:val="CuerpodeltextoNegrita3"/>
        </w:rPr>
        <w:t xml:space="preserve"> CLÁUSULA SEXTA: OBLIGACIONES DE EL CONTRATISTA.</w:t>
      </w:r>
      <w:r>
        <w:t xml:space="preserve"> EL CONTRATISTA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así como de conformidad a todos los documentos contractuales. El servicio objeto del contrato, se prestará según lo requerido por el Ministerio de Gobernación y Desarrollo Territorial y sus Dependencias,</w:t>
      </w:r>
      <w:r>
        <w:rPr>
          <w:rStyle w:val="CuerpodeltextoNegrita4"/>
        </w:rPr>
        <w:t xml:space="preserve"> en las oficinas, ubicaciones y direcciones detalladas en las Bases de Licitación.</w:t>
      </w:r>
      <w:r>
        <w:t xml:space="preserve"> Asimismo EL CONTRATISTA se compromete que al retirar los equipos para remitirlos a los talleres, este deberá proporcionar un equipo de forma temporal mientras dure la reparación, el retiro del equipo lo deberá realizar EL CONTRATISTA respaldado por medio escrito en el cual se especifique marca, serie y modelo del equipo a sustituir e instalar, así mismo asegurar la atención del mantenimiento correctivo, el cual se realizará en un plazo no mayor a veinticuatro (24) horas. EL CONTRATISTA se compromete a dar respuesta y presentarse al lugar solicitado en caso de emergencias en un plazo máximo de dos (2) horas para San Salvador </w:t>
      </w:r>
      <w:proofErr w:type="spellStart"/>
      <w:r>
        <w:t>ó</w:t>
      </w:r>
      <w:proofErr w:type="spellEnd"/>
      <w:r>
        <w:t xml:space="preserve"> Santa Tecla y seis (6) horas a nivel departamental, esto a solicitud del Ministerio de Gobernación y Desarrollo Territorial o sus dependencias. EL CONTRATISTA se compromete a presentar el plan de capacitación que recibirán los usuarios administrativos y técnicos en la utilización de las herramientas que proporcionen, para cada ítem solicitado, para el Ministerio de Gobernación y Desarrollo Territorial y cada una de las Dependencias. EL CONTRATISTA se compromete a que el soporte técnico a proporcionar deberá ser las 24 horas del día y los 7 días de la semana de forma ininterrumpida. EL CONTRATISTA se compromete a</w:t>
      </w:r>
    </w:p>
    <w:p w:rsidR="00B37A15" w:rsidRDefault="007C54C9">
      <w:pPr>
        <w:pStyle w:val="Cuerpodeltexto0"/>
        <w:shd w:val="clear" w:color="auto" w:fill="auto"/>
        <w:spacing w:before="0" w:line="408" w:lineRule="exact"/>
        <w:ind w:left="20" w:right="20"/>
      </w:pPr>
      <w:proofErr w:type="gramStart"/>
      <w:r>
        <w:t>designar</w:t>
      </w:r>
      <w:proofErr w:type="gramEnd"/>
      <w:r>
        <w:t xml:space="preserve"> un responsable para revisar periódicamente el servicio y verificar la calidad del mismo, esta persona deberá efectuar la revisión como mínimo una vez por mes en cada dependencia y entrevistarse con el jefe o persona designada en cada una de ellas. En todo caso EL CONTRATISTA garantizará la calidad del servicio que presta, debiendo estar el servicio, conforme a lo ofertado y a las especificaciones técnicas requeridas.</w:t>
      </w:r>
      <w:r>
        <w:rPr>
          <w:rStyle w:val="CuerpodeltextoNegrita5"/>
        </w:rPr>
        <w:t xml:space="preserve"> CLÁUSULA SÉPTIMA: COMPROMISOS DEL MINISTERIO Y PLAZO DE RECLAMOS.</w:t>
      </w:r>
      <w:r>
        <w:t xml:space="preserve"> EL MINISTERIO se obliga a proporcionar a EL CONTRATISTA, el espacio físico, energía y medio ambiente adecuados para la instalación, mantenimiento y control de los equipos necesarios para la provisión de los servicios objeto del presente contrato, así como la colaboración y el apoyo logístico que permita el desarrollo </w:t>
      </w:r>
      <w:r>
        <w:lastRenderedPageBreak/>
        <w:t xml:space="preserve">normal del servicio, acatando las instrucciones que EL CONTRATISTA gire respecto al uso y manejo de los </w:t>
      </w:r>
      <w:proofErr w:type="gramStart"/>
      <w:r>
        <w:t>mismos</w:t>
      </w:r>
      <w:proofErr w:type="gramEnd"/>
      <w:r>
        <w:t>. Si durante el plazo de ejecución contractual, se observaren otros vicios, deficiencias, omisiones o acciones incorrectas en la prestación del servicio, el Administrador del Contrato, formulará por escrito a EL CONTRATISTA, posteriormente a la verificación del incumplimiento, el reclamo respectivo para la correcta prestación del servicio de que se trate. En todo caso, EL CONTRATISTA se compromete a subsanar, en un plazo no mayor de cinco (5) días hábiles contados a partir de la respectiva notificación por parte de EL MINISTERIO, los vicios o deficiencias comprobados en el servicio objeto del presente Instrumento, caso contrario se tendrá por incumplido el Contrato y se procederá de acuerdo a lo establecido en los incisos segundo y tercero del artículo 121 de la LACAP.</w:t>
      </w:r>
      <w:r>
        <w:rPr>
          <w:rStyle w:val="CuerpodeltextoNegrita5"/>
        </w:rPr>
        <w:t xml:space="preserve"> CLÁUSULA OCTAVA: GARANTÍA DE CUMPLIMIENTO DE CONTRATO. </w:t>
      </w:r>
      <w:r>
        <w:t>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w:t>
      </w:r>
      <w:r>
        <w:rPr>
          <w:rStyle w:val="CuerpodeltextoNegrita5"/>
        </w:rPr>
        <w:t xml:space="preserve"> QUINCE MIL OCHOCIENTOS CINCUENTA Y UN DÓLARES CON SETENTA Y SIETE CENTAVOS DE DÓLAR DE LOS ESTADOS UNIDOS DE AMÉRICA (US $15,851.77), </w:t>
      </w:r>
      <w:r>
        <w:t>equivalente al diez por ciento (10%) del valor total del Contrato, ara asegurar el cumplimiento de todas las obligaciones emanadas del mismo, la cual deberá estar vigente a partir de la fecha de su presentación hasta un mínimo de treinta (30) días posteriores a la fecha de la finalización del contrato y de sus prórrogas, si las hubiere.</w:t>
      </w:r>
      <w:r>
        <w:rPr>
          <w:rStyle w:val="CuerpodeltextoNegrita5"/>
        </w:rPr>
        <w:t xml:space="preserve"> CLÁUSULA NOVENA: ADMINISTRADORES DEL CONTRATO:</w:t>
      </w:r>
      <w:r>
        <w:t xml:space="preserve"> La administración del presente contrato según Acuerdo Número SESENTA anteriormente citado, estará a cargo de las siguientes funcionarios: Ingeniero</w:t>
      </w:r>
      <w:r>
        <w:rPr>
          <w:rStyle w:val="CuerpodeltextoNegrita5"/>
        </w:rPr>
        <w:t xml:space="preserve"> ISMAEL EDUARDO LÓPEZ RIVAS,</w:t>
      </w:r>
      <w:r>
        <w:t xml:space="preserve"> Director de Desarrollo Tecnológico, Ingeniero</w:t>
      </w:r>
      <w:r>
        <w:rPr>
          <w:rStyle w:val="CuerpodeltextoNegrita5"/>
        </w:rPr>
        <w:t xml:space="preserve"> TITO ANTONIO</w:t>
      </w:r>
    </w:p>
    <w:p w:rsidR="00B37A15" w:rsidRDefault="007C54C9">
      <w:pPr>
        <w:pStyle w:val="Cuerpodeltexto0"/>
        <w:shd w:val="clear" w:color="auto" w:fill="auto"/>
        <w:spacing w:before="0" w:line="408" w:lineRule="exact"/>
        <w:ind w:left="20" w:right="20"/>
      </w:pPr>
      <w:r>
        <w:rPr>
          <w:rStyle w:val="CuerpodeltextoNegrita6"/>
        </w:rPr>
        <w:t>BAZÁN VELÁSQUEZ,</w:t>
      </w:r>
      <w:r>
        <w:t xml:space="preserve"> Director de Imprenta Nacional Interino </w:t>
      </w:r>
      <w:proofErr w:type="spellStart"/>
      <w:r>
        <w:t>Ad-honorem</w:t>
      </w:r>
      <w:proofErr w:type="spellEnd"/>
      <w:r>
        <w:t>, Mayor</w:t>
      </w:r>
      <w:r>
        <w:rPr>
          <w:rStyle w:val="CuerpodeltextoNegrita6"/>
        </w:rPr>
        <w:t xml:space="preserve"> JOSÉ JOAQUÍN PARADA JURADO,</w:t>
      </w:r>
      <w:r>
        <w:t xml:space="preserve"> Director del Cuerpo de Bomberos de El Salvador, Licenciada </w:t>
      </w:r>
      <w:r>
        <w:rPr>
          <w:rStyle w:val="CuerpodeltextoNegrita6"/>
        </w:rPr>
        <w:t>MARGARITA QUINTANAR DE ORTEZ,</w:t>
      </w:r>
      <w:r>
        <w:t xml:space="preserve"> Directora de Correos de El Salvador, Licenciada </w:t>
      </w:r>
      <w:r>
        <w:rPr>
          <w:rStyle w:val="CuerpodeltextoNegrita6"/>
        </w:rPr>
        <w:t>YANIRA DE RODRIGUEZ,</w:t>
      </w:r>
      <w:r>
        <w:t xml:space="preserve"> Directora de Centros de Gobierno Departamentales, siendo el Administrador de Contrato el responsable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w:t>
      </w:r>
      <w:r>
        <w:lastRenderedPageBreak/>
        <w:t>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6"/>
        </w:rPr>
        <w:t xml:space="preserve"> CLÁUSULA DÉCIMA: SANCIONES.</w:t>
      </w:r>
      <w:r>
        <w:t xml:space="preserve"> En caso de incumplimiento de las obligaciones emanadas del presente contrato, las partes expresamente se someten a las sanciones que la Ley o que el presente contrato señalen. Si EL CONTRATISTA incumpliere o incurriere en mora en el cumplimiento de sus obligaciones contractuales por causas imputables a él mismo, EL MINISTERIO podrá declarar la caducidad del Contrato o imponer a EL CONTRATISTA, el pago de una multa de conformidad al artículo 85 de la LACAP y se atenderá lo preceptuado en el artículo 36 de la LACAP. El incumplimiento o deficiencia total o parcial en el servicio durante el período fijado, dará lugar a la terminación del contrato, sin perjuicio de la responsabilidad que le corresponda a EL CONTRATISTA por su incumplimiento.</w:t>
      </w:r>
      <w:r>
        <w:rPr>
          <w:rStyle w:val="CuerpodeltextoNegrita7"/>
        </w:rPr>
        <w:t xml:space="preserve"> CLÁUSULA DÉCIMA PRIMERA: MODIFICACIÓN Y PRÓRROGA.</w:t>
      </w:r>
      <w:r>
        <w:t xml:space="preserve"> El presente contrato podrá modificarse o prorrogarse de común acuerdo por medio de una Resolución modificativa, la que deberá ser debidamente avalada y aceptada por ambas partes, debido a circunstancias imprevistas y comprobadas, debiendo en todo caso ser formalizada por EL MINISTERIO y debiendo dar cumplimiento a lo estipulado en el Art. 83-A, 83-B, 86 Y 92 de la LACAP y su Reglamento, especialmente a lo establecido en los Artículos 23 literal k) y 75 del mencionado Reglamento.</w:t>
      </w:r>
      <w:r>
        <w:rPr>
          <w:rStyle w:val="CuerpodeltextoNegrita7"/>
        </w:rPr>
        <w:t xml:space="preserve"> CLÁUSULA DÉCIMA SEGUNDA: CASO FORTUITO O FUERZA MAYOR.</w:t>
      </w:r>
      <w:r>
        <w:t xml:space="preserve"> Si acontecieren actos de caso </w:t>
      </w:r>
      <w:r>
        <w:lastRenderedPageBreak/>
        <w:t xml:space="preserve">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documenten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w:t>
      </w:r>
      <w:r>
        <w:rPr>
          <w:rStyle w:val="CuerpodeltextoNegrita7"/>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artículo 100 de la LACAP.</w:t>
      </w:r>
      <w:r>
        <w:rPr>
          <w:rStyle w:val="CuerpodeltextoNegrita7"/>
        </w:rPr>
        <w:t xml:space="preserve"> CLÁUSULA DÉCIMA CUARTA: INTERPRETACIÓN DEL CONTRATO.</w:t>
      </w:r>
      <w:r>
        <w:t xml:space="preserve"> EL MINISTERIO se reserva la facultad de interpretar el presente Contrato de conformidad a la</w:t>
      </w:r>
    </w:p>
    <w:p w:rsidR="00B37A15" w:rsidRDefault="007C54C9">
      <w:pPr>
        <w:pStyle w:val="Cuerpodeltexto0"/>
        <w:shd w:val="clear" w:color="auto" w:fill="auto"/>
        <w:spacing w:before="0" w:after="1851" w:line="408" w:lineRule="exact"/>
        <w:ind w:left="20" w:right="20"/>
      </w:pPr>
      <w:r>
        <w:t xml:space="preserve">Constitución de la República, LACAP,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Pr>
          <w:rStyle w:val="CuerpodeltextoNegrita8"/>
        </w:rPr>
        <w:t>CLÁUSULA DÉCIMA QUINTA: SOLUCIÓN DE CONFLICTOS.</w:t>
      </w:r>
      <w:r>
        <w:t xml:space="preserve"> Toda duda, discrepancia o conflicto que surgiere entre las partes durante la ejecución de este contrato se resolverá de acuerdo a lo establecido en el Título VIII de la LACAP o en su caso la Ley de Mediación, Conciliación y Arbitraje.</w:t>
      </w:r>
      <w:r>
        <w:rPr>
          <w:rStyle w:val="CuerpodeltextoNegrita8"/>
        </w:rPr>
        <w:t xml:space="preserve"> CLÁUSULA DÉCIMA SEXTA: TERMINACIÓN DEL CONTRATO.</w:t>
      </w:r>
      <w:r>
        <w:t xml:space="preserve"> EL MINISTERIO podrá dar por terminado el contrato sin responsabilidad alguna de su parte: a) Por las causales establecidas en las letras a) y b) del artículo 94 de la LACAP; b) Cuando EL CONTRATISTA entregue el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en el inciso segundo del artículo 100 de la LACAP. También se aplicarán al presente contrato </w:t>
      </w:r>
      <w:r>
        <w:lastRenderedPageBreak/>
        <w:t>las demás causales de extinción establecida en el artículo 92 y siguiente de la LACAP.</w:t>
      </w:r>
      <w:r>
        <w:rPr>
          <w:rStyle w:val="CuerpodeltextoNegrita8"/>
        </w:rPr>
        <w:t xml:space="preserve"> CLÁUSULA DÉCIMA SEPTIMA: LEGISLACIÓN APLICABLE.</w:t>
      </w:r>
      <w:r>
        <w:t xml:space="preserve"> Las partes se someten a la legislación vigente de la República de El Salvador. </w:t>
      </w:r>
      <w:r>
        <w:rPr>
          <w:rStyle w:val="CuerpodeltextoNegrita9"/>
        </w:rPr>
        <w:t>CLAUSULA DECIMA OCTAVA: CONDICIONES DE PREVENCION Y ERRADICACION DEL TRABAJO INFANTIL</w:t>
      </w:r>
      <w:r>
        <w:rPr>
          <w:rStyle w:val="CuerpodeltextoNegrita8"/>
        </w:rPr>
        <w:t>:</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a"/>
        </w:rPr>
        <w:t xml:space="preserve"> 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 xml:space="preserve">a </w:t>
      </w:r>
      <w:r>
        <w:t xml:space="preserve">Calle Poniente y </w:t>
      </w:r>
      <w:r>
        <w:rPr>
          <w:lang w:val="de"/>
        </w:rPr>
        <w:t xml:space="preserve">15 </w:t>
      </w:r>
      <w:r>
        <w:t xml:space="preserve">Avenida Norte, Centro de Gobierno, San Salvador, y para EL CONTRATISTA, en Kilometro </w:t>
      </w:r>
      <w:r>
        <w:rPr>
          <w:lang w:val="de"/>
        </w:rPr>
        <w:t xml:space="preserve">10 % </w:t>
      </w:r>
      <w:r>
        <w:t xml:space="preserve">Carretera a Santa Tecla, Colonia Británica, Complejo Ex </w:t>
      </w:r>
      <w:proofErr w:type="spellStart"/>
      <w:r>
        <w:t>Incatel</w:t>
      </w:r>
      <w:proofErr w:type="spellEnd"/>
      <w:r>
        <w:t>, Edificio A, segundo nivel, Gerencia de Mediana Empresa y Gobierno, Santa Tecla, Departamento de La Libertad. En fe de lo cual firmamos el presente contrato en la ciudad de San Salvador, a los treinta y un días del mes de agosto de dos mil diecisiete.</w:t>
      </w:r>
    </w:p>
    <w:p w:rsidR="00B37A15" w:rsidRDefault="007C54C9">
      <w:pPr>
        <w:pStyle w:val="Ttulo10"/>
        <w:keepNext/>
        <w:keepLines/>
        <w:shd w:val="clear" w:color="auto" w:fill="auto"/>
        <w:spacing w:before="0" w:after="1028"/>
        <w:ind w:left="1220" w:right="4260"/>
      </w:pPr>
      <w:bookmarkStart w:id="0" w:name="bookmark0"/>
      <w:r>
        <w:t>EL MINISTERIO</w:t>
      </w:r>
      <w:bookmarkEnd w:id="0"/>
    </w:p>
    <w:p w:rsidR="00B37A15" w:rsidRDefault="007C54C9">
      <w:pPr>
        <w:pStyle w:val="Ttulo10"/>
        <w:keepNext/>
        <w:keepLines/>
        <w:shd w:val="clear" w:color="auto" w:fill="auto"/>
        <w:spacing w:before="0" w:after="0" w:line="259" w:lineRule="exact"/>
        <w:ind w:left="5800" w:right="20" w:hanging="1140"/>
      </w:pPr>
      <w:bookmarkStart w:id="1" w:name="bookmark1"/>
      <w:bookmarkStart w:id="2" w:name="_GoBack"/>
      <w:bookmarkEnd w:id="2"/>
      <w:r>
        <w:t>EL CONTRATISTA</w:t>
      </w:r>
      <w:bookmarkEnd w:id="1"/>
    </w:p>
    <w:sectPr w:rsidR="00B37A15">
      <w:type w:val="continuous"/>
      <w:pgSz w:w="11905" w:h="16837"/>
      <w:pgMar w:top="1823" w:right="733" w:bottom="2034" w:left="10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412" w:rsidRDefault="003C1412">
      <w:r>
        <w:separator/>
      </w:r>
    </w:p>
  </w:endnote>
  <w:endnote w:type="continuationSeparator" w:id="0">
    <w:p w:rsidR="003C1412" w:rsidRDefault="003C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15" w:rsidRDefault="007C54C9">
    <w:pPr>
      <w:pStyle w:val="Encabezamientoopiedepgina0"/>
      <w:framePr w:h="154" w:wrap="none" w:vAnchor="text" w:hAnchor="page" w:x="10668" w:y="-1707"/>
      <w:shd w:val="clear" w:color="auto" w:fill="auto"/>
      <w:jc w:val="both"/>
    </w:pPr>
    <w:r>
      <w:fldChar w:fldCharType="begin"/>
    </w:r>
    <w:r>
      <w:instrText xml:space="preserve"> PAGE \* MERGEFORMAT </w:instrText>
    </w:r>
    <w:r>
      <w:fldChar w:fldCharType="separate"/>
    </w:r>
    <w:r w:rsidR="00D44242" w:rsidRPr="00D44242">
      <w:rPr>
        <w:rStyle w:val="EncabezamientoopiedepginaPalatinoLinotype"/>
        <w:noProof/>
      </w:rPr>
      <w:t>1</w:t>
    </w:r>
    <w:r>
      <w:rPr>
        <w:rStyle w:val="EncabezamientoopiedepginaPalatinoLinotype"/>
      </w:rPr>
      <w:fldChar w:fldCharType="end"/>
    </w:r>
  </w:p>
  <w:p w:rsidR="00B37A15" w:rsidRDefault="00B37A15">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15" w:rsidRDefault="007C54C9">
    <w:pPr>
      <w:pStyle w:val="Encabezamientoopiedepgina0"/>
      <w:framePr w:h="154" w:wrap="none" w:vAnchor="text" w:hAnchor="page" w:x="10668" w:y="-1707"/>
      <w:shd w:val="clear" w:color="auto" w:fill="auto"/>
      <w:jc w:val="both"/>
    </w:pPr>
    <w:r>
      <w:fldChar w:fldCharType="begin"/>
    </w:r>
    <w:r>
      <w:instrText xml:space="preserve"> PAGE \* MERGEFORMAT </w:instrText>
    </w:r>
    <w:r>
      <w:fldChar w:fldCharType="separate"/>
    </w:r>
    <w:r w:rsidR="00D44242" w:rsidRPr="00D44242">
      <w:rPr>
        <w:rStyle w:val="EncabezamientoopiedepginaPalatinoLinotype"/>
        <w:noProof/>
      </w:rPr>
      <w:t>9</w:t>
    </w:r>
    <w:r>
      <w:rPr>
        <w:rStyle w:val="EncabezamientoopiedepginaPalatinoLinotype"/>
      </w:rPr>
      <w:fldChar w:fldCharType="end"/>
    </w:r>
  </w:p>
  <w:p w:rsidR="00B37A15" w:rsidRDefault="00B37A1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412" w:rsidRDefault="003C1412"/>
  </w:footnote>
  <w:footnote w:type="continuationSeparator" w:id="0">
    <w:p w:rsidR="003C1412" w:rsidRDefault="003C14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15"/>
    <w:rsid w:val="002A43F3"/>
    <w:rsid w:val="003C1412"/>
    <w:rsid w:val="007C54C9"/>
    <w:rsid w:val="00B37A15"/>
    <w:rsid w:val="00D442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1 pto"/>
    <w:basedOn w:val="Encabezamientoopiedepgina"/>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3">
    <w:name w:val="Cuerpo del texto (3)_"/>
    <w:basedOn w:val="Fuentedeprrafopredeter"/>
    <w:link w:val="Cuerpodeltexto30"/>
    <w:rPr>
      <w:rFonts w:ascii="Bookman Old Style" w:eastAsia="Bookman Old Style" w:hAnsi="Bookman Old Style" w:cs="Bookman Old Style"/>
      <w:b w:val="0"/>
      <w:bCs w:val="0"/>
      <w:i w:val="0"/>
      <w:iCs w:val="0"/>
      <w:smallCaps w:val="0"/>
      <w:strike w:val="0"/>
      <w:spacing w:val="0"/>
      <w:sz w:val="15"/>
      <w:szCs w:val="15"/>
    </w:rPr>
  </w:style>
  <w:style w:type="character" w:customStyle="1" w:styleId="Cuerpodeltexto4">
    <w:name w:val="Cuerpo del texto (4)_"/>
    <w:basedOn w:val="Fuentedeprrafopredeter"/>
    <w:link w:val="Cuerpodeltexto40"/>
    <w:rPr>
      <w:rFonts w:ascii="Bookman Old Style" w:eastAsia="Bookman Old Style" w:hAnsi="Bookman Old Style" w:cs="Bookman Old Style"/>
      <w:b w:val="0"/>
      <w:bCs w:val="0"/>
      <w:i w:val="0"/>
      <w:iCs w:val="0"/>
      <w:smallCaps w:val="0"/>
      <w:strike w:val="0"/>
      <w:spacing w:val="0"/>
      <w:w w:val="100"/>
      <w:sz w:val="15"/>
      <w:szCs w:val="15"/>
      <w:lang w:val="de"/>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4">
    <w:name w:val="Cuerpo del texto + Negrita"/>
    <w:aliases w:val="Cursiva"/>
    <w:basedOn w:val="Cuerpodeltexto"/>
    <w:rPr>
      <w:rFonts w:ascii="Palatino Linotype" w:eastAsia="Palatino Linotype" w:hAnsi="Palatino Linotype" w:cs="Palatino Linotype"/>
      <w:b/>
      <w:bCs/>
      <w:i/>
      <w:iCs/>
      <w:smallCaps w:val="0"/>
      <w:strike w:val="0"/>
      <w:spacing w:val="0"/>
      <w:sz w:val="21"/>
      <w:szCs w:val="21"/>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0"/>
      <w:sz w:val="21"/>
      <w:szCs w:val="21"/>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after="240" w:line="264" w:lineRule="exact"/>
      <w:jc w:val="center"/>
    </w:pPr>
    <w:rPr>
      <w:rFonts w:ascii="Palatino Linotype" w:eastAsia="Palatino Linotype" w:hAnsi="Palatino Linotype" w:cs="Palatino Linotype"/>
      <w:b/>
      <w:bCs/>
      <w:sz w:val="21"/>
      <w:szCs w:val="21"/>
    </w:rPr>
  </w:style>
  <w:style w:type="paragraph" w:customStyle="1" w:styleId="Cuerpodeltexto0">
    <w:name w:val="Cuerpo del texto"/>
    <w:basedOn w:val="Normal"/>
    <w:link w:val="Cuerpodeltexto"/>
    <w:pPr>
      <w:shd w:val="clear" w:color="auto" w:fill="FFFFFF"/>
      <w:spacing w:before="240" w:line="427" w:lineRule="exact"/>
      <w:jc w:val="both"/>
    </w:pPr>
    <w:rPr>
      <w:rFonts w:ascii="Palatino Linotype" w:eastAsia="Palatino Linotype" w:hAnsi="Palatino Linotype" w:cs="Palatino Linotype"/>
      <w:sz w:val="21"/>
      <w:szCs w:val="21"/>
    </w:rPr>
  </w:style>
  <w:style w:type="paragraph" w:customStyle="1" w:styleId="Cuerpodeltexto30">
    <w:name w:val="Cuerpo del texto (3)"/>
    <w:basedOn w:val="Normal"/>
    <w:link w:val="Cuerpodeltexto3"/>
    <w:pPr>
      <w:shd w:val="clear" w:color="auto" w:fill="FFFFFF"/>
      <w:spacing w:line="187" w:lineRule="exact"/>
    </w:pPr>
    <w:rPr>
      <w:rFonts w:ascii="Bookman Old Style" w:eastAsia="Bookman Old Style" w:hAnsi="Bookman Old Style" w:cs="Bookman Old Style"/>
      <w:b/>
      <w:bCs/>
      <w:sz w:val="15"/>
      <w:szCs w:val="15"/>
    </w:rPr>
  </w:style>
  <w:style w:type="paragraph" w:customStyle="1" w:styleId="Cuerpodeltexto40">
    <w:name w:val="Cuerpo del texto (4)"/>
    <w:basedOn w:val="Normal"/>
    <w:link w:val="Cuerpodeltexto4"/>
    <w:pPr>
      <w:shd w:val="clear" w:color="auto" w:fill="FFFFFF"/>
      <w:spacing w:line="0" w:lineRule="atLeast"/>
      <w:jc w:val="right"/>
    </w:pPr>
    <w:rPr>
      <w:rFonts w:ascii="Bookman Old Style" w:eastAsia="Bookman Old Style" w:hAnsi="Bookman Old Style" w:cs="Bookman Old Style"/>
      <w:sz w:val="15"/>
      <w:szCs w:val="15"/>
      <w:lang w:val="de"/>
    </w:rPr>
  </w:style>
  <w:style w:type="paragraph" w:customStyle="1" w:styleId="Ttulo10">
    <w:name w:val="Título #1"/>
    <w:basedOn w:val="Normal"/>
    <w:link w:val="Ttulo1"/>
    <w:pPr>
      <w:shd w:val="clear" w:color="auto" w:fill="FFFFFF"/>
      <w:spacing w:before="1740" w:after="1020" w:line="269" w:lineRule="exact"/>
      <w:ind w:hanging="1220"/>
      <w:outlineLvl w:val="0"/>
    </w:pPr>
    <w:rPr>
      <w:rFonts w:ascii="Palatino Linotype" w:eastAsia="Palatino Linotype" w:hAnsi="Palatino Linotype" w:cs="Palatino Linotype"/>
      <w:b/>
      <w:bCs/>
      <w:sz w:val="21"/>
      <w:szCs w:val="21"/>
    </w:rPr>
  </w:style>
  <w:style w:type="paragraph" w:styleId="Textodeglobo">
    <w:name w:val="Balloon Text"/>
    <w:basedOn w:val="Normal"/>
    <w:link w:val="TextodegloboCar"/>
    <w:uiPriority w:val="99"/>
    <w:semiHidden/>
    <w:unhideWhenUsed/>
    <w:rsid w:val="00D44242"/>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4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1 pto"/>
    <w:basedOn w:val="Encabezamientoopiedepgina"/>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3">
    <w:name w:val="Cuerpo del texto (3)_"/>
    <w:basedOn w:val="Fuentedeprrafopredeter"/>
    <w:link w:val="Cuerpodeltexto30"/>
    <w:rPr>
      <w:rFonts w:ascii="Bookman Old Style" w:eastAsia="Bookman Old Style" w:hAnsi="Bookman Old Style" w:cs="Bookman Old Style"/>
      <w:b w:val="0"/>
      <w:bCs w:val="0"/>
      <w:i w:val="0"/>
      <w:iCs w:val="0"/>
      <w:smallCaps w:val="0"/>
      <w:strike w:val="0"/>
      <w:spacing w:val="0"/>
      <w:sz w:val="15"/>
      <w:szCs w:val="15"/>
    </w:rPr>
  </w:style>
  <w:style w:type="character" w:customStyle="1" w:styleId="Cuerpodeltexto4">
    <w:name w:val="Cuerpo del texto (4)_"/>
    <w:basedOn w:val="Fuentedeprrafopredeter"/>
    <w:link w:val="Cuerpodeltexto40"/>
    <w:rPr>
      <w:rFonts w:ascii="Bookman Old Style" w:eastAsia="Bookman Old Style" w:hAnsi="Bookman Old Style" w:cs="Bookman Old Style"/>
      <w:b w:val="0"/>
      <w:bCs w:val="0"/>
      <w:i w:val="0"/>
      <w:iCs w:val="0"/>
      <w:smallCaps w:val="0"/>
      <w:strike w:val="0"/>
      <w:spacing w:val="0"/>
      <w:w w:val="100"/>
      <w:sz w:val="15"/>
      <w:szCs w:val="15"/>
      <w:lang w:val="de"/>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4">
    <w:name w:val="Cuerpo del texto + Negrita"/>
    <w:aliases w:val="Cursiva"/>
    <w:basedOn w:val="Cuerpodeltexto"/>
    <w:rPr>
      <w:rFonts w:ascii="Palatino Linotype" w:eastAsia="Palatino Linotype" w:hAnsi="Palatino Linotype" w:cs="Palatino Linotype"/>
      <w:b/>
      <w:bCs/>
      <w:i/>
      <w:iCs/>
      <w:smallCaps w:val="0"/>
      <w:strike w:val="0"/>
      <w:spacing w:val="0"/>
      <w:sz w:val="21"/>
      <w:szCs w:val="21"/>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0"/>
      <w:sz w:val="21"/>
      <w:szCs w:val="21"/>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after="240" w:line="264" w:lineRule="exact"/>
      <w:jc w:val="center"/>
    </w:pPr>
    <w:rPr>
      <w:rFonts w:ascii="Palatino Linotype" w:eastAsia="Palatino Linotype" w:hAnsi="Palatino Linotype" w:cs="Palatino Linotype"/>
      <w:b/>
      <w:bCs/>
      <w:sz w:val="21"/>
      <w:szCs w:val="21"/>
    </w:rPr>
  </w:style>
  <w:style w:type="paragraph" w:customStyle="1" w:styleId="Cuerpodeltexto0">
    <w:name w:val="Cuerpo del texto"/>
    <w:basedOn w:val="Normal"/>
    <w:link w:val="Cuerpodeltexto"/>
    <w:pPr>
      <w:shd w:val="clear" w:color="auto" w:fill="FFFFFF"/>
      <w:spacing w:before="240" w:line="427" w:lineRule="exact"/>
      <w:jc w:val="both"/>
    </w:pPr>
    <w:rPr>
      <w:rFonts w:ascii="Palatino Linotype" w:eastAsia="Palatino Linotype" w:hAnsi="Palatino Linotype" w:cs="Palatino Linotype"/>
      <w:sz w:val="21"/>
      <w:szCs w:val="21"/>
    </w:rPr>
  </w:style>
  <w:style w:type="paragraph" w:customStyle="1" w:styleId="Cuerpodeltexto30">
    <w:name w:val="Cuerpo del texto (3)"/>
    <w:basedOn w:val="Normal"/>
    <w:link w:val="Cuerpodeltexto3"/>
    <w:pPr>
      <w:shd w:val="clear" w:color="auto" w:fill="FFFFFF"/>
      <w:spacing w:line="187" w:lineRule="exact"/>
    </w:pPr>
    <w:rPr>
      <w:rFonts w:ascii="Bookman Old Style" w:eastAsia="Bookman Old Style" w:hAnsi="Bookman Old Style" w:cs="Bookman Old Style"/>
      <w:b/>
      <w:bCs/>
      <w:sz w:val="15"/>
      <w:szCs w:val="15"/>
    </w:rPr>
  </w:style>
  <w:style w:type="paragraph" w:customStyle="1" w:styleId="Cuerpodeltexto40">
    <w:name w:val="Cuerpo del texto (4)"/>
    <w:basedOn w:val="Normal"/>
    <w:link w:val="Cuerpodeltexto4"/>
    <w:pPr>
      <w:shd w:val="clear" w:color="auto" w:fill="FFFFFF"/>
      <w:spacing w:line="0" w:lineRule="atLeast"/>
      <w:jc w:val="right"/>
    </w:pPr>
    <w:rPr>
      <w:rFonts w:ascii="Bookman Old Style" w:eastAsia="Bookman Old Style" w:hAnsi="Bookman Old Style" w:cs="Bookman Old Style"/>
      <w:sz w:val="15"/>
      <w:szCs w:val="15"/>
      <w:lang w:val="de"/>
    </w:rPr>
  </w:style>
  <w:style w:type="paragraph" w:customStyle="1" w:styleId="Ttulo10">
    <w:name w:val="Título #1"/>
    <w:basedOn w:val="Normal"/>
    <w:link w:val="Ttulo1"/>
    <w:pPr>
      <w:shd w:val="clear" w:color="auto" w:fill="FFFFFF"/>
      <w:spacing w:before="1740" w:after="1020" w:line="269" w:lineRule="exact"/>
      <w:ind w:hanging="1220"/>
      <w:outlineLvl w:val="0"/>
    </w:pPr>
    <w:rPr>
      <w:rFonts w:ascii="Palatino Linotype" w:eastAsia="Palatino Linotype" w:hAnsi="Palatino Linotype" w:cs="Palatino Linotype"/>
      <w:b/>
      <w:bCs/>
      <w:sz w:val="21"/>
      <w:szCs w:val="21"/>
    </w:rPr>
  </w:style>
  <w:style w:type="paragraph" w:styleId="Textodeglobo">
    <w:name w:val="Balloon Text"/>
    <w:basedOn w:val="Normal"/>
    <w:link w:val="TextodegloboCar"/>
    <w:uiPriority w:val="99"/>
    <w:semiHidden/>
    <w:unhideWhenUsed/>
    <w:rsid w:val="00D44242"/>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4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3838</Words>
  <Characters>21110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2017-09-25T19:58:00Z</dcterms:created>
  <dcterms:modified xsi:type="dcterms:W3CDTF">2017-09-26T16:31:00Z</dcterms:modified>
</cp:coreProperties>
</file>