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8C" w:rsidRDefault="00277167">
      <w:pPr>
        <w:framePr w:wrap="notBeside" w:vAnchor="text" w:hAnchor="text" w:xAlign="center" w:y="1"/>
        <w:jc w:val="center"/>
        <w:rPr>
          <w:sz w:val="0"/>
          <w:szCs w:val="0"/>
        </w:rPr>
      </w:pPr>
      <w:r>
        <w:rPr>
          <w:noProof/>
          <w:lang w:val="es-SV"/>
        </w:rPr>
        <w:drawing>
          <wp:inline distT="0" distB="0" distL="0" distR="0">
            <wp:extent cx="914400" cy="796290"/>
            <wp:effectExtent l="0" t="0" r="0" b="3810"/>
            <wp:docPr id="1" name="Imagen 1" descr="C:\Users\KARENC~1.GOB\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1.GOB\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96290"/>
                    </a:xfrm>
                    <a:prstGeom prst="rect">
                      <a:avLst/>
                    </a:prstGeom>
                    <a:noFill/>
                    <a:ln>
                      <a:noFill/>
                    </a:ln>
                  </pic:spPr>
                </pic:pic>
              </a:graphicData>
            </a:graphic>
          </wp:inline>
        </w:drawing>
      </w:r>
    </w:p>
    <w:p w:rsidR="008A548C" w:rsidRDefault="008A548C">
      <w:pPr>
        <w:rPr>
          <w:sz w:val="2"/>
          <w:szCs w:val="2"/>
        </w:rPr>
      </w:pPr>
    </w:p>
    <w:p w:rsidR="008A548C" w:rsidRDefault="00680F2B">
      <w:pPr>
        <w:pStyle w:val="Cuerpodeltexto20"/>
        <w:shd w:val="clear" w:color="auto" w:fill="auto"/>
        <w:spacing w:before="8"/>
        <w:ind w:left="180" w:right="160"/>
      </w:pPr>
      <w:r>
        <w:t>"SERVICIO DE MANTENIMIENTO PREVENTIVO Y CORRECTIVO DE BASCULAS ELECTRONICAS PERTENECIENTES A LA DIRECCION GENERAL DE CORREOS DE EL SALVADOR, DEPENDENCIA DEL MINISTERIO DE GOBERNACIÓN Y DESARROLLO TERRITORIAL Y SUS DEPENDENCIAS".</w:t>
      </w:r>
    </w:p>
    <w:p w:rsidR="008A548C" w:rsidRDefault="00680F2B">
      <w:pPr>
        <w:pStyle w:val="Cuerpodeltexto20"/>
        <w:shd w:val="clear" w:color="auto" w:fill="auto"/>
        <w:spacing w:before="0" w:after="129"/>
        <w:ind w:left="3660"/>
      </w:pPr>
      <w:r>
        <w:t>No. MG-062/2017.</w:t>
      </w:r>
    </w:p>
    <w:p w:rsidR="008A548C" w:rsidRDefault="00680F2B">
      <w:pPr>
        <w:pStyle w:val="Cuerpodeltexto0"/>
        <w:shd w:val="clear" w:color="auto" w:fill="auto"/>
        <w:spacing w:before="0"/>
        <w:ind w:left="20"/>
        <w:sectPr w:rsidR="008A548C">
          <w:footerReference w:type="default" r:id="rId8"/>
          <w:type w:val="continuous"/>
          <w:pgSz w:w="11905" w:h="16837"/>
          <w:pgMar w:top="1473" w:right="1407" w:bottom="1489" w:left="1406" w:header="0" w:footer="3" w:gutter="0"/>
          <w:cols w:space="720"/>
          <w:noEndnote/>
          <w:docGrid w:linePitch="360"/>
        </w:sectPr>
      </w:pPr>
      <w:r>
        <w:t>Nosotros,</w:t>
      </w:r>
      <w:r>
        <w:rPr>
          <w:rStyle w:val="CuerpodeltextoNegrita"/>
        </w:rPr>
        <w:t xml:space="preserve"> </w:t>
      </w:r>
      <w:r w:rsidR="00126B8C">
        <w:rPr>
          <w:rStyle w:val="CuerpodeltextoNegrita"/>
        </w:rPr>
        <w:t>---------------------------</w:t>
      </w:r>
      <w:r>
        <w:rPr>
          <w:rStyle w:val="CuerpodeltextoNegrita"/>
        </w:rPr>
        <w:t>,</w:t>
      </w:r>
      <w:r>
        <w:t xml:space="preserve"> de </w:t>
      </w:r>
      <w:r w:rsidR="00126B8C">
        <w:t>------------------------------</w:t>
      </w:r>
      <w:r>
        <w:t xml:space="preserve">, de este domicilio, con Documento Único de Identidad número </w:t>
      </w:r>
      <w:r w:rsidR="00126B8C">
        <w:t>--------------------------------</w:t>
      </w:r>
      <w:r>
        <w:t xml:space="preserve">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denominaré </w:t>
      </w:r>
      <w:r>
        <w:rPr>
          <w:rStyle w:val="CuerpodeltextoNegrita"/>
        </w:rPr>
        <w:t>EL MINISTERIO;</w:t>
      </w:r>
      <w:r>
        <w:t xml:space="preserve"> y</w:t>
      </w:r>
      <w:r>
        <w:rPr>
          <w:rStyle w:val="CuerpodeltextoNegrita"/>
        </w:rPr>
        <w:t xml:space="preserve"> </w:t>
      </w:r>
      <w:r w:rsidR="00126B8C">
        <w:rPr>
          <w:rStyle w:val="CuerpodeltextoNegrita"/>
        </w:rPr>
        <w:t>--------------------------------------------</w:t>
      </w:r>
      <w:r>
        <w:rPr>
          <w:rStyle w:val="CuerpodeltextoNegrita"/>
        </w:rPr>
        <w:t>,</w:t>
      </w:r>
      <w:r>
        <w:t xml:space="preserve"> de </w:t>
      </w:r>
      <w:r w:rsidR="00126B8C">
        <w:t>-----------------------</w:t>
      </w:r>
      <w:r>
        <w:t xml:space="preserve">, portador de su </w:t>
      </w:r>
      <w:r w:rsidR="00126B8C">
        <w:t>-------------------------------------</w:t>
      </w:r>
      <w:r>
        <w:t xml:space="preserve"> y Número de Identificación Tributaria </w:t>
      </w:r>
      <w:r w:rsidR="00126B8C">
        <w:t>-------------------------------</w:t>
      </w:r>
      <w:r>
        <w:t>, en mi calidad de Administrador Único y Representante Legal de la Sociedad</w:t>
      </w:r>
      <w:r>
        <w:rPr>
          <w:rStyle w:val="CuerpodeltextoNegrita"/>
        </w:rPr>
        <w:t xml:space="preserve"> F.A. DALTON Y COMPAÑIA,</w:t>
      </w:r>
      <w:r>
        <w:t xml:space="preserve"> que se puede abreviar </w:t>
      </w:r>
      <w:r>
        <w:rPr>
          <w:rStyle w:val="CuerpodeltextoNegrita"/>
        </w:rPr>
        <w:t>F.A. DALTON &amp; CO,</w:t>
      </w:r>
      <w:r>
        <w:t xml:space="preserve"> del domicilio de San Salvador, con Número de Identificación Tributaria cero seiscientos catorce- cero diez mil seiscientos setenta- cero </w:t>
      </w:r>
      <w:proofErr w:type="spellStart"/>
      <w:r>
        <w:t>cero</w:t>
      </w:r>
      <w:proofErr w:type="spellEnd"/>
      <w:r>
        <w:t xml:space="preserve"> uno- nueve; personería que acredito por medio de: Copia Certificada por Notario de Testimonio de Escritura Pública de Modificación al Pacto Social integrándola en un solo texto, otorgada en esta ciudad, a las dieciséis horas y treinta minutos del día veinticinco de agosto del año dos mil dieciséis, ante los oficios Notariales de JAIME ANTONIO ARIAS BOJORQUEZ, e inscrita en el Registro de Comercio bajo el número CUARENTA Y SIETE del Libro TRES MIL SEISCIENTOS TREINTA Y SEIS del Registro de Sociedades, el día dos de septiembre de dos mil dieciséis, de la cual consta que la denominación de la Sociedad es como se ha indicado, que es una sociedad de personas y en nombre colectivo, de nacionalidad salvadoreña, que su plazo es indeterminado, que dentro de su finalidad se encuentra la explotación de representaciones de casas comerciales o manufactureras extranjeras o nacionales; la compra, venta, distribución, importación y </w:t>
      </w:r>
      <w:r>
        <w:lastRenderedPageBreak/>
        <w:t>exportación de mercaderías; la fabricación o ensamblaje de artículos, utensilios, herramientas, repuestos, maquinarias o cualquier industria, así como dar servicios de mantenimiento o reparaciones; y, en general, la celebración de contratos y actos lícitos inclusive la adquisición, venta, permuta, arrendamiento, gravamen de inmuebles, acciones o títulos valores; obtener y conceder créditos a mutuo, participar en otras sociedades; y lo que fuera a consecuencia o accesorio de lo dicho, sin que ello indique exclusivo a esas actividades; que la Representación judicial y extrajudicial y el uso de la firma social de la Sociedad corresponde exclusivamente a un Administrador Único Inamovible, por lo que fui nombrado en la misma escritura de Modificación al pacto social, como Administrador Único Inamovible, por lo que ostento las suficientes facultades para comparecer a otorgar actos como el que ampara el presente instrumento, que en lo sucesivo me denominaré</w:t>
      </w:r>
      <w:r>
        <w:rPr>
          <w:rStyle w:val="CuerpodeltextoNegrita0"/>
        </w:rPr>
        <w:t xml:space="preserve"> "EL CONTRATISTA",</w:t>
      </w:r>
      <w:r>
        <w:t xml:space="preserve"> convenimos en celebrar y al efecto así lo hacemos, con base en el proceso de</w:t>
      </w:r>
      <w:r>
        <w:rPr>
          <w:rStyle w:val="CuerpodeltextoNegrita0"/>
        </w:rPr>
        <w:t xml:space="preserve"> LIBRE GESTION</w:t>
      </w:r>
      <w:r>
        <w:t xml:space="preserve"> denominado "SERVICIO DE MANTENIMIENTO PREVENTIVO Y CORRECTIVO DE BASCULAS ELECTRONICAS PERTENECIENTES A LA DIRECCION GENERAL DE CORREOS DE EL SALVADOR, DEPENDENCIA DEL MINISTERIO DE GOBERNACIÓN Y DESARROLLO TERRITORIAL" SEGUNDO PROCESO, promovido por el Ministerio de Gobernación y Desarrollo Territorial, y en la Recomendación de Adjudicación emitida por el Comité de Evaluación de Ofertas, en fecha once de julio de dos mil diecisiete y suscrito por la Licenciada María del Carmen </w:t>
      </w:r>
      <w:proofErr w:type="spellStart"/>
      <w:r>
        <w:t>Nuñez</w:t>
      </w:r>
      <w:proofErr w:type="spellEnd"/>
      <w:r>
        <w:t xml:space="preserve"> Recinos, en cumplimiento al Acuerdo Número UNO, emitido por el Órgano Ejecutivo en el Ramo de Gobernación y Desarrollo Territorial, el día cuatro de enero de dos mil diecisiete, el siguiente Contrato de</w:t>
      </w:r>
      <w:r>
        <w:rPr>
          <w:rStyle w:val="CuerpodeltextoNegrita0"/>
        </w:rPr>
        <w:t xml:space="preserve"> "SERVICIO DE MANTENIMIENTO PREVENTIVO Y CORRECTIVO DE BASCULAS ELECTRONICAS PERTENECIENTES A LA DIRECCION GENERAL DE CORREOS DE EL SALVADOR, DEPENDENCIA DEL MINISTERIO DE GOBERNACIÓN Y DESARROLLO TERRITORIAL",</w:t>
      </w:r>
      <w:r>
        <w:t xml:space="preserve"> de conformidad a la Constitución de la República, a la Ley de Adquisiciones y Contrataciones de la Administración Pública, que en adelante se denominará LACAP, a su Reglamento, y en especial a las condiciones, obligaciones, pactos y renuncias siguientes:</w:t>
      </w:r>
      <w:r>
        <w:rPr>
          <w:rStyle w:val="CuerpodeltextoNegrita0"/>
        </w:rPr>
        <w:t xml:space="preserve"> </w:t>
      </w:r>
      <w:r>
        <w:rPr>
          <w:rStyle w:val="CuerpodeltextoNegrita1"/>
        </w:rPr>
        <w:t>CLAUSULA PRIMERA: OBJETO DEL CONTRATO:</w:t>
      </w:r>
      <w:r>
        <w:t xml:space="preserve"> EL CONTRATISTA se compromete a proporcionar a EL MINISTERIO, el servicio de Mantenimiento Preventivo y Correctivo de los equipos de Básculas electrónicas pertenecientes a la Dirección General de Correos de El Salvador, detallados en los Términos de Referencia y Oferta Técnica Económica. EL CONTRATISTA responderá de acuerdo a los términos y condiciones establecidos en el presente instrumento, especialmente por la calidad del servicio que brinda, así como de las consecuencias por las omisiones o acciones incorrectas en la ejecución de este Contrato, y corresponderá al </w:t>
      </w:r>
      <w:r>
        <w:lastRenderedPageBreak/>
        <w:t>respectivo Administrador del Contrato, velar por el fiel cumplimiento de las obligaciones emanadas de este instrumento, debiendo informar a la Unidad de Adquisiciones y Contrataciones Institucional (UACI), las omisiones o acciones incorrectas en la ejecución del mismo.</w:t>
      </w:r>
      <w:r>
        <w:rPr>
          <w:rStyle w:val="CuerpodeltextoNegrita2"/>
        </w:rPr>
        <w:t xml:space="preserve"> </w:t>
      </w:r>
      <w:r>
        <w:rPr>
          <w:rStyle w:val="CuerpodeltextoNegrita3"/>
        </w:rPr>
        <w:t>CLAUSULA SEGUNDA: DOCUMENTOS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Las adendas y las resoluciones modificativas, en su caso; e) El Acuerdo Número CUARENTA Y OCHO de Nombramiento de Administrador de Contrato, emitido por el Órgano Ejecutivo en el Ramo de Gobernación y Desarrollo Territorial, en fecha veinte de julio de dos mil diecisiete; f) La Garantía de Cumplimiento de Contrato; y g) Cualquier otro documento que emanare del presente instrumento. En caso de controversia entre estos documentos y el contrato prevalecerá éste último.</w:t>
      </w:r>
      <w:r>
        <w:rPr>
          <w:rStyle w:val="CuerpodeltextoNegrita2"/>
        </w:rPr>
        <w:t xml:space="preserve"> </w:t>
      </w:r>
      <w:r>
        <w:rPr>
          <w:rStyle w:val="CuerpodeltextoNegrita3"/>
        </w:rPr>
        <w:t>CLAUSULA TERCERA: PLAZO Y VIGENCIA DEL CONTRATO.</w:t>
      </w:r>
      <w:r>
        <w:t xml:space="preserve"> El plazo para la prestación del servicio será el día subsiguiente hábil posterior a la notificación de la orden de inicio girada al contratista por el respectivo Administrador de Contrato hasta el treinta y uno de diciembre de dos mil diecisiete. Para el Mantenimiento Preventivo EL CONTRATISTA dispone de un máximo de tres días calendario para realizar el mantenimiento preventivo por cada equipo; para el Mantenimiento correctivo se establece un plazo máximo de cinco días calendario, posteriores a la autorización de la oferta por parte del Administrador del Contrato,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diecisiete.</w:t>
      </w:r>
      <w:r>
        <w:rPr>
          <w:rStyle w:val="CuerpodeltextoNegrita2"/>
        </w:rPr>
        <w:t xml:space="preserve"> </w:t>
      </w:r>
      <w:r>
        <w:rPr>
          <w:rStyle w:val="CuerpodeltextoNegrita3"/>
        </w:rPr>
        <w:t xml:space="preserve">CLAUSULA CUARTA: PRECIO Y FORMA DE </w:t>
      </w:r>
      <w:r>
        <w:rPr>
          <w:rStyle w:val="CuerpodeltextoNegrita4"/>
        </w:rPr>
        <w:t xml:space="preserve">PAGO. </w:t>
      </w:r>
      <w:r>
        <w:t xml:space="preserve">El precio a cancelar por la prestación del servicio objeto del presente Contrato es de hasta </w:t>
      </w:r>
      <w:r>
        <w:rPr>
          <w:rStyle w:val="Cuerpodeltexto115pto"/>
        </w:rPr>
        <w:t>SIETE MIL DOSCIENTOS 00/100 DOLARES DE LOS ESTADOS UNIDOS DE AMERICA (US$7,200.00),</w:t>
      </w:r>
      <w:r>
        <w:t xml:space="preserve"> valor que incluye el Impuesto a la Transferencia de Bienes</w:t>
      </w:r>
    </w:p>
    <w:p w:rsidR="008A548C" w:rsidRDefault="00680F2B">
      <w:pPr>
        <w:pStyle w:val="Cuerpodeltexto0"/>
        <w:shd w:val="clear" w:color="auto" w:fill="auto"/>
        <w:spacing w:before="0" w:after="337" w:line="418" w:lineRule="exact"/>
        <w:ind w:left="400" w:right="400"/>
      </w:pPr>
      <w:r>
        <w:lastRenderedPageBreak/>
        <w:t>Muebles y a la Prestación de Servicios (IVA), según el siguiente detalle: MANTENIMIENTO PREVENTIVO: por la cantidad de</w:t>
      </w:r>
      <w:r>
        <w:rPr>
          <w:rStyle w:val="Cuerpodeltexto115pto0"/>
        </w:rPr>
        <w:t xml:space="preserve"> MIL OCHOCIENTOS VEINTICUATRO 00/100 DOLARES DE LOS ESTADOS UNIDOS DE AMERICA (US$1,824.00),</w:t>
      </w:r>
      <w:r>
        <w:t xml:space="preserve"> valor que incluye el Impuesto a la Transferencia de Bienes Muebles y a la Prestación de Servicios (IVA); MANTENIMIENTO CORRECTIVO: por la cantidad de hasta</w:t>
      </w:r>
      <w:r>
        <w:rPr>
          <w:rStyle w:val="Cuerpodeltexto115pto0"/>
        </w:rPr>
        <w:t xml:space="preserve"> CINCO MIL TRESCIENTOS </w:t>
      </w:r>
      <w:r>
        <w:rPr>
          <w:rStyle w:val="Cuerpodeltexto115pto0"/>
        </w:rPr>
        <w:lastRenderedPageBreak/>
        <w:t>SETENTA Y SEIS 00/100 DOLARES DE LOS ESTADOS UNIDOS DE AMERICA (US$5,376.00),</w:t>
      </w:r>
      <w:r>
        <w:t xml:space="preserve"> valor que incluye el Impuesto a la Transferencia de Bienes Muebles y a la Prestación de Servicios (IVA), y que corresponde a la certificación total de fondos disponible para el presente proceso, ya que de acuerdo con los Términos de Referencia el monto disponible para mantenimiento correctivo puede ser utilizado en caso de ser necesario para cubrir los costos del mantenimiento preventivo y viceversa, hasta totalizar la disponibilidad presupuestaria y no debiendo exceder del monto total del contrato, razón por la que el Monto Total Certificado por dependencia deberá estar disponible para cualquiera de los tipos de mantenimientos, según detalle siguiente:</w:t>
      </w:r>
    </w:p>
    <w:tbl>
      <w:tblPr>
        <w:tblW w:w="0" w:type="auto"/>
        <w:jc w:val="center"/>
        <w:tblLayout w:type="fixed"/>
        <w:tblCellMar>
          <w:left w:w="10" w:type="dxa"/>
          <w:right w:w="10" w:type="dxa"/>
        </w:tblCellMar>
        <w:tblLook w:val="04A0" w:firstRow="1" w:lastRow="0" w:firstColumn="1" w:lastColumn="0" w:noHBand="0" w:noVBand="1"/>
      </w:tblPr>
      <w:tblGrid>
        <w:gridCol w:w="547"/>
        <w:gridCol w:w="1099"/>
        <w:gridCol w:w="2040"/>
        <w:gridCol w:w="3739"/>
        <w:gridCol w:w="1200"/>
        <w:gridCol w:w="1210"/>
      </w:tblGrid>
      <w:tr w:rsidR="008A548C">
        <w:trPr>
          <w:trHeight w:val="125"/>
          <w:jc w:val="center"/>
        </w:trPr>
        <w:tc>
          <w:tcPr>
            <w:tcW w:w="547"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vMerge w:val="restart"/>
            <w:tcBorders>
              <w:top w:val="single" w:sz="4" w:space="0" w:color="auto"/>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26" w:lineRule="exact"/>
              <w:ind w:right="520"/>
              <w:jc w:val="right"/>
            </w:pPr>
            <w:r>
              <w:t>CODIGO BASCULA ELECTRONICA</w:t>
            </w:r>
          </w:p>
        </w:tc>
        <w:tc>
          <w:tcPr>
            <w:tcW w:w="3739"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235"/>
          <w:jc w:val="center"/>
        </w:trPr>
        <w:tc>
          <w:tcPr>
            <w:tcW w:w="547"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80"/>
            </w:pPr>
            <w:r>
              <w:rPr>
                <w:lang w:val="en-US"/>
              </w:rPr>
              <w:t>ITEM</w:t>
            </w:r>
          </w:p>
        </w:tc>
        <w:tc>
          <w:tcPr>
            <w:tcW w:w="1099"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100"/>
            </w:pPr>
            <w:r>
              <w:t>CANTIDAD</w:t>
            </w:r>
          </w:p>
        </w:tc>
        <w:tc>
          <w:tcPr>
            <w:tcW w:w="2040" w:type="dxa"/>
            <w:vMerge/>
            <w:tcBorders>
              <w:left w:val="single" w:sz="4" w:space="0" w:color="auto"/>
              <w:right w:val="single" w:sz="4" w:space="0" w:color="auto"/>
            </w:tcBorders>
            <w:shd w:val="clear" w:color="auto" w:fill="FFFFFF"/>
          </w:tcPr>
          <w:p w:rsidR="008A548C" w:rsidRDefault="008A548C">
            <w:pPr>
              <w:framePr w:wrap="notBeside" w:vAnchor="text" w:hAnchor="text" w:xAlign="center" w:y="1"/>
            </w:pPr>
          </w:p>
        </w:tc>
        <w:tc>
          <w:tcPr>
            <w:tcW w:w="3739"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740"/>
            </w:pPr>
            <w:r>
              <w:t>DESCRIPCION DEL SERVICIO</w:t>
            </w:r>
          </w:p>
        </w:tc>
        <w:tc>
          <w:tcPr>
            <w:tcW w:w="1200"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400"/>
            </w:pPr>
            <w:r>
              <w:t xml:space="preserve">P.U. </w:t>
            </w:r>
            <w:r>
              <w:rPr>
                <w:lang w:val="en-US"/>
              </w:rPr>
              <w:t>$</w:t>
            </w:r>
          </w:p>
        </w:tc>
        <w:tc>
          <w:tcPr>
            <w:tcW w:w="1210"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200"/>
            </w:pPr>
            <w:r>
              <w:t xml:space="preserve">P. TOTAL </w:t>
            </w:r>
            <w:r>
              <w:rPr>
                <w:lang w:val="en-US"/>
              </w:rPr>
              <w:t>$</w:t>
            </w:r>
          </w:p>
        </w:tc>
      </w:tr>
      <w:tr w:rsidR="008A548C">
        <w:trPr>
          <w:trHeight w:val="110"/>
          <w:jc w:val="center"/>
        </w:trPr>
        <w:tc>
          <w:tcPr>
            <w:tcW w:w="547"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vMerge/>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pPr>
          </w:p>
        </w:tc>
        <w:tc>
          <w:tcPr>
            <w:tcW w:w="3739"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55"/>
          <w:jc w:val="center"/>
        </w:trPr>
        <w:tc>
          <w:tcPr>
            <w:tcW w:w="547"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2.2.03.6.03.381</w:t>
            </w:r>
          </w:p>
        </w:tc>
        <w:tc>
          <w:tcPr>
            <w:tcW w:w="3739"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26"/>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2.2.03.6.03.407</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2.2.03.6.03.391</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07"/>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2.2.03.6.03.362</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2.2.03.6.03.367</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07"/>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2.2.03.6.03.400</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2.2.03.6.03.333</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2.2.03.6.03.405</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07"/>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2.2.03.6.03.283</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2.2.03.6.03.271</w:t>
            </w:r>
          </w:p>
        </w:tc>
        <w:tc>
          <w:tcPr>
            <w:tcW w:w="3739"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440"/>
            </w:pPr>
            <w:r>
              <w:t>Servicio de Mantenimiento Preventivo y</w:t>
            </w: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226"/>
          <w:jc w:val="center"/>
        </w:trPr>
        <w:tc>
          <w:tcPr>
            <w:tcW w:w="547"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240"/>
            </w:pPr>
            <w:r>
              <w:rPr>
                <w:lang w:val="en-US"/>
              </w:rPr>
              <w:t>1</w:t>
            </w:r>
          </w:p>
        </w:tc>
        <w:tc>
          <w:tcPr>
            <w:tcW w:w="1099"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480"/>
            </w:pPr>
            <w:r>
              <w:t>24</w:t>
            </w:r>
          </w:p>
        </w:tc>
        <w:tc>
          <w:tcPr>
            <w:tcW w:w="2040" w:type="dxa"/>
            <w:tcBorders>
              <w:top w:val="single" w:sz="4" w:space="0" w:color="auto"/>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2.2.03.6.03.258</w:t>
            </w:r>
          </w:p>
        </w:tc>
        <w:tc>
          <w:tcPr>
            <w:tcW w:w="3739"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1500"/>
            </w:pPr>
            <w:r>
              <w:t>Correctivo</w:t>
            </w:r>
          </w:p>
        </w:tc>
        <w:tc>
          <w:tcPr>
            <w:tcW w:w="1200"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200"/>
            </w:pPr>
            <w:r>
              <w:rPr>
                <w:lang w:val="en-US"/>
              </w:rPr>
              <w:t>$ 76.00</w:t>
            </w:r>
          </w:p>
        </w:tc>
        <w:tc>
          <w:tcPr>
            <w:tcW w:w="1210"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200"/>
            </w:pPr>
            <w:r>
              <w:rPr>
                <w:lang w:val="en-US"/>
              </w:rPr>
              <w:t>$ 1,824.00</w:t>
            </w:r>
          </w:p>
        </w:tc>
      </w:tr>
      <w:tr w:rsidR="008A548C">
        <w:trPr>
          <w:trHeight w:val="8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3739" w:type="dxa"/>
            <w:vMerge w:val="restart"/>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1020"/>
            </w:pPr>
            <w:r>
              <w:t>de Basculas Electrónicas</w:t>
            </w: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2.2.03.6.03.260</w:t>
            </w:r>
          </w:p>
        </w:tc>
        <w:tc>
          <w:tcPr>
            <w:tcW w:w="3739" w:type="dxa"/>
            <w:vMerge/>
            <w:tcBorders>
              <w:left w:val="single" w:sz="4" w:space="0" w:color="auto"/>
              <w:right w:val="single" w:sz="4" w:space="0" w:color="auto"/>
            </w:tcBorders>
            <w:shd w:val="clear" w:color="auto" w:fill="FFFFFF"/>
          </w:tcPr>
          <w:p w:rsidR="008A548C" w:rsidRDefault="008A548C">
            <w:pPr>
              <w:framePr w:wrap="notBeside" w:vAnchor="text" w:hAnchor="text" w:xAlign="center" w:y="1"/>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2.2.03.6.03.259</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07"/>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2.2.03.6.03.255</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2.2.03.6.03.304</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07"/>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2.2.03.6.03.375</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2.2.03.6.03.376</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07"/>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2.2.03.6.03.364</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2.2.03.6.03.385</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2.2.03.6.03.361</w:t>
            </w:r>
          </w:p>
        </w:tc>
        <w:tc>
          <w:tcPr>
            <w:tcW w:w="3739"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7"/>
          <w:jc w:val="center"/>
        </w:trPr>
        <w:tc>
          <w:tcPr>
            <w:tcW w:w="547"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099"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520"/>
              <w:jc w:val="right"/>
            </w:pPr>
            <w:r>
              <w:rPr>
                <w:lang w:val="en-US"/>
              </w:rPr>
              <w:t>2.2.03.6.03.347</w:t>
            </w:r>
          </w:p>
        </w:tc>
        <w:tc>
          <w:tcPr>
            <w:tcW w:w="3739"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bl>
    <w:p w:rsidR="008A548C" w:rsidRDefault="008A548C">
      <w:pPr>
        <w:rPr>
          <w:sz w:val="2"/>
          <w:szCs w:val="2"/>
        </w:rPr>
        <w:sectPr w:rsidR="008A548C">
          <w:type w:val="continuous"/>
          <w:pgSz w:w="11905" w:h="16837"/>
          <w:pgMar w:top="1752" w:right="1030" w:bottom="1954" w:left="1030"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47"/>
        <w:gridCol w:w="1109"/>
        <w:gridCol w:w="2011"/>
        <w:gridCol w:w="3758"/>
        <w:gridCol w:w="1200"/>
        <w:gridCol w:w="1210"/>
      </w:tblGrid>
      <w:tr w:rsidR="008A548C">
        <w:trPr>
          <w:trHeight w:val="125"/>
          <w:jc w:val="center"/>
        </w:trPr>
        <w:tc>
          <w:tcPr>
            <w:tcW w:w="547"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11" w:type="dxa"/>
            <w:vMerge w:val="restart"/>
            <w:tcBorders>
              <w:top w:val="single" w:sz="4" w:space="0" w:color="auto"/>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26" w:lineRule="exact"/>
              <w:ind w:right="460"/>
              <w:jc w:val="right"/>
            </w:pPr>
            <w:r>
              <w:t>CODIGO BASCULA ELECTRONICA</w:t>
            </w:r>
          </w:p>
        </w:tc>
        <w:tc>
          <w:tcPr>
            <w:tcW w:w="3758"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235"/>
          <w:jc w:val="center"/>
        </w:trPr>
        <w:tc>
          <w:tcPr>
            <w:tcW w:w="547"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80"/>
            </w:pPr>
            <w:r>
              <w:rPr>
                <w:lang w:val="en-US"/>
              </w:rPr>
              <w:t>ITEM</w:t>
            </w:r>
          </w:p>
        </w:tc>
        <w:tc>
          <w:tcPr>
            <w:tcW w:w="1109"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100"/>
            </w:pPr>
            <w:r>
              <w:t>CANTIDAD</w:t>
            </w:r>
          </w:p>
        </w:tc>
        <w:tc>
          <w:tcPr>
            <w:tcW w:w="2011" w:type="dxa"/>
            <w:vMerge/>
            <w:tcBorders>
              <w:left w:val="single" w:sz="4" w:space="0" w:color="auto"/>
              <w:right w:val="single" w:sz="4" w:space="0" w:color="auto"/>
            </w:tcBorders>
            <w:shd w:val="clear" w:color="auto" w:fill="FFFFFF"/>
          </w:tcPr>
          <w:p w:rsidR="008A548C" w:rsidRDefault="008A548C">
            <w:pPr>
              <w:framePr w:wrap="notBeside" w:vAnchor="text" w:hAnchor="text" w:xAlign="center" w:y="1"/>
            </w:pPr>
          </w:p>
        </w:tc>
        <w:tc>
          <w:tcPr>
            <w:tcW w:w="3758"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760"/>
            </w:pPr>
            <w:r>
              <w:t>DESCRIPCION DEL SERVICIO</w:t>
            </w:r>
          </w:p>
        </w:tc>
        <w:tc>
          <w:tcPr>
            <w:tcW w:w="1200"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400"/>
            </w:pPr>
            <w:r>
              <w:t xml:space="preserve">P.U. </w:t>
            </w:r>
            <w:r>
              <w:rPr>
                <w:lang w:val="de"/>
              </w:rPr>
              <w:t>$</w:t>
            </w:r>
          </w:p>
        </w:tc>
        <w:tc>
          <w:tcPr>
            <w:tcW w:w="1210" w:type="dxa"/>
            <w:tcBorders>
              <w:left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180"/>
            </w:pPr>
            <w:r>
              <w:t xml:space="preserve">P. TOTAL </w:t>
            </w:r>
            <w:r>
              <w:rPr>
                <w:lang w:val="de"/>
              </w:rPr>
              <w:t>$</w:t>
            </w:r>
          </w:p>
        </w:tc>
      </w:tr>
      <w:tr w:rsidR="008A548C">
        <w:trPr>
          <w:trHeight w:val="110"/>
          <w:jc w:val="center"/>
        </w:trPr>
        <w:tc>
          <w:tcPr>
            <w:tcW w:w="547"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109"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11" w:type="dxa"/>
            <w:vMerge/>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pPr>
          </w:p>
        </w:tc>
        <w:tc>
          <w:tcPr>
            <w:tcW w:w="3758"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vMerge w:val="restart"/>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109" w:type="dxa"/>
            <w:vMerge w:val="restart"/>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460"/>
              <w:jc w:val="right"/>
            </w:pPr>
            <w:r>
              <w:rPr>
                <w:lang w:val="de"/>
              </w:rPr>
              <w:t>2.2.03.6.03.355</w:t>
            </w:r>
          </w:p>
        </w:tc>
        <w:tc>
          <w:tcPr>
            <w:tcW w:w="3758" w:type="dxa"/>
            <w:vMerge w:val="restart"/>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00" w:type="dxa"/>
            <w:vMerge w:val="restart"/>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1210" w:type="dxa"/>
            <w:vMerge w:val="restart"/>
            <w:tcBorders>
              <w:top w:val="single" w:sz="4" w:space="0" w:color="auto"/>
              <w:left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r>
      <w:tr w:rsidR="008A548C">
        <w:trPr>
          <w:trHeight w:val="312"/>
          <w:jc w:val="center"/>
        </w:trPr>
        <w:tc>
          <w:tcPr>
            <w:tcW w:w="547" w:type="dxa"/>
            <w:vMerge/>
            <w:tcBorders>
              <w:left w:val="single" w:sz="4" w:space="0" w:color="auto"/>
              <w:right w:val="single" w:sz="4" w:space="0" w:color="auto"/>
            </w:tcBorders>
            <w:shd w:val="clear" w:color="auto" w:fill="FFFFFF"/>
          </w:tcPr>
          <w:p w:rsidR="008A548C" w:rsidRDefault="008A548C">
            <w:pPr>
              <w:framePr w:wrap="notBeside" w:vAnchor="text" w:hAnchor="text" w:xAlign="center" w:y="1"/>
            </w:pPr>
          </w:p>
        </w:tc>
        <w:tc>
          <w:tcPr>
            <w:tcW w:w="1109" w:type="dxa"/>
            <w:vMerge/>
            <w:tcBorders>
              <w:left w:val="single" w:sz="4" w:space="0" w:color="auto"/>
              <w:right w:val="single" w:sz="4" w:space="0" w:color="auto"/>
            </w:tcBorders>
            <w:shd w:val="clear" w:color="auto" w:fill="FFFFFF"/>
          </w:tcPr>
          <w:p w:rsidR="008A548C" w:rsidRDefault="008A548C">
            <w:pPr>
              <w:framePr w:wrap="notBeside" w:vAnchor="text" w:hAnchor="text" w:xAlign="center" w:y="1"/>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460"/>
              <w:jc w:val="right"/>
            </w:pPr>
            <w:r>
              <w:rPr>
                <w:lang w:val="de"/>
              </w:rPr>
              <w:t>2.2.03.6.03.354</w:t>
            </w:r>
          </w:p>
        </w:tc>
        <w:tc>
          <w:tcPr>
            <w:tcW w:w="3758" w:type="dxa"/>
            <w:vMerge/>
            <w:tcBorders>
              <w:left w:val="single" w:sz="4" w:space="0" w:color="auto"/>
              <w:right w:val="single" w:sz="4" w:space="0" w:color="auto"/>
            </w:tcBorders>
            <w:shd w:val="clear" w:color="auto" w:fill="FFFFFF"/>
          </w:tcPr>
          <w:p w:rsidR="008A548C" w:rsidRDefault="008A548C">
            <w:pPr>
              <w:framePr w:wrap="notBeside" w:vAnchor="text" w:hAnchor="text" w:xAlign="center" w:y="1"/>
            </w:pPr>
          </w:p>
        </w:tc>
        <w:tc>
          <w:tcPr>
            <w:tcW w:w="1200" w:type="dxa"/>
            <w:vMerge/>
            <w:tcBorders>
              <w:left w:val="single" w:sz="4" w:space="0" w:color="auto"/>
              <w:right w:val="single" w:sz="4" w:space="0" w:color="auto"/>
            </w:tcBorders>
            <w:shd w:val="clear" w:color="auto" w:fill="FFFFFF"/>
          </w:tcPr>
          <w:p w:rsidR="008A548C" w:rsidRDefault="008A548C">
            <w:pPr>
              <w:framePr w:wrap="notBeside" w:vAnchor="text" w:hAnchor="text" w:xAlign="center" w:y="1"/>
            </w:pPr>
          </w:p>
        </w:tc>
        <w:tc>
          <w:tcPr>
            <w:tcW w:w="1210" w:type="dxa"/>
            <w:vMerge/>
            <w:tcBorders>
              <w:left w:val="single" w:sz="4" w:space="0" w:color="auto"/>
              <w:right w:val="single" w:sz="4" w:space="0" w:color="auto"/>
            </w:tcBorders>
            <w:shd w:val="clear" w:color="auto" w:fill="FFFFFF"/>
          </w:tcPr>
          <w:p w:rsidR="008A548C" w:rsidRDefault="008A548C">
            <w:pPr>
              <w:framePr w:wrap="notBeside" w:vAnchor="text" w:hAnchor="text" w:xAlign="center" w:y="1"/>
            </w:pPr>
          </w:p>
        </w:tc>
      </w:tr>
      <w:tr w:rsidR="008A548C">
        <w:trPr>
          <w:trHeight w:val="307"/>
          <w:jc w:val="center"/>
        </w:trPr>
        <w:tc>
          <w:tcPr>
            <w:tcW w:w="547" w:type="dxa"/>
            <w:vMerge/>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pPr>
          </w:p>
        </w:tc>
        <w:tc>
          <w:tcPr>
            <w:tcW w:w="1109" w:type="dxa"/>
            <w:vMerge/>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right="460"/>
              <w:jc w:val="right"/>
            </w:pPr>
            <w:r>
              <w:rPr>
                <w:lang w:val="de"/>
              </w:rPr>
              <w:t>2.2.03.6.03.296</w:t>
            </w:r>
          </w:p>
        </w:tc>
        <w:tc>
          <w:tcPr>
            <w:tcW w:w="3758" w:type="dxa"/>
            <w:vMerge/>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pPr>
          </w:p>
        </w:tc>
        <w:tc>
          <w:tcPr>
            <w:tcW w:w="1200" w:type="dxa"/>
            <w:vMerge/>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pPr>
          </w:p>
        </w:tc>
        <w:tc>
          <w:tcPr>
            <w:tcW w:w="1210" w:type="dxa"/>
            <w:vMerge/>
            <w:tcBorders>
              <w:left w:val="single" w:sz="4" w:space="0" w:color="auto"/>
              <w:bottom w:val="single" w:sz="4" w:space="0" w:color="auto"/>
              <w:right w:val="single" w:sz="4" w:space="0" w:color="auto"/>
            </w:tcBorders>
            <w:shd w:val="clear" w:color="auto" w:fill="FFFFFF"/>
          </w:tcPr>
          <w:p w:rsidR="008A548C" w:rsidRDefault="008A548C">
            <w:pPr>
              <w:framePr w:wrap="notBeside" w:vAnchor="text" w:hAnchor="text" w:xAlign="center" w:y="1"/>
            </w:pPr>
          </w:p>
        </w:tc>
      </w:tr>
      <w:tr w:rsidR="008A548C">
        <w:trPr>
          <w:trHeight w:val="312"/>
          <w:jc w:val="center"/>
        </w:trPr>
        <w:tc>
          <w:tcPr>
            <w:tcW w:w="1656" w:type="dxa"/>
            <w:gridSpan w:val="2"/>
            <w:vMerge w:val="restart"/>
            <w:tcBorders>
              <w:top w:val="single" w:sz="4" w:space="0" w:color="auto"/>
              <w:right w:val="single" w:sz="4" w:space="0" w:color="auto"/>
            </w:tcBorders>
            <w:shd w:val="clear" w:color="auto" w:fill="FFFFFF"/>
          </w:tcPr>
          <w:p w:rsidR="008A548C" w:rsidRDefault="008A548C">
            <w:pPr>
              <w:framePr w:wrap="notBeside" w:vAnchor="text" w:hAnchor="text" w:xAlign="center" w:y="1"/>
              <w:rPr>
                <w:sz w:val="10"/>
                <w:szCs w:val="10"/>
              </w:rPr>
            </w:pPr>
          </w:p>
        </w:tc>
        <w:tc>
          <w:tcPr>
            <w:tcW w:w="5769" w:type="dxa"/>
            <w:gridSpan w:val="2"/>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2360"/>
            </w:pPr>
            <w:r>
              <w:t>Total Ofertado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240"/>
            </w:pPr>
            <w:r>
              <w:rPr>
                <w:lang w:val="de"/>
              </w:rPr>
              <w:t>$ 1,824.00</w:t>
            </w:r>
          </w:p>
        </w:tc>
      </w:tr>
      <w:tr w:rsidR="008A548C">
        <w:trPr>
          <w:trHeight w:val="307"/>
          <w:jc w:val="center"/>
        </w:trPr>
        <w:tc>
          <w:tcPr>
            <w:tcW w:w="1656" w:type="dxa"/>
            <w:gridSpan w:val="2"/>
            <w:vMerge/>
            <w:tcBorders>
              <w:right w:val="single" w:sz="4" w:space="0" w:color="auto"/>
            </w:tcBorders>
            <w:shd w:val="clear" w:color="auto" w:fill="FFFFFF"/>
          </w:tcPr>
          <w:p w:rsidR="008A548C" w:rsidRDefault="008A548C">
            <w:pPr>
              <w:framePr w:wrap="notBeside" w:vAnchor="text" w:hAnchor="text" w:xAlign="center" w:y="1"/>
            </w:pPr>
          </w:p>
        </w:tc>
        <w:tc>
          <w:tcPr>
            <w:tcW w:w="5769" w:type="dxa"/>
            <w:gridSpan w:val="2"/>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1280"/>
            </w:pPr>
            <w:r>
              <w:t>Total a Adjudicar Mantenimiento Preventivo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240"/>
            </w:pPr>
            <w:r>
              <w:rPr>
                <w:lang w:val="de"/>
              </w:rPr>
              <w:t>$ 1,824.00</w:t>
            </w:r>
          </w:p>
        </w:tc>
      </w:tr>
      <w:tr w:rsidR="008A548C">
        <w:trPr>
          <w:trHeight w:val="312"/>
          <w:jc w:val="center"/>
        </w:trPr>
        <w:tc>
          <w:tcPr>
            <w:tcW w:w="1656" w:type="dxa"/>
            <w:gridSpan w:val="2"/>
            <w:vMerge/>
            <w:tcBorders>
              <w:right w:val="single" w:sz="4" w:space="0" w:color="auto"/>
            </w:tcBorders>
            <w:shd w:val="clear" w:color="auto" w:fill="FFFFFF"/>
          </w:tcPr>
          <w:p w:rsidR="008A548C" w:rsidRDefault="008A548C">
            <w:pPr>
              <w:framePr w:wrap="notBeside" w:vAnchor="text" w:hAnchor="text" w:xAlign="center" w:y="1"/>
            </w:pPr>
          </w:p>
        </w:tc>
        <w:tc>
          <w:tcPr>
            <w:tcW w:w="5769" w:type="dxa"/>
            <w:gridSpan w:val="2"/>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960"/>
            </w:pPr>
            <w:r>
              <w:t>Total a Adjudicar Mantenimiento Correctivo HASTA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240"/>
            </w:pPr>
            <w:r>
              <w:rPr>
                <w:lang w:val="de"/>
              </w:rPr>
              <w:t>$ 5,376.00</w:t>
            </w:r>
          </w:p>
        </w:tc>
      </w:tr>
      <w:tr w:rsidR="008A548C">
        <w:trPr>
          <w:trHeight w:val="322"/>
          <w:jc w:val="center"/>
        </w:trPr>
        <w:tc>
          <w:tcPr>
            <w:tcW w:w="1656" w:type="dxa"/>
            <w:gridSpan w:val="2"/>
            <w:vMerge/>
            <w:tcBorders>
              <w:right w:val="single" w:sz="4" w:space="0" w:color="auto"/>
            </w:tcBorders>
            <w:shd w:val="clear" w:color="auto" w:fill="FFFFFF"/>
          </w:tcPr>
          <w:p w:rsidR="008A548C" w:rsidRDefault="008A548C">
            <w:pPr>
              <w:framePr w:wrap="notBeside" w:vAnchor="text" w:hAnchor="text" w:xAlign="center" w:y="1"/>
            </w:pPr>
          </w:p>
        </w:tc>
        <w:tc>
          <w:tcPr>
            <w:tcW w:w="5769" w:type="dxa"/>
            <w:gridSpan w:val="2"/>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820"/>
            </w:pPr>
            <w:r>
              <w:t>Total a Adjudicar Mantenimiento Preventivo y Correctivo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8A548C" w:rsidRDefault="00680F2B">
            <w:pPr>
              <w:pStyle w:val="Cuerpodeltexto40"/>
              <w:framePr w:wrap="notBeside" w:vAnchor="text" w:hAnchor="text" w:xAlign="center" w:y="1"/>
              <w:shd w:val="clear" w:color="auto" w:fill="auto"/>
              <w:spacing w:line="240" w:lineRule="auto"/>
              <w:ind w:left="240"/>
            </w:pPr>
            <w:r>
              <w:rPr>
                <w:lang w:val="de"/>
              </w:rPr>
              <w:t>$ 7,200.00</w:t>
            </w:r>
          </w:p>
        </w:tc>
      </w:tr>
    </w:tbl>
    <w:p w:rsidR="008A548C" w:rsidRDefault="008A548C">
      <w:pPr>
        <w:rPr>
          <w:sz w:val="2"/>
          <w:szCs w:val="2"/>
        </w:rPr>
      </w:pPr>
    </w:p>
    <w:p w:rsidR="008A548C" w:rsidRDefault="00680F2B">
      <w:pPr>
        <w:pStyle w:val="Cuerpodeltexto0"/>
        <w:shd w:val="clear" w:color="auto" w:fill="auto"/>
        <w:spacing w:before="257"/>
        <w:ind w:left="400" w:right="400"/>
      </w:pPr>
      <w:r>
        <w:t xml:space="preserve">El pago para el servicio del mantenimiento preventivo se efectuará de acuerdo a lo ofertado y al servicio efectivamente recibido, y para el servicio de Mantenimiento Correctivo en base a las rutinas correctivas realizadas. Dicho monto será cancelado por EL MINISTERIO, a través </w:t>
      </w:r>
      <w:r>
        <w:lastRenderedPageBreak/>
        <w:t>de la Unidad Financiera Institucional y de las Pagadurías Auxiliares de cada Dependencia (si aplicare), por EL CONTRATISTA, dentro de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w:t>
      </w:r>
      <w:r>
        <w:rPr>
          <w:rStyle w:val="CuerpodeltextoNegrita5"/>
        </w:rPr>
        <w:t xml:space="preserve"> EL CONTRATISTA.</w:t>
      </w:r>
      <w:r>
        <w:t xml:space="preserv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5"/>
        </w:rPr>
        <w:t xml:space="preserve"> </w:t>
      </w:r>
      <w:r>
        <w:rPr>
          <w:rStyle w:val="CuerpodeltextoNegrita6"/>
        </w:rPr>
        <w:t>CLAUSULA QUINTA: PROVISIÓN DE PAGO.</w:t>
      </w:r>
      <w:r>
        <w:t xml:space="preserve"> El gasto indicado será cancelado con cargo a la disponibilidad presupuestaria certificada por la Unidad Financiera Institucional para el presente proceso.</w:t>
      </w:r>
      <w:r>
        <w:rPr>
          <w:rStyle w:val="CuerpodeltextoNegrita5"/>
        </w:rPr>
        <w:t xml:space="preserve"> </w:t>
      </w:r>
      <w:r>
        <w:rPr>
          <w:rStyle w:val="CuerpodeltextoNegrita6"/>
        </w:rPr>
        <w:t>CLAUSULA SEXTA: OBLIGACIONES DE EL CONTRATISTA.</w:t>
      </w:r>
      <w:r>
        <w:rPr>
          <w:rStyle w:val="CuerpodeltextoNegrita5"/>
        </w:rPr>
        <w:t xml:space="preserve"> EL CONTRATISTA</w:t>
      </w:r>
      <w:r>
        <w:t xml:space="preserve"> en forma expresa y</w:t>
      </w:r>
    </w:p>
    <w:p w:rsidR="008A548C" w:rsidRDefault="00680F2B">
      <w:pPr>
        <w:pStyle w:val="Cuerpodeltexto0"/>
        <w:shd w:val="clear" w:color="auto" w:fill="auto"/>
        <w:spacing w:before="0"/>
        <w:ind w:right="20"/>
      </w:pPr>
      <w:proofErr w:type="gramStart"/>
      <w:r>
        <w:t>terminante</w:t>
      </w:r>
      <w:proofErr w:type="gramEnd"/>
      <w:r>
        <w:t xml:space="preserve"> se obliga a proporcionar el servicio objeto del presente contrato, de acuerdo a lo establecido en las Cláusulas Primera y Tercera de este Contrato garantizando que la calidad del servicio sea de acuerdo a lo ofertado y a las especificaciones requeridas, y según las cantidades y requerimientos mínimos establecidos en los Términos de Referencia, tanto para el Servicio de Mantenimiento Preventivo y Correctivo, así mismo de conformidad a todos los documentos contractuales. El servicio será requerido de acuerdo a la calendarización emitida por el Departamento de Activo Fijo de la Dirección General de Correos de El Salvador, previa coordinación con el respectivo Administrador del Contrato. El servicio será prestado de acuerdo a los diferentes tipos de mantenimiento y rutinas establecidos para cada </w:t>
      </w:r>
      <w:proofErr w:type="gramStart"/>
      <w:r>
        <w:t>bascula</w:t>
      </w:r>
      <w:proofErr w:type="gramEnd"/>
      <w:r>
        <w:t xml:space="preserve"> electrónica cubierto por el contrato. Cada vez </w:t>
      </w:r>
      <w:proofErr w:type="gramStart"/>
      <w:r>
        <w:t>que</w:t>
      </w:r>
      <w:proofErr w:type="gramEnd"/>
      <w:r>
        <w:t xml:space="preserve"> se realice la visita de Mantenimiento Preventivo y cuando se requiera mantenimiento correctivo, </w:t>
      </w:r>
      <w:r>
        <w:lastRenderedPageBreak/>
        <w:t xml:space="preserve">EL CONTRATISTA debe entregar reporte de servicio al respectivo Administrador de Contrato, quien a su vez lo utilizará para la elaboración del acta mensual o bimensual de recepción de los servicios, la cual deberá ser firmada y sellada por el respectivo Administrador de Contrato y un representante de EL CONTRATISTA. EL CONTRATISTA deberá colocar un </w:t>
      </w:r>
      <w:proofErr w:type="spellStart"/>
      <w:r>
        <w:t>sticker</w:t>
      </w:r>
      <w:proofErr w:type="spellEnd"/>
      <w:r>
        <w:t xml:space="preserve"> en un lugar visible a cada equipo que se le haya brindado mantenimiento, este distintivo permitirá identificar los activos a los que ya se le haya brindado mantenimiento. Las piezas sustituidas deben ser entregadas al administrador del contrato, con una nota en la que hagan constar la entrega indicando el código de inventario, marca, serie y modelo del equipo al que se ha realizado la sustitución y fecha en la que fue realizado el cambio de dichas piezas. En todo caso EL CONTRATISTA garantizará la calidad del servicio que preste, debiendo estar éste, conforme a lo ofertado y a las especificaciones técnicas requeridas y demás condiciones establecidas en los Términos de Referencia.</w:t>
      </w:r>
      <w:r>
        <w:rPr>
          <w:rStyle w:val="CuerpodeltextoNegrita7"/>
        </w:rPr>
        <w:t xml:space="preserve"> </w:t>
      </w:r>
      <w:r>
        <w:rPr>
          <w:rStyle w:val="CuerpodeltextoNegrita8"/>
        </w:rPr>
        <w:t>CLÁUSULA SÉPTIMA: COMPROMISOS DE EL MINISTERIO Y PLAZO DE RECLAMOS.</w:t>
      </w:r>
      <w:r>
        <w:t xml:space="preserve"> EL MINISTERIO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Negrita9"/>
        </w:rPr>
        <w:t xml:space="preserve"> </w:t>
      </w:r>
      <w:r>
        <w:rPr>
          <w:rStyle w:val="CuerpodeltextoNegritaa"/>
        </w:rPr>
        <w:t>CLAUSULA OCTAVA: GARANTÍA DE CUMPLIMIENTO DE CONTRATO.</w:t>
      </w:r>
      <w:r>
        <w:t xml:space="preserve"> Dentro de los diez (10) días hábiles siguientes a la notificación de la legalización del Contrato, EL CONTRATISTA deberá presentar a favor de EL MINISTERIO, en la Unidad de Adquisiciones y Contrataciones Institucional (UACI), la Garantía de Cumplimiento de Contrato, por un valor de </w:t>
      </w:r>
      <w:r>
        <w:rPr>
          <w:rStyle w:val="CuerpodeltextoNegrita9"/>
        </w:rPr>
        <w:t>SETECIENTOS VEINTE 00/100 DÓLARES DE LOS ESTADOS UNIDOS DE AMÉRICA (US$720.00)</w:t>
      </w:r>
      <w:r>
        <w:t xml:space="preserve"> equivalente al diez por ciento (10%) 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w:t>
      </w:r>
      <w:r>
        <w:rPr>
          <w:rStyle w:val="CuerpodeltextoNegrita9"/>
        </w:rPr>
        <w:t xml:space="preserve"> </w:t>
      </w:r>
      <w:r>
        <w:rPr>
          <w:rStyle w:val="CuerpodeltextoNegritaa"/>
        </w:rPr>
        <w:t>CLAUSULA NOVENA: ADMINISTRADOR DEL CONTRATO:</w:t>
      </w:r>
      <w:r>
        <w:t xml:space="preserve"> La administración del presente contrato según Acuerdo Número CUARENTA Y OCHO, antes citado, estará a cargo de: Licenciada MARIA MARGARITA </w:t>
      </w:r>
      <w:r>
        <w:lastRenderedPageBreak/>
        <w:t>QUINTANAR DE ORTEZ, Directora General de Correos, quien será la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uerpodeltextoNegritab"/>
        </w:rPr>
        <w:t xml:space="preserve"> </w:t>
      </w:r>
      <w:r>
        <w:rPr>
          <w:rStyle w:val="CuerpodeltextoNegritac"/>
        </w:rPr>
        <w:t>CLÁUSULA DECIMA: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w:t>
      </w:r>
      <w:r>
        <w:lastRenderedPageBreak/>
        <w:t>a EL CONTRATISTA por su incumplimiento.</w:t>
      </w:r>
      <w:r>
        <w:rPr>
          <w:rStyle w:val="CuerpodeltextoNegritab"/>
        </w:rPr>
        <w:t xml:space="preserve"> </w:t>
      </w:r>
      <w:r>
        <w:rPr>
          <w:rStyle w:val="CuerpodeltextoNegritac"/>
        </w:rPr>
        <w:t xml:space="preserve">CLÁUSULA DÉCIMA PRIMERA: MODIFICACIÓN </w:t>
      </w:r>
      <w:r>
        <w:rPr>
          <w:rStyle w:val="CuerpodeltextoNegritad"/>
        </w:rPr>
        <w:t>Y/O</w:t>
      </w:r>
      <w:r>
        <w:rPr>
          <w:rStyle w:val="CuerpodeltextoNegritac"/>
        </w:rPr>
        <w:t xml:space="preserve"> PRÓRROGA.</w:t>
      </w:r>
      <w:r>
        <w:t xml:space="preserve"> El presente Contrato podrá modificarse y prorrogarse de común acuerdo, por medio de una Resolución Modificativa, la cual deberá ser debidamente formalizada por parte de EL MINISTERIO y por EL CONTRATISTA, en caso de prórroga, esta podrá hacerse efectiva a través de su correspondiente documento, el cual asimismo deberá ser emitido por EL MINISTERIO, previa aceptación de ambas partes, debiendo estar conforme a las condiciones establecidas en la LACAP y su Reglamento, especialmente a lo establecido en los Artículos 83-A, 86 y 92 de dicha ley y a los Artículos 23 literal k) y 75 del mencionado Reglamento.</w:t>
      </w:r>
      <w:r>
        <w:rPr>
          <w:rStyle w:val="CuerpodeltextoNegritab"/>
        </w:rPr>
        <w:t xml:space="preserve"> </w:t>
      </w:r>
      <w:r>
        <w:rPr>
          <w:rStyle w:val="CuerpodeltextoNegritac"/>
        </w:rPr>
        <w:t>CLÁUSULA DÉCIMA SEGUNDA: CASO FORTUITO Y FUERZA MAYOR.</w:t>
      </w:r>
      <w: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w:t>
      </w:r>
      <w:r>
        <w:rPr>
          <w:rStyle w:val="CuerpodeltextoNegritae"/>
        </w:rPr>
        <w:t xml:space="preserve"> </w:t>
      </w:r>
      <w:r>
        <w:rPr>
          <w:rStyle w:val="CuerpodeltextoNegritaf"/>
        </w:rPr>
        <w:t>CLÁUSULA DÉCIMA TERCERA: CESIÓN.</w:t>
      </w:r>
      <w:r>
        <w:t xml:space="preserve"> Queda prohibido a EL 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w:t>
      </w:r>
      <w:r>
        <w:rPr>
          <w:rStyle w:val="CuerpodeltextoNegritae"/>
        </w:rPr>
        <w:t xml:space="preserve"> </w:t>
      </w:r>
      <w:r>
        <w:rPr>
          <w:rStyle w:val="CuerpodeltextoNegritaf"/>
        </w:rPr>
        <w:t>CLÁUSULA DÉCIMA CUARTA: INTERPRETACIÓN DEL CONTRATO.</w:t>
      </w:r>
      <w:r>
        <w:t xml:space="preserve">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w:t>
      </w:r>
      <w:r>
        <w:lastRenderedPageBreak/>
        <w:t>considere convenientes. EL CONTRATISTA expresamente acepta tal disposición y se obliga a dar estricto cumplimiento a las instrucciones que al respecto dicte EL MINISTERIO las cuales serán comunicadas por medio de la Directora de la Unidad de Adquisiciones y Contrataciones Institucional.</w:t>
      </w:r>
      <w:r>
        <w:rPr>
          <w:rStyle w:val="CuerpodeltextoNegritae"/>
        </w:rPr>
        <w:t xml:space="preserve"> </w:t>
      </w:r>
      <w:r>
        <w:rPr>
          <w:rStyle w:val="CuerpodeltextoNegritaf"/>
        </w:rPr>
        <w:t>CLÁUSULA DÉCIMA QUINTA: SOLUCIÓN DE CONFLICTOS.</w:t>
      </w:r>
      <w:r>
        <w:rPr>
          <w:rStyle w:val="Cuerpodeltexto1"/>
        </w:rPr>
        <w:t xml:space="preserve"> Toda duda, discrepancia </w:t>
      </w:r>
      <w:r>
        <w:t>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Negritae"/>
        </w:rPr>
        <w:t xml:space="preserve"> </w:t>
      </w:r>
      <w:r>
        <w:rPr>
          <w:rStyle w:val="CuerpodeltextoNegritaf"/>
        </w:rPr>
        <w:t>CLÁUSULA DÉCIMA SEXTA: TERMINACIÓN DEL CONTRATO.</w:t>
      </w:r>
      <w:r>
        <w:t xml:space="preserve"> EL MINISTERIO podrá dar por terminado el contrato sin responsabilidad alguna de su parte: a) Por las causales establecidas en las letras a) y b) del artículo 94 de la LACAP; b) Cuando EL CONTRATISTA proporcione un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w:t>
      </w:r>
      <w:r>
        <w:rPr>
          <w:lang w:val="it"/>
        </w:rPr>
        <w:t xml:space="preserve">presente </w:t>
      </w:r>
      <w:r>
        <w:t>Contrato las demás causales de extinción establecidas en el artículo 92 y siguientes de la LACAP.</w:t>
      </w:r>
      <w:r>
        <w:rPr>
          <w:rStyle w:val="CuerpodeltextoNegritaf0"/>
        </w:rPr>
        <w:t xml:space="preserve"> </w:t>
      </w:r>
      <w:r>
        <w:rPr>
          <w:rStyle w:val="CuerpodeltextoNegritaf1"/>
        </w:rPr>
        <w:t>CLÁUSULA DÉCIMA SEPTIMA: LEGISLACIÓN APLICABLE.</w:t>
      </w:r>
    </w:p>
    <w:p w:rsidR="008A548C" w:rsidRDefault="00680F2B">
      <w:pPr>
        <w:pStyle w:val="Cuerpodeltexto0"/>
        <w:shd w:val="clear" w:color="auto" w:fill="auto"/>
        <w:spacing w:before="0" w:after="1435"/>
        <w:ind w:left="20" w:right="20"/>
      </w:pPr>
      <w:r>
        <w:t xml:space="preserve">Las partes se someten a la legislación vigente de la República de El Salvador. </w:t>
      </w:r>
      <w:r>
        <w:rPr>
          <w:rStyle w:val="CuerpodeltextoNegritaf1"/>
        </w:rPr>
        <w:t xml:space="preserve">CLAUSULA </w:t>
      </w:r>
      <w:r>
        <w:rPr>
          <w:rStyle w:val="CuerpodeltextoNegritaf1"/>
          <w:lang w:val="it"/>
        </w:rPr>
        <w:t xml:space="preserve">DECIMA </w:t>
      </w:r>
      <w:r>
        <w:rPr>
          <w:rStyle w:val="CuerpodeltextoNegritaf1"/>
        </w:rPr>
        <w:t>OCTAVA: CONDICIONES DE PREVENCION Y ERRADICACION DEL TRABAJO INFANTIL</w:t>
      </w:r>
      <w:r>
        <w:rPr>
          <w:rStyle w:val="CuerpodeltextoNegritaf0"/>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f1"/>
        </w:rPr>
        <w:t>CLÁUSULA DÉCIMA NOVENA: NOTIFICACIONES.</w:t>
      </w:r>
      <w:r>
        <w:t xml:space="preserve"> Todas las notificaciones entre las partes referentes a la ejecución de este </w:t>
      </w:r>
      <w:r>
        <w:lastRenderedPageBreak/>
        <w:t>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 Calle Antigua a </w:t>
      </w:r>
      <w:proofErr w:type="spellStart"/>
      <w:r>
        <w:t>Zacamil</w:t>
      </w:r>
      <w:proofErr w:type="spellEnd"/>
      <w:r>
        <w:t xml:space="preserve">, entre final </w:t>
      </w:r>
      <w:r>
        <w:rPr>
          <w:lang w:val="it"/>
        </w:rPr>
        <w:t xml:space="preserve">Boulevard </w:t>
      </w:r>
      <w:r>
        <w:t xml:space="preserve">Constitución y Avenida </w:t>
      </w:r>
      <w:r>
        <w:rPr>
          <w:lang w:val="it"/>
        </w:rPr>
        <w:t xml:space="preserve">Bernal, </w:t>
      </w:r>
      <w:r>
        <w:t xml:space="preserve">Mejicanos, San Salvador. En fe de lo cual firmamos el presente Contrato, en la ciudad de San Salvador, a los veinte días del mes de </w:t>
      </w:r>
      <w:proofErr w:type="spellStart"/>
      <w:r>
        <w:rPr>
          <w:lang w:val="fr"/>
        </w:rPr>
        <w:t>julio</w:t>
      </w:r>
      <w:proofErr w:type="spellEnd"/>
      <w:r>
        <w:rPr>
          <w:lang w:val="fr"/>
        </w:rPr>
        <w:t xml:space="preserve"> </w:t>
      </w:r>
      <w:r>
        <w:t xml:space="preserve">de dos </w:t>
      </w:r>
      <w:r>
        <w:rPr>
          <w:lang w:val="fr"/>
        </w:rPr>
        <w:t xml:space="preserve">mil </w:t>
      </w:r>
      <w:r>
        <w:t>diecisiete.</w:t>
      </w:r>
    </w:p>
    <w:p w:rsidR="008A548C" w:rsidRDefault="00126B8C">
      <w:pPr>
        <w:pStyle w:val="Ttulo10"/>
        <w:keepNext/>
        <w:keepLines/>
        <w:shd w:val="clear" w:color="auto" w:fill="auto"/>
        <w:spacing w:before="0"/>
        <w:ind w:left="1240" w:right="3980"/>
      </w:pPr>
      <w:bookmarkStart w:id="0" w:name="bookmark0"/>
      <w:r>
        <w:t>-</w:t>
      </w:r>
      <w:r w:rsidR="00680F2B">
        <w:t xml:space="preserve"> EL MINISTERIO</w:t>
      </w:r>
      <w:bookmarkEnd w:id="0"/>
    </w:p>
    <w:p w:rsidR="008A548C" w:rsidRDefault="00126B8C">
      <w:pPr>
        <w:pStyle w:val="Ttulo10"/>
        <w:keepNext/>
        <w:keepLines/>
        <w:shd w:val="clear" w:color="auto" w:fill="auto"/>
        <w:spacing w:before="0" w:after="0"/>
        <w:ind w:left="6140" w:right="20" w:firstLine="0"/>
        <w:jc w:val="right"/>
      </w:pPr>
      <w:bookmarkStart w:id="1" w:name="bookmark1"/>
      <w:r>
        <w:rPr>
          <w:lang w:val="it"/>
        </w:rPr>
        <w:t>-</w:t>
      </w:r>
      <w:bookmarkStart w:id="2" w:name="_GoBack"/>
      <w:bookmarkEnd w:id="2"/>
      <w:r w:rsidR="00680F2B">
        <w:t xml:space="preserve"> EL CONTRATISTA</w:t>
      </w:r>
      <w:bookmarkEnd w:id="1"/>
    </w:p>
    <w:sectPr w:rsidR="008A548C">
      <w:type w:val="continuous"/>
      <w:pgSz w:w="11905" w:h="16837"/>
      <w:pgMar w:top="1752" w:right="1029" w:bottom="1742" w:left="103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A3A" w:rsidRDefault="007A1A3A">
      <w:r>
        <w:separator/>
      </w:r>
    </w:p>
  </w:endnote>
  <w:endnote w:type="continuationSeparator" w:id="0">
    <w:p w:rsidR="007A1A3A" w:rsidRDefault="007A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48C" w:rsidRDefault="00680F2B">
    <w:pPr>
      <w:pStyle w:val="Encabezamientoopiedepgina0"/>
      <w:framePr w:w="11917" w:h="168" w:wrap="none" w:vAnchor="text" w:hAnchor="page" w:x="-5" w:y="-1242"/>
      <w:shd w:val="clear" w:color="auto" w:fill="auto"/>
      <w:ind w:left="10378"/>
    </w:pPr>
    <w:r>
      <w:fldChar w:fldCharType="begin"/>
    </w:r>
    <w:r>
      <w:instrText xml:space="preserve"> PAGE \* MERGEFORMAT </w:instrText>
    </w:r>
    <w:r>
      <w:fldChar w:fldCharType="separate"/>
    </w:r>
    <w:r w:rsidR="00126B8C" w:rsidRPr="00126B8C">
      <w:rPr>
        <w:rStyle w:val="EncabezamientoopiedepginaPalatinoLinotype"/>
        <w:noProof/>
      </w:rPr>
      <w:t>1</w:t>
    </w:r>
    <w:r>
      <w:rPr>
        <w:rStyle w:val="EncabezamientoopiedepginaPalatino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A3A" w:rsidRDefault="007A1A3A"/>
  </w:footnote>
  <w:footnote w:type="continuationSeparator" w:id="0">
    <w:p w:rsidR="007A1A3A" w:rsidRDefault="007A1A3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8C"/>
    <w:rsid w:val="00126B8C"/>
    <w:rsid w:val="00277167"/>
    <w:rsid w:val="00680F2B"/>
    <w:rsid w:val="007A1A3A"/>
    <w:rsid w:val="008A54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
    <w:name w:val="Encabezamiento o pie de página + Palatino Linotype"/>
    <w:aliases w:val="12 pto"/>
    <w:basedOn w:val="Encabezamientoopiedepgina"/>
    <w:rPr>
      <w:rFonts w:ascii="Palatino Linotype" w:eastAsia="Palatino Linotype" w:hAnsi="Palatino Linotype" w:cs="Palatino Linotype"/>
      <w:b w:val="0"/>
      <w:bCs w:val="0"/>
      <w:i w:val="0"/>
      <w:iCs w:val="0"/>
      <w:smallCaps w:val="0"/>
      <w:strike w:val="0"/>
      <w:spacing w:val="0"/>
      <w:sz w:val="24"/>
      <w:szCs w:val="24"/>
    </w:rPr>
  </w:style>
  <w:style w:type="character" w:customStyle="1" w:styleId="Cuerpodeltexto2">
    <w:name w:val="Cuerpo del texto (2)_"/>
    <w:basedOn w:val="Fuentedeprrafopredeter"/>
    <w:link w:val="Cuerpodeltexto2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1">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2">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3">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4">
    <w:name w:val="Cuerpo del texto + Negrita"/>
    <w:aliases w:val="Espaciado -1 pto"/>
    <w:basedOn w:val="Cuerpodeltexto"/>
    <w:rPr>
      <w:rFonts w:ascii="Palatino Linotype" w:eastAsia="Palatino Linotype" w:hAnsi="Palatino Linotype" w:cs="Palatino Linotype"/>
      <w:b/>
      <w:bCs/>
      <w:i w:val="0"/>
      <w:iCs w:val="0"/>
      <w:smallCaps w:val="0"/>
      <w:strike w:val="0"/>
      <w:spacing w:val="-20"/>
      <w:sz w:val="22"/>
      <w:szCs w:val="22"/>
      <w:u w:val="single"/>
    </w:rPr>
  </w:style>
  <w:style w:type="character" w:customStyle="1" w:styleId="Cuerpodeltexto115pto">
    <w:name w:val="Cuerpo del texto + 11.5 pto"/>
    <w:aliases w:val="Negrita"/>
    <w:basedOn w:val="Cuerpodeltexto"/>
    <w:rPr>
      <w:rFonts w:ascii="Palatino Linotype" w:eastAsia="Palatino Linotype" w:hAnsi="Palatino Linotype" w:cs="Palatino Linotype"/>
      <w:b/>
      <w:bCs/>
      <w:i w:val="0"/>
      <w:iCs w:val="0"/>
      <w:smallCaps w:val="0"/>
      <w:strike w:val="0"/>
      <w:spacing w:val="0"/>
      <w:sz w:val="23"/>
      <w:szCs w:val="23"/>
    </w:rPr>
  </w:style>
  <w:style w:type="character" w:customStyle="1" w:styleId="Cuerpodeltexto115pto0">
    <w:name w:val="Cuerpo del texto + 11.5 pto"/>
    <w:aliases w:val="Negrita"/>
    <w:basedOn w:val="Cuerpodeltexto"/>
    <w:rPr>
      <w:rFonts w:ascii="Palatino Linotype" w:eastAsia="Palatino Linotype" w:hAnsi="Palatino Linotype" w:cs="Palatino Linotype"/>
      <w:b/>
      <w:bCs/>
      <w:i w:val="0"/>
      <w:iCs w:val="0"/>
      <w:smallCaps w:val="0"/>
      <w:strike w:val="0"/>
      <w:spacing w:val="0"/>
      <w:sz w:val="23"/>
      <w:szCs w:val="23"/>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0"/>
      <w:szCs w:val="20"/>
    </w:rPr>
  </w:style>
  <w:style w:type="character" w:customStyle="1" w:styleId="Cuerpodeltexto4">
    <w:name w:val="Cuerpo del texto (4)_"/>
    <w:basedOn w:val="Fuentedeprrafopredeter"/>
    <w:link w:val="Cuerpodeltexto40"/>
    <w:rPr>
      <w:rFonts w:ascii="Palatino Linotype" w:eastAsia="Palatino Linotype" w:hAnsi="Palatino Linotype" w:cs="Palatino Linotype"/>
      <w:b w:val="0"/>
      <w:bCs w:val="0"/>
      <w:i w:val="0"/>
      <w:iCs w:val="0"/>
      <w:smallCaps w:val="0"/>
      <w:strike w:val="0"/>
      <w:spacing w:val="0"/>
      <w:sz w:val="15"/>
      <w:szCs w:val="15"/>
    </w:rPr>
  </w:style>
  <w:style w:type="character" w:customStyle="1" w:styleId="CuerpodeltextoNegrita5">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6">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7">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8">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9">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a">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b">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c">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d">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e">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f">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1">
    <w:name w:val="Cuerpo del texto"/>
    <w:basedOn w:val="Cuerpodeltexto"/>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Negritaf0">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f1">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pacing w:val="0"/>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before="60" w:line="269" w:lineRule="exact"/>
    </w:pPr>
    <w:rPr>
      <w:rFonts w:ascii="Palatino Linotype" w:eastAsia="Palatino Linotype" w:hAnsi="Palatino Linotype" w:cs="Palatino Linotype"/>
      <w:b/>
      <w:bCs/>
      <w:sz w:val="22"/>
      <w:szCs w:val="22"/>
    </w:rPr>
  </w:style>
  <w:style w:type="paragraph" w:customStyle="1" w:styleId="Cuerpodeltexto0">
    <w:name w:val="Cuerpo del texto"/>
    <w:basedOn w:val="Normal"/>
    <w:link w:val="Cuerpodeltexto"/>
    <w:pPr>
      <w:shd w:val="clear" w:color="auto" w:fill="FFFFFF"/>
      <w:spacing w:before="240" w:line="408" w:lineRule="exact"/>
      <w:jc w:val="both"/>
    </w:pPr>
    <w:rPr>
      <w:rFonts w:ascii="Palatino Linotype" w:eastAsia="Palatino Linotype" w:hAnsi="Palatino Linotype" w:cs="Palatino Linotype"/>
      <w:sz w:val="22"/>
      <w:szCs w:val="22"/>
    </w:rPr>
  </w:style>
  <w:style w:type="paragraph" w:customStyle="1" w:styleId="Cuerpodeltexto30">
    <w:name w:val="Cuerpo del texto (3)"/>
    <w:basedOn w:val="Normal"/>
    <w:link w:val="Cuerpodeltexto3"/>
    <w:pPr>
      <w:shd w:val="clear" w:color="auto" w:fill="FFFFFF"/>
      <w:spacing w:line="0" w:lineRule="atLeast"/>
    </w:pPr>
    <w:rPr>
      <w:rFonts w:ascii="Times New Roman" w:eastAsia="Times New Roman" w:hAnsi="Times New Roman" w:cs="Times New Roman"/>
      <w:sz w:val="20"/>
      <w:szCs w:val="20"/>
    </w:rPr>
  </w:style>
  <w:style w:type="paragraph" w:customStyle="1" w:styleId="Cuerpodeltexto40">
    <w:name w:val="Cuerpo del texto (4)"/>
    <w:basedOn w:val="Normal"/>
    <w:link w:val="Cuerpodeltexto4"/>
    <w:pPr>
      <w:shd w:val="clear" w:color="auto" w:fill="FFFFFF"/>
      <w:spacing w:line="0" w:lineRule="atLeast"/>
    </w:pPr>
    <w:rPr>
      <w:rFonts w:ascii="Palatino Linotype" w:eastAsia="Palatino Linotype" w:hAnsi="Palatino Linotype" w:cs="Palatino Linotype"/>
      <w:sz w:val="15"/>
      <w:szCs w:val="15"/>
    </w:rPr>
  </w:style>
  <w:style w:type="paragraph" w:customStyle="1" w:styleId="Ttulo10">
    <w:name w:val="Título #1"/>
    <w:basedOn w:val="Normal"/>
    <w:link w:val="Ttulo1"/>
    <w:pPr>
      <w:shd w:val="clear" w:color="auto" w:fill="FFFFFF"/>
      <w:spacing w:before="1320" w:after="180" w:line="264" w:lineRule="exact"/>
      <w:ind w:hanging="1220"/>
      <w:outlineLvl w:val="0"/>
    </w:pPr>
    <w:rPr>
      <w:rFonts w:ascii="Palatino Linotype" w:eastAsia="Palatino Linotype" w:hAnsi="Palatino Linotype" w:cs="Palatino Linotype"/>
      <w:b/>
      <w:bCs/>
      <w:sz w:val="22"/>
      <w:szCs w:val="22"/>
    </w:rPr>
  </w:style>
  <w:style w:type="paragraph" w:styleId="Textodeglobo">
    <w:name w:val="Balloon Text"/>
    <w:basedOn w:val="Normal"/>
    <w:link w:val="TextodegloboCar"/>
    <w:uiPriority w:val="99"/>
    <w:semiHidden/>
    <w:unhideWhenUsed/>
    <w:rsid w:val="00126B8C"/>
    <w:rPr>
      <w:rFonts w:ascii="Tahoma" w:hAnsi="Tahoma" w:cs="Tahoma"/>
      <w:sz w:val="16"/>
      <w:szCs w:val="16"/>
    </w:rPr>
  </w:style>
  <w:style w:type="character" w:customStyle="1" w:styleId="TextodegloboCar">
    <w:name w:val="Texto de globo Car"/>
    <w:basedOn w:val="Fuentedeprrafopredeter"/>
    <w:link w:val="Textodeglobo"/>
    <w:uiPriority w:val="99"/>
    <w:semiHidden/>
    <w:rsid w:val="00126B8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
    <w:name w:val="Encabezamiento o pie de página + Palatino Linotype"/>
    <w:aliases w:val="12 pto"/>
    <w:basedOn w:val="Encabezamientoopiedepgina"/>
    <w:rPr>
      <w:rFonts w:ascii="Palatino Linotype" w:eastAsia="Palatino Linotype" w:hAnsi="Palatino Linotype" w:cs="Palatino Linotype"/>
      <w:b w:val="0"/>
      <w:bCs w:val="0"/>
      <w:i w:val="0"/>
      <w:iCs w:val="0"/>
      <w:smallCaps w:val="0"/>
      <w:strike w:val="0"/>
      <w:spacing w:val="0"/>
      <w:sz w:val="24"/>
      <w:szCs w:val="24"/>
    </w:rPr>
  </w:style>
  <w:style w:type="character" w:customStyle="1" w:styleId="Cuerpodeltexto2">
    <w:name w:val="Cuerpo del texto (2)_"/>
    <w:basedOn w:val="Fuentedeprrafopredeter"/>
    <w:link w:val="Cuerpodeltexto2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1">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2">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3">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4">
    <w:name w:val="Cuerpo del texto + Negrita"/>
    <w:aliases w:val="Espaciado -1 pto"/>
    <w:basedOn w:val="Cuerpodeltexto"/>
    <w:rPr>
      <w:rFonts w:ascii="Palatino Linotype" w:eastAsia="Palatino Linotype" w:hAnsi="Palatino Linotype" w:cs="Palatino Linotype"/>
      <w:b/>
      <w:bCs/>
      <w:i w:val="0"/>
      <w:iCs w:val="0"/>
      <w:smallCaps w:val="0"/>
      <w:strike w:val="0"/>
      <w:spacing w:val="-20"/>
      <w:sz w:val="22"/>
      <w:szCs w:val="22"/>
      <w:u w:val="single"/>
    </w:rPr>
  </w:style>
  <w:style w:type="character" w:customStyle="1" w:styleId="Cuerpodeltexto115pto">
    <w:name w:val="Cuerpo del texto + 11.5 pto"/>
    <w:aliases w:val="Negrita"/>
    <w:basedOn w:val="Cuerpodeltexto"/>
    <w:rPr>
      <w:rFonts w:ascii="Palatino Linotype" w:eastAsia="Palatino Linotype" w:hAnsi="Palatino Linotype" w:cs="Palatino Linotype"/>
      <w:b/>
      <w:bCs/>
      <w:i w:val="0"/>
      <w:iCs w:val="0"/>
      <w:smallCaps w:val="0"/>
      <w:strike w:val="0"/>
      <w:spacing w:val="0"/>
      <w:sz w:val="23"/>
      <w:szCs w:val="23"/>
    </w:rPr>
  </w:style>
  <w:style w:type="character" w:customStyle="1" w:styleId="Cuerpodeltexto115pto0">
    <w:name w:val="Cuerpo del texto + 11.5 pto"/>
    <w:aliases w:val="Negrita"/>
    <w:basedOn w:val="Cuerpodeltexto"/>
    <w:rPr>
      <w:rFonts w:ascii="Palatino Linotype" w:eastAsia="Palatino Linotype" w:hAnsi="Palatino Linotype" w:cs="Palatino Linotype"/>
      <w:b/>
      <w:bCs/>
      <w:i w:val="0"/>
      <w:iCs w:val="0"/>
      <w:smallCaps w:val="0"/>
      <w:strike w:val="0"/>
      <w:spacing w:val="0"/>
      <w:sz w:val="23"/>
      <w:szCs w:val="23"/>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0"/>
      <w:szCs w:val="20"/>
    </w:rPr>
  </w:style>
  <w:style w:type="character" w:customStyle="1" w:styleId="Cuerpodeltexto4">
    <w:name w:val="Cuerpo del texto (4)_"/>
    <w:basedOn w:val="Fuentedeprrafopredeter"/>
    <w:link w:val="Cuerpodeltexto40"/>
    <w:rPr>
      <w:rFonts w:ascii="Palatino Linotype" w:eastAsia="Palatino Linotype" w:hAnsi="Palatino Linotype" w:cs="Palatino Linotype"/>
      <w:b w:val="0"/>
      <w:bCs w:val="0"/>
      <w:i w:val="0"/>
      <w:iCs w:val="0"/>
      <w:smallCaps w:val="0"/>
      <w:strike w:val="0"/>
      <w:spacing w:val="0"/>
      <w:sz w:val="15"/>
      <w:szCs w:val="15"/>
    </w:rPr>
  </w:style>
  <w:style w:type="character" w:customStyle="1" w:styleId="CuerpodeltextoNegrita5">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6">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7">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8">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9">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a">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b">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c">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d">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e">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f">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1">
    <w:name w:val="Cuerpo del texto"/>
    <w:basedOn w:val="Cuerpodeltexto"/>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Negritaf0">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f1">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Ttulo1">
    <w:name w:val="Título #1_"/>
    <w:basedOn w:val="Fuentedeprrafopredeter"/>
    <w:link w:val="Ttulo10"/>
    <w:rPr>
      <w:rFonts w:ascii="Palatino Linotype" w:eastAsia="Palatino Linotype" w:hAnsi="Palatino Linotype" w:cs="Palatino Linotype"/>
      <w:b w:val="0"/>
      <w:bCs w:val="0"/>
      <w:i w:val="0"/>
      <w:iCs w:val="0"/>
      <w:smallCaps w:val="0"/>
      <w:strike w:val="0"/>
      <w:spacing w:val="0"/>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before="60" w:line="269" w:lineRule="exact"/>
    </w:pPr>
    <w:rPr>
      <w:rFonts w:ascii="Palatino Linotype" w:eastAsia="Palatino Linotype" w:hAnsi="Palatino Linotype" w:cs="Palatino Linotype"/>
      <w:b/>
      <w:bCs/>
      <w:sz w:val="22"/>
      <w:szCs w:val="22"/>
    </w:rPr>
  </w:style>
  <w:style w:type="paragraph" w:customStyle="1" w:styleId="Cuerpodeltexto0">
    <w:name w:val="Cuerpo del texto"/>
    <w:basedOn w:val="Normal"/>
    <w:link w:val="Cuerpodeltexto"/>
    <w:pPr>
      <w:shd w:val="clear" w:color="auto" w:fill="FFFFFF"/>
      <w:spacing w:before="240" w:line="408" w:lineRule="exact"/>
      <w:jc w:val="both"/>
    </w:pPr>
    <w:rPr>
      <w:rFonts w:ascii="Palatino Linotype" w:eastAsia="Palatino Linotype" w:hAnsi="Palatino Linotype" w:cs="Palatino Linotype"/>
      <w:sz w:val="22"/>
      <w:szCs w:val="22"/>
    </w:rPr>
  </w:style>
  <w:style w:type="paragraph" w:customStyle="1" w:styleId="Cuerpodeltexto30">
    <w:name w:val="Cuerpo del texto (3)"/>
    <w:basedOn w:val="Normal"/>
    <w:link w:val="Cuerpodeltexto3"/>
    <w:pPr>
      <w:shd w:val="clear" w:color="auto" w:fill="FFFFFF"/>
      <w:spacing w:line="0" w:lineRule="atLeast"/>
    </w:pPr>
    <w:rPr>
      <w:rFonts w:ascii="Times New Roman" w:eastAsia="Times New Roman" w:hAnsi="Times New Roman" w:cs="Times New Roman"/>
      <w:sz w:val="20"/>
      <w:szCs w:val="20"/>
    </w:rPr>
  </w:style>
  <w:style w:type="paragraph" w:customStyle="1" w:styleId="Cuerpodeltexto40">
    <w:name w:val="Cuerpo del texto (4)"/>
    <w:basedOn w:val="Normal"/>
    <w:link w:val="Cuerpodeltexto4"/>
    <w:pPr>
      <w:shd w:val="clear" w:color="auto" w:fill="FFFFFF"/>
      <w:spacing w:line="0" w:lineRule="atLeast"/>
    </w:pPr>
    <w:rPr>
      <w:rFonts w:ascii="Palatino Linotype" w:eastAsia="Palatino Linotype" w:hAnsi="Palatino Linotype" w:cs="Palatino Linotype"/>
      <w:sz w:val="15"/>
      <w:szCs w:val="15"/>
    </w:rPr>
  </w:style>
  <w:style w:type="paragraph" w:customStyle="1" w:styleId="Ttulo10">
    <w:name w:val="Título #1"/>
    <w:basedOn w:val="Normal"/>
    <w:link w:val="Ttulo1"/>
    <w:pPr>
      <w:shd w:val="clear" w:color="auto" w:fill="FFFFFF"/>
      <w:spacing w:before="1320" w:after="180" w:line="264" w:lineRule="exact"/>
      <w:ind w:hanging="1220"/>
      <w:outlineLvl w:val="0"/>
    </w:pPr>
    <w:rPr>
      <w:rFonts w:ascii="Palatino Linotype" w:eastAsia="Palatino Linotype" w:hAnsi="Palatino Linotype" w:cs="Palatino Linotype"/>
      <w:b/>
      <w:bCs/>
      <w:sz w:val="22"/>
      <w:szCs w:val="22"/>
    </w:rPr>
  </w:style>
  <w:style w:type="paragraph" w:styleId="Textodeglobo">
    <w:name w:val="Balloon Text"/>
    <w:basedOn w:val="Normal"/>
    <w:link w:val="TextodegloboCar"/>
    <w:uiPriority w:val="99"/>
    <w:semiHidden/>
    <w:unhideWhenUsed/>
    <w:rsid w:val="00126B8C"/>
    <w:rPr>
      <w:rFonts w:ascii="Tahoma" w:hAnsi="Tahoma" w:cs="Tahoma"/>
      <w:sz w:val="16"/>
      <w:szCs w:val="16"/>
    </w:rPr>
  </w:style>
  <w:style w:type="character" w:customStyle="1" w:styleId="TextodegloboCar">
    <w:name w:val="Texto de globo Car"/>
    <w:basedOn w:val="Fuentedeprrafopredeter"/>
    <w:link w:val="Textodeglobo"/>
    <w:uiPriority w:val="99"/>
    <w:semiHidden/>
    <w:rsid w:val="00126B8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3961</Words>
  <Characters>21789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2</cp:revision>
  <dcterms:created xsi:type="dcterms:W3CDTF">2017-09-25T19:46:00Z</dcterms:created>
  <dcterms:modified xsi:type="dcterms:W3CDTF">2017-09-26T16:19:00Z</dcterms:modified>
</cp:coreProperties>
</file>