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20" w:rsidRDefault="00E22020" w:rsidP="006C089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22020" w:rsidRDefault="00E22020" w:rsidP="006C0892">
      <w:pPr>
        <w:pStyle w:val="Subttulo"/>
        <w:rPr>
          <w:rFonts w:ascii="Bookman Old Style" w:hAnsi="Bookman Old Style"/>
          <w:sz w:val="20"/>
          <w:lang w:val="es-ES"/>
        </w:rPr>
      </w:pPr>
      <w:r>
        <w:rPr>
          <w:rFonts w:ascii="Arial" w:hAnsi="Arial" w:cs="Arial"/>
          <w:bCs/>
          <w:color w:val="0000FF"/>
          <w:sz w:val="21"/>
          <w:szCs w:val="21"/>
        </w:rPr>
        <w:t xml:space="preserve">(La información suprimida es de carácter confidencial conforme a los artículos 6 letra “a” y 24 letra “c” de la Ley del Acceso a la Información Pública)    </w:t>
      </w:r>
    </w:p>
    <w:p w:rsidR="00E22020" w:rsidRDefault="00E22020" w:rsidP="00990E3A">
      <w:pPr>
        <w:pStyle w:val="Subttulo"/>
        <w:rPr>
          <w:rFonts w:ascii="Bookman Old Style" w:hAnsi="Bookman Old Style"/>
          <w:sz w:val="20"/>
          <w:lang w:val="es-ES"/>
        </w:rPr>
      </w:pPr>
    </w:p>
    <w:p w:rsidR="00E22020" w:rsidRPr="002118FE" w:rsidRDefault="00E22020" w:rsidP="00990E3A">
      <w:pPr>
        <w:pStyle w:val="Subttulo"/>
        <w:rPr>
          <w:rFonts w:ascii="Bookman Old Style" w:hAnsi="Bookman Old Style"/>
          <w:sz w:val="20"/>
          <w:lang w:val="es-ES"/>
        </w:rPr>
      </w:pPr>
      <w:r w:rsidRPr="002118FE">
        <w:rPr>
          <w:rFonts w:ascii="Bookman Old Style" w:hAnsi="Bookman Old Style"/>
          <w:sz w:val="20"/>
          <w:lang w:val="es-ES"/>
        </w:rPr>
        <w:t xml:space="preserve">CONTRATO MAG–BCIE-N° </w:t>
      </w:r>
      <w:r>
        <w:rPr>
          <w:rFonts w:ascii="Bookman Old Style" w:hAnsi="Bookman Old Style"/>
          <w:sz w:val="20"/>
          <w:lang w:val="es-ES"/>
        </w:rPr>
        <w:t>017</w:t>
      </w:r>
      <w:r w:rsidRPr="002118FE">
        <w:rPr>
          <w:rFonts w:ascii="Bookman Old Style" w:hAnsi="Bookman Old Style"/>
          <w:sz w:val="20"/>
          <w:lang w:val="es-ES"/>
        </w:rPr>
        <w:t>/2016</w:t>
      </w:r>
    </w:p>
    <w:p w:rsidR="00E22020" w:rsidRPr="002118FE" w:rsidRDefault="00E22020" w:rsidP="00990E3A">
      <w:pPr>
        <w:pStyle w:val="Subttulo"/>
        <w:rPr>
          <w:rFonts w:ascii="Bookman Old Style" w:hAnsi="Bookman Old Style"/>
          <w:sz w:val="20"/>
          <w:lang w:val="es-ES"/>
        </w:rPr>
      </w:pPr>
      <w:r w:rsidRPr="002118FE">
        <w:rPr>
          <w:rFonts w:ascii="Bookman Old Style" w:hAnsi="Bookman Old Style"/>
          <w:sz w:val="20"/>
          <w:lang w:val="es-ES"/>
        </w:rPr>
        <w:t xml:space="preserve"> “SUMINISTRO, INSTALACIÓN Y PUESTA EN FUNCIONAMIENTO DE SISTEMAS DE RIEGO, BOMBAS INCLUIDAS”</w:t>
      </w:r>
    </w:p>
    <w:p w:rsidR="00E22020" w:rsidRDefault="00E22020" w:rsidP="00990E3A">
      <w:pPr>
        <w:pStyle w:val="Subttulo"/>
        <w:jc w:val="both"/>
        <w:rPr>
          <w:rFonts w:ascii="Bookman Old Style" w:hAnsi="Bookman Old Style"/>
          <w:b w:val="0"/>
          <w:sz w:val="20"/>
          <w:lang w:val="es-ES"/>
        </w:rPr>
      </w:pPr>
    </w:p>
    <w:p w:rsidR="00E22020" w:rsidRPr="002118FE" w:rsidRDefault="00E22020" w:rsidP="00990E3A">
      <w:pPr>
        <w:pStyle w:val="Subttulo"/>
        <w:jc w:val="both"/>
        <w:rPr>
          <w:rFonts w:ascii="Bookman Old Style" w:hAnsi="Bookman Old Style"/>
          <w:b w:val="0"/>
          <w:sz w:val="20"/>
          <w:lang w:val="es-ES"/>
        </w:rPr>
      </w:pPr>
    </w:p>
    <w:p w:rsidR="00E22020" w:rsidRPr="007C7D73" w:rsidRDefault="00E22020" w:rsidP="007C7D73">
      <w:pPr>
        <w:pStyle w:val="Subttulo"/>
        <w:spacing w:line="360" w:lineRule="auto"/>
        <w:jc w:val="both"/>
        <w:rPr>
          <w:rFonts w:ascii="Bookman Old Style" w:hAnsi="Bookman Old Style"/>
          <w:b w:val="0"/>
          <w:sz w:val="21"/>
          <w:szCs w:val="21"/>
          <w:lang w:val="es-ES"/>
        </w:rPr>
      </w:pPr>
      <w:r w:rsidRPr="007C7D73">
        <w:rPr>
          <w:rFonts w:ascii="Bookman Old Style" w:hAnsi="Bookman Old Style"/>
          <w:b w:val="0"/>
          <w:sz w:val="21"/>
          <w:szCs w:val="21"/>
          <w:lang w:val="es-ES"/>
        </w:rPr>
        <w:t xml:space="preserve">Nosotros, </w:t>
      </w:r>
      <w:r w:rsidRPr="007C7D73">
        <w:rPr>
          <w:rFonts w:ascii="Bookman Old Style" w:hAnsi="Bookman Old Style"/>
          <w:sz w:val="21"/>
          <w:szCs w:val="21"/>
          <w:lang w:val="es-ES"/>
        </w:rPr>
        <w:t>WALTER ULISES MENJÍVAR DÍAZ</w:t>
      </w:r>
      <w:r w:rsidRPr="007C7D73">
        <w:rPr>
          <w:rFonts w:ascii="Bookman Old Style" w:hAnsi="Bookman Old Style"/>
          <w:b w:val="0"/>
          <w:sz w:val="21"/>
          <w:szCs w:val="21"/>
          <w:lang w:val="es-ES"/>
        </w:rPr>
        <w:t>,</w:t>
      </w:r>
      <w:r>
        <w:rPr>
          <w:rFonts w:ascii="Bookman Old Style" w:hAnsi="Bookman Old Style"/>
          <w:b w:val="0"/>
          <w:sz w:val="21"/>
          <w:szCs w:val="21"/>
          <w:lang w:val="es-ES"/>
        </w:rPr>
        <w:t xml:space="preserve"> </w:t>
      </w:r>
      <w:r w:rsidRPr="00D46607">
        <w:rPr>
          <w:rFonts w:ascii="Bookman Old Style" w:hAnsi="Bookman Old Style"/>
          <w:b w:val="0"/>
          <w:sz w:val="21"/>
          <w:szCs w:val="21"/>
          <w:highlight w:val="black"/>
          <w:lang w:val="es-ES"/>
        </w:rPr>
        <w:t xml:space="preserve">- </w:t>
      </w:r>
      <w:r w:rsidR="00BE390F">
        <w:rPr>
          <w:rFonts w:ascii="Bookman Old Style" w:hAnsi="Bookman Old Style"/>
          <w:b w:val="0"/>
          <w:sz w:val="21"/>
          <w:szCs w:val="21"/>
          <w:highlight w:val="black"/>
          <w:lang w:val="es-ES"/>
        </w:rPr>
        <w:t>***************************************</w:t>
      </w:r>
      <w:r w:rsidRPr="00D46607">
        <w:rPr>
          <w:rFonts w:ascii="Bookman Old Style" w:hAnsi="Bookman Old Style"/>
          <w:b w:val="0"/>
          <w:sz w:val="21"/>
          <w:szCs w:val="21"/>
          <w:highlight w:val="black"/>
          <w:lang w:val="es-ES"/>
        </w:rPr>
        <w:t>s</w:t>
      </w:r>
      <w:r w:rsidRPr="007C7D73">
        <w:rPr>
          <w:rFonts w:ascii="Bookman Old Style" w:hAnsi="Bookman Old Style"/>
          <w:b w:val="0"/>
          <w:sz w:val="21"/>
          <w:szCs w:val="21"/>
          <w:lang w:val="es-ES"/>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7C7D73">
        <w:rPr>
          <w:rFonts w:ascii="Bookman Old Style" w:hAnsi="Bookman Old Style"/>
          <w:sz w:val="21"/>
          <w:szCs w:val="21"/>
          <w:lang w:val="es-ES"/>
        </w:rPr>
        <w:t>“EL CONTRATANTE” o “EL MAG”,</w:t>
      </w:r>
      <w:r w:rsidRPr="007C7D73">
        <w:rPr>
          <w:rFonts w:ascii="Bookman Old Style" w:hAnsi="Bookman Old Style"/>
          <w:b w:val="0"/>
          <w:sz w:val="21"/>
          <w:szCs w:val="21"/>
          <w:lang w:val="es-ES"/>
        </w:rPr>
        <w:t xml:space="preserve"> institución del domicilio de Santa Tecla, departamento de La Libertad, con número de identificación tributaria cero seiscientos catorce- cero diez mil ciento treinta y uno- cero cero seis- nueve; </w:t>
      </w:r>
      <w:r w:rsidRPr="007C7D73">
        <w:rPr>
          <w:rFonts w:ascii="Bookman Old Style" w:hAnsi="Bookman Old Style" w:cs="Calibri"/>
          <w:b w:val="0"/>
          <w:iCs/>
          <w:sz w:val="21"/>
          <w:szCs w:val="21"/>
        </w:rPr>
        <w:t xml:space="preserve">y por otra parte los señores </w:t>
      </w:r>
      <w:r w:rsidRPr="007C7D73">
        <w:rPr>
          <w:rFonts w:ascii="Bookman Old Style" w:hAnsi="Bookman Old Style" w:cs="Calibri"/>
          <w:iCs/>
          <w:sz w:val="21"/>
          <w:szCs w:val="21"/>
        </w:rPr>
        <w:t>CARLOS ALBERTO ALDANA LUNA</w:t>
      </w:r>
      <w:r w:rsidRPr="007C7D73">
        <w:rPr>
          <w:rFonts w:ascii="Bookman Old Style" w:hAnsi="Bookman Old Style" w:cs="Calibri"/>
          <w:b w:val="0"/>
          <w:iCs/>
          <w:sz w:val="21"/>
          <w:szCs w:val="21"/>
        </w:rPr>
        <w:t xml:space="preserve">, </w:t>
      </w:r>
      <w:r w:rsidR="00BE390F" w:rsidRPr="00BE390F">
        <w:rPr>
          <w:rFonts w:ascii="Bookman Old Style" w:hAnsi="Bookman Old Style" w:cs="Calibri"/>
          <w:b w:val="0"/>
          <w:iCs/>
          <w:sz w:val="21"/>
          <w:szCs w:val="21"/>
          <w:highlight w:val="black"/>
        </w:rPr>
        <w:t>*******************************************************************</w:t>
      </w:r>
      <w:r w:rsidRPr="007C7D73">
        <w:rPr>
          <w:rFonts w:ascii="Bookman Old Style" w:hAnsi="Bookman Old Style" w:cs="Calibri"/>
          <w:b w:val="0"/>
          <w:iCs/>
          <w:sz w:val="21"/>
          <w:szCs w:val="21"/>
        </w:rPr>
        <w:t xml:space="preserve">; y </w:t>
      </w:r>
      <w:r w:rsidRPr="007C7D73">
        <w:rPr>
          <w:rFonts w:ascii="Bookman Old Style" w:hAnsi="Bookman Old Style" w:cs="Calibri"/>
          <w:iCs/>
          <w:sz w:val="21"/>
          <w:szCs w:val="21"/>
        </w:rPr>
        <w:t>RICARDO ERNESTO LOUCEL MONTERROSA</w:t>
      </w:r>
      <w:r w:rsidRPr="007C7D73">
        <w:rPr>
          <w:rFonts w:ascii="Bookman Old Style" w:hAnsi="Bookman Old Style" w:cs="Calibri"/>
          <w:b w:val="0"/>
          <w:iCs/>
          <w:sz w:val="21"/>
          <w:szCs w:val="21"/>
        </w:rPr>
        <w:t xml:space="preserve">, </w:t>
      </w:r>
      <w:r w:rsidR="00BE390F" w:rsidRPr="00BE390F">
        <w:rPr>
          <w:rFonts w:ascii="Bookman Old Style" w:hAnsi="Bookman Old Style" w:cs="Calibri"/>
          <w:b w:val="0"/>
          <w:iCs/>
          <w:sz w:val="21"/>
          <w:szCs w:val="21"/>
          <w:highlight w:val="black"/>
        </w:rPr>
        <w:t>*****************************</w:t>
      </w:r>
      <w:r w:rsidRPr="00BE390F">
        <w:rPr>
          <w:rFonts w:ascii="Bookman Old Style" w:hAnsi="Bookman Old Style" w:cs="Calibri"/>
          <w:b w:val="0"/>
          <w:iCs/>
          <w:sz w:val="21"/>
          <w:szCs w:val="21"/>
          <w:highlight w:val="black"/>
        </w:rPr>
        <w:t>y</w:t>
      </w:r>
      <w:r w:rsidRPr="007C7D73">
        <w:rPr>
          <w:rFonts w:ascii="Bookman Old Style" w:hAnsi="Bookman Old Style" w:cs="Calibri"/>
          <w:b w:val="0"/>
          <w:iCs/>
          <w:sz w:val="21"/>
          <w:szCs w:val="21"/>
        </w:rPr>
        <w:t xml:space="preserve">; actuando en calidad de apoderados generales administrativos de la sociedad </w:t>
      </w:r>
      <w:r w:rsidRPr="007C7D73">
        <w:rPr>
          <w:rFonts w:ascii="Bookman Old Style" w:hAnsi="Bookman Old Style" w:cs="Calibri"/>
          <w:iCs/>
          <w:sz w:val="21"/>
          <w:szCs w:val="21"/>
        </w:rPr>
        <w:t>MEXICHEM EL SALVADOR, SOCIEDAD ANONIMA DE CAPITAL VARIABLE</w:t>
      </w:r>
      <w:r w:rsidRPr="007C7D73">
        <w:rPr>
          <w:rFonts w:ascii="Bookman Old Style" w:hAnsi="Bookman Old Style" w:cs="Calibri"/>
          <w:b w:val="0"/>
          <w:iCs/>
          <w:sz w:val="21"/>
          <w:szCs w:val="21"/>
        </w:rPr>
        <w:t xml:space="preserve">, que puede abreviarse </w:t>
      </w:r>
      <w:r w:rsidRPr="007C7D73">
        <w:rPr>
          <w:rFonts w:ascii="Bookman Old Style" w:hAnsi="Bookman Old Style" w:cs="Calibri"/>
          <w:iCs/>
          <w:sz w:val="21"/>
          <w:szCs w:val="21"/>
        </w:rPr>
        <w:t xml:space="preserve">MEXICHEM EL SALVADOR, S.A. DE C.V. </w:t>
      </w:r>
      <w:r w:rsidRPr="00636E78">
        <w:rPr>
          <w:rFonts w:ascii="Bookman Old Style" w:hAnsi="Bookman Old Style" w:cs="Calibri"/>
          <w:b w:val="0"/>
          <w:iCs/>
          <w:sz w:val="21"/>
          <w:szCs w:val="21"/>
          <w:highlight w:val="black"/>
        </w:rPr>
        <w:t xml:space="preserve">cero </w:t>
      </w:r>
      <w:r w:rsidR="00BE390F">
        <w:rPr>
          <w:rFonts w:ascii="Bookman Old Style" w:hAnsi="Bookman Old Style" w:cs="Calibri"/>
          <w:b w:val="0"/>
          <w:iCs/>
          <w:sz w:val="21"/>
          <w:szCs w:val="21"/>
          <w:highlight w:val="black"/>
        </w:rPr>
        <w:t>*****************************************************</w:t>
      </w:r>
      <w:r w:rsidRPr="00636E78">
        <w:rPr>
          <w:rFonts w:ascii="Bookman Old Style" w:hAnsi="Bookman Old Style" w:cs="Calibri"/>
          <w:b w:val="0"/>
          <w:iCs/>
          <w:sz w:val="21"/>
          <w:szCs w:val="21"/>
          <w:highlight w:val="black"/>
        </w:rPr>
        <w:t>;</w:t>
      </w:r>
      <w:r w:rsidRPr="007C7D73">
        <w:rPr>
          <w:rFonts w:ascii="Bookman Old Style" w:hAnsi="Bookman Old Style" w:cs="Calibri"/>
          <w:b w:val="0"/>
          <w:iCs/>
          <w:sz w:val="21"/>
          <w:szCs w:val="21"/>
        </w:rPr>
        <w:t xml:space="preserve"> </w:t>
      </w:r>
      <w:r w:rsidRPr="007C7D73">
        <w:rPr>
          <w:rFonts w:ascii="Bookman Old Style" w:hAnsi="Bookman Old Style" w:cs="Palatino Linotype"/>
          <w:b w:val="0"/>
          <w:sz w:val="21"/>
          <w:szCs w:val="21"/>
        </w:rPr>
        <w:t>que en el transcurso del presente instrumento nos denominaremos "</w:t>
      </w:r>
      <w:r w:rsidRPr="007C7D73">
        <w:rPr>
          <w:rFonts w:ascii="Bookman Old Style" w:hAnsi="Bookman Old Style" w:cs="Palatino Linotype"/>
          <w:b w:val="0"/>
          <w:bCs/>
          <w:sz w:val="21"/>
          <w:szCs w:val="21"/>
        </w:rPr>
        <w:t>LA CONTRATISTA</w:t>
      </w:r>
      <w:r w:rsidRPr="007C7D73">
        <w:rPr>
          <w:rFonts w:ascii="Bookman Old Style" w:hAnsi="Bookman Old Style" w:cs="Palatino Linotype"/>
          <w:b w:val="0"/>
          <w:sz w:val="21"/>
          <w:szCs w:val="21"/>
        </w:rPr>
        <w:t xml:space="preserve">"; y en los caracteres dichos </w:t>
      </w:r>
      <w:r w:rsidRPr="007C7D73">
        <w:rPr>
          <w:rFonts w:ascii="Bookman Old Style" w:hAnsi="Bookman Old Style" w:cs="Palatino Linotype"/>
          <w:bCs/>
          <w:sz w:val="21"/>
          <w:szCs w:val="21"/>
        </w:rPr>
        <w:t>MANIFESTAMOS</w:t>
      </w:r>
      <w:r w:rsidRPr="007C7D73">
        <w:rPr>
          <w:rFonts w:ascii="Bookman Old Style" w:hAnsi="Bookman Old Style" w:cs="Palatino Linotype"/>
          <w:sz w:val="21"/>
          <w:szCs w:val="21"/>
        </w:rPr>
        <w:t xml:space="preserve">: </w:t>
      </w:r>
      <w:r w:rsidRPr="007C7D73">
        <w:rPr>
          <w:rFonts w:ascii="Bookman Old Style" w:hAnsi="Bookman Old Style"/>
          <w:b w:val="0"/>
          <w:sz w:val="21"/>
          <w:szCs w:val="21"/>
          <w:lang w:val="es-ES"/>
        </w:rPr>
        <w:t xml:space="preserve">Que hemos acordado otorgar el presente </w:t>
      </w:r>
      <w:bookmarkStart w:id="0" w:name="_GoBack"/>
      <w:r w:rsidRPr="007C7D73">
        <w:rPr>
          <w:rFonts w:ascii="Bookman Old Style" w:hAnsi="Bookman Old Style"/>
          <w:b w:val="0"/>
          <w:sz w:val="21"/>
          <w:szCs w:val="21"/>
          <w:lang w:val="es-ES"/>
        </w:rPr>
        <w:t xml:space="preserve">Contrato de </w:t>
      </w:r>
      <w:r w:rsidRPr="007C7D73">
        <w:rPr>
          <w:rFonts w:ascii="Bookman Old Style" w:hAnsi="Bookman Old Style"/>
          <w:sz w:val="21"/>
          <w:szCs w:val="21"/>
          <w:lang w:val="es-ES"/>
        </w:rPr>
        <w:t>“SUMINISTRO, INSTALACIÓN Y PUESTA EN FUNCIONAMIENTO DE SISTEMAS DE RIEGO, BOMBAS INCLUIDAS”</w:t>
      </w:r>
      <w:r w:rsidRPr="007C7D73">
        <w:rPr>
          <w:rFonts w:ascii="Bookman Old Style" w:hAnsi="Bookman Old Style"/>
          <w:b w:val="0"/>
          <w:sz w:val="21"/>
          <w:szCs w:val="21"/>
          <w:lang w:val="es-ES"/>
        </w:rPr>
        <w:t xml:space="preserve">, a favor y a satisfacción del Ministerio de Agricultura y Ganadería, en virtud de lo establecido en las bases del proceso de </w:t>
      </w:r>
      <w:r w:rsidRPr="007C7D73">
        <w:rPr>
          <w:rFonts w:ascii="Bookman Old Style" w:hAnsi="Bookman Old Style"/>
          <w:sz w:val="21"/>
          <w:szCs w:val="21"/>
          <w:lang w:val="es-ES"/>
        </w:rPr>
        <w:t>LICITACIÓN PÚBLICA NACIONAL LPN N° 05/2015-MAG-BCIE</w:t>
      </w:r>
      <w:r w:rsidRPr="007C7D73">
        <w:rPr>
          <w:rFonts w:ascii="Bookman Old Style" w:hAnsi="Bookman Old Style"/>
          <w:b w:val="0"/>
          <w:sz w:val="21"/>
          <w:szCs w:val="21"/>
          <w:lang w:val="es-ES"/>
        </w:rPr>
        <w:t xml:space="preserve">, denominada </w:t>
      </w:r>
      <w:r w:rsidRPr="007C7D73">
        <w:rPr>
          <w:rFonts w:ascii="Bookman Old Style" w:hAnsi="Bookman Old Style"/>
          <w:sz w:val="21"/>
          <w:szCs w:val="21"/>
          <w:lang w:val="es-ES"/>
        </w:rPr>
        <w:t>“SUMINISTRO, INSTALACIÓN Y PUESTA EN FUNCIONAMIENTO DE SISTEMAS DE RIEGO, BOMBAS INCLUIDAS”,</w:t>
      </w:r>
      <w:bookmarkEnd w:id="0"/>
      <w:r w:rsidRPr="007C7D73">
        <w:rPr>
          <w:rFonts w:ascii="Bookman Old Style" w:hAnsi="Bookman Old Style"/>
          <w:b w:val="0"/>
          <w:sz w:val="21"/>
          <w:szCs w:val="21"/>
        </w:rPr>
        <w:t>y de conformidad con la Política para la Obtención de Bienes, Obras, Servicios y Consultorías con Recursos del BCIE y las Normas para Aplicación de la Política para la Obtención de Bienes, Obras, Servicios y Consultorías (BCIE)</w:t>
      </w:r>
      <w:r w:rsidRPr="007C7D73">
        <w:rPr>
          <w:rFonts w:ascii="Bookman Old Style" w:hAnsi="Bookman Old Style" w:cs="Calibri"/>
          <w:b w:val="0"/>
          <w:iCs/>
          <w:sz w:val="21"/>
          <w:szCs w:val="21"/>
          <w:lang w:val="es-ES" w:eastAsia="es-ES"/>
        </w:rPr>
        <w:t xml:space="preserve"> y supletoriamente por la Ley de Adquisiciones y Contrataciones de la Administración Pública, LACAP y su Reglamento, y en especial con las obligaciones, condiciones y pactos siguientes</w:t>
      </w:r>
      <w:r w:rsidRPr="007C7D73">
        <w:rPr>
          <w:rFonts w:ascii="Bookman Old Style" w:hAnsi="Bookman Old Style"/>
          <w:b w:val="0"/>
          <w:sz w:val="21"/>
          <w:szCs w:val="21"/>
          <w:lang w:val="es-ES"/>
        </w:rPr>
        <w:t xml:space="preserve">: </w:t>
      </w:r>
      <w:r w:rsidRPr="007C7D73">
        <w:rPr>
          <w:rFonts w:ascii="Bookman Old Style" w:hAnsi="Bookman Old Style"/>
          <w:sz w:val="21"/>
          <w:szCs w:val="21"/>
          <w:lang w:val="es-ES"/>
        </w:rPr>
        <w:t>I.- OBJETO DEL CONTRATO</w:t>
      </w:r>
      <w:r w:rsidRPr="007C7D73">
        <w:rPr>
          <w:rFonts w:ascii="Bookman Old Style" w:hAnsi="Bookman Old Style"/>
          <w:b w:val="0"/>
          <w:sz w:val="21"/>
          <w:szCs w:val="21"/>
          <w:lang w:val="es-ES"/>
        </w:rPr>
        <w:t xml:space="preserve">. El objeto del presente contrato es el </w:t>
      </w:r>
      <w:r w:rsidRPr="007C7D73">
        <w:rPr>
          <w:rFonts w:ascii="Bookman Old Style" w:hAnsi="Bookman Old Style"/>
          <w:sz w:val="21"/>
          <w:szCs w:val="21"/>
          <w:lang w:val="es-ES"/>
        </w:rPr>
        <w:t>“SUMINISTRO, INSTALACIÓN Y PUESTA EN FUNCIONAMIENTO DE SISTEMAS DE RIEGO, BOMBAS INCLUIDAS</w:t>
      </w:r>
      <w:r w:rsidRPr="007C7D73">
        <w:rPr>
          <w:rFonts w:ascii="Bookman Old Style" w:hAnsi="Bookman Old Style"/>
          <w:b w:val="0"/>
          <w:sz w:val="21"/>
          <w:szCs w:val="21"/>
          <w:lang w:val="es-ES"/>
        </w:rPr>
        <w:t>”, según el siguiente detalle:</w:t>
      </w:r>
    </w:p>
    <w:p w:rsidR="00E22020" w:rsidRPr="002118FE" w:rsidRDefault="00E22020" w:rsidP="00990E3A">
      <w:pPr>
        <w:pStyle w:val="Subttulo"/>
        <w:jc w:val="both"/>
        <w:rPr>
          <w:rFonts w:ascii="Bookman Old Style" w:hAnsi="Bookman Old Style"/>
          <w:b w:val="0"/>
          <w:sz w:val="24"/>
          <w:szCs w:val="24"/>
          <w:lang w:val="es-E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678"/>
        <w:gridCol w:w="851"/>
        <w:gridCol w:w="1134"/>
        <w:gridCol w:w="992"/>
        <w:gridCol w:w="1134"/>
      </w:tblGrid>
      <w:tr w:rsidR="00E22020" w:rsidRPr="002118FE" w:rsidTr="00E33167">
        <w:trPr>
          <w:trHeight w:val="384"/>
          <w:tblHeader/>
        </w:trPr>
        <w:tc>
          <w:tcPr>
            <w:tcW w:w="851" w:type="dxa"/>
            <w:shd w:val="clear" w:color="auto" w:fill="EEECE1"/>
            <w:vAlign w:val="center"/>
          </w:tcPr>
          <w:p w:rsidR="00E22020" w:rsidRPr="00323D70" w:rsidRDefault="00E22020" w:rsidP="006A089D">
            <w:pPr>
              <w:jc w:val="center"/>
              <w:rPr>
                <w:rFonts w:ascii="Calibri" w:hAnsi="Calibri"/>
                <w:b/>
                <w:sz w:val="14"/>
                <w:szCs w:val="14"/>
              </w:rPr>
            </w:pPr>
            <w:r w:rsidRPr="00323D70">
              <w:rPr>
                <w:rFonts w:ascii="Calibri" w:hAnsi="Calibri"/>
                <w:b/>
                <w:sz w:val="14"/>
                <w:szCs w:val="14"/>
              </w:rPr>
              <w:t>Renglón No.</w:t>
            </w:r>
          </w:p>
        </w:tc>
        <w:tc>
          <w:tcPr>
            <w:tcW w:w="4678" w:type="dxa"/>
            <w:shd w:val="clear" w:color="auto" w:fill="EEECE1"/>
            <w:vAlign w:val="center"/>
          </w:tcPr>
          <w:p w:rsidR="00E22020" w:rsidRPr="00323D70" w:rsidRDefault="00E22020" w:rsidP="006A089D">
            <w:pPr>
              <w:jc w:val="center"/>
              <w:rPr>
                <w:rFonts w:ascii="Calibri" w:hAnsi="Calibri" w:cs="Arial"/>
                <w:b/>
                <w:sz w:val="14"/>
                <w:szCs w:val="14"/>
              </w:rPr>
            </w:pPr>
          </w:p>
          <w:p w:rsidR="00E22020" w:rsidRPr="00323D70" w:rsidRDefault="00E22020" w:rsidP="006A089D">
            <w:pPr>
              <w:jc w:val="center"/>
              <w:rPr>
                <w:rFonts w:ascii="Calibri" w:hAnsi="Calibri" w:cs="Arial"/>
                <w:b/>
                <w:sz w:val="14"/>
                <w:szCs w:val="14"/>
              </w:rPr>
            </w:pPr>
            <w:r w:rsidRPr="00323D70">
              <w:rPr>
                <w:rFonts w:ascii="Calibri" w:hAnsi="Calibri" w:cs="Arial"/>
                <w:b/>
                <w:sz w:val="14"/>
                <w:szCs w:val="14"/>
              </w:rPr>
              <w:t>DESCRIPCIÓN</w:t>
            </w:r>
          </w:p>
        </w:tc>
        <w:tc>
          <w:tcPr>
            <w:tcW w:w="851" w:type="dxa"/>
            <w:shd w:val="clear" w:color="auto" w:fill="EEECE1"/>
            <w:vAlign w:val="center"/>
          </w:tcPr>
          <w:p w:rsidR="00E22020" w:rsidRPr="00323D70" w:rsidRDefault="00E22020" w:rsidP="006A089D">
            <w:pPr>
              <w:jc w:val="center"/>
              <w:rPr>
                <w:rFonts w:ascii="Calibri" w:hAnsi="Calibri"/>
                <w:b/>
                <w:bCs/>
                <w:sz w:val="14"/>
                <w:szCs w:val="14"/>
                <w:lang w:val="es-SV" w:eastAsia="es-SV"/>
              </w:rPr>
            </w:pPr>
            <w:r w:rsidRPr="00323D70">
              <w:rPr>
                <w:rFonts w:ascii="Calibri" w:hAnsi="Calibri" w:cs="Arial"/>
                <w:b/>
                <w:sz w:val="14"/>
                <w:szCs w:val="14"/>
              </w:rPr>
              <w:t>UNIDAD</w:t>
            </w:r>
          </w:p>
        </w:tc>
        <w:tc>
          <w:tcPr>
            <w:tcW w:w="1134" w:type="dxa"/>
            <w:shd w:val="clear" w:color="auto" w:fill="EEECE1"/>
            <w:vAlign w:val="center"/>
          </w:tcPr>
          <w:p w:rsidR="00E22020" w:rsidRPr="00323D70" w:rsidRDefault="00E22020" w:rsidP="006A089D">
            <w:pPr>
              <w:jc w:val="center"/>
              <w:rPr>
                <w:rFonts w:ascii="Calibri" w:hAnsi="Calibri"/>
                <w:b/>
                <w:bCs/>
                <w:sz w:val="14"/>
                <w:szCs w:val="14"/>
                <w:lang w:val="es-SV" w:eastAsia="es-SV"/>
              </w:rPr>
            </w:pPr>
            <w:r w:rsidRPr="00323D70">
              <w:rPr>
                <w:rFonts w:ascii="Calibri" w:hAnsi="Calibri" w:cs="Arial"/>
                <w:b/>
                <w:sz w:val="14"/>
                <w:szCs w:val="14"/>
              </w:rPr>
              <w:t>CANTIDAD</w:t>
            </w:r>
          </w:p>
        </w:tc>
        <w:tc>
          <w:tcPr>
            <w:tcW w:w="992" w:type="dxa"/>
            <w:shd w:val="clear" w:color="auto" w:fill="EEECE1"/>
            <w:vAlign w:val="center"/>
          </w:tcPr>
          <w:p w:rsidR="00E22020" w:rsidRPr="00323D70" w:rsidRDefault="00E22020" w:rsidP="005468CB">
            <w:pPr>
              <w:jc w:val="center"/>
              <w:rPr>
                <w:rFonts w:ascii="Calibri" w:hAnsi="Calibri" w:cs="Arial"/>
                <w:b/>
                <w:sz w:val="14"/>
                <w:szCs w:val="14"/>
              </w:rPr>
            </w:pPr>
            <w:r w:rsidRPr="00323D70">
              <w:rPr>
                <w:rFonts w:ascii="Calibri" w:hAnsi="Calibri" w:cs="Arial"/>
                <w:b/>
                <w:sz w:val="14"/>
                <w:szCs w:val="14"/>
              </w:rPr>
              <w:t>PRECIO UNITARIO US$</w:t>
            </w:r>
          </w:p>
        </w:tc>
        <w:tc>
          <w:tcPr>
            <w:tcW w:w="1134" w:type="dxa"/>
            <w:shd w:val="clear" w:color="auto" w:fill="EEECE1"/>
            <w:vAlign w:val="center"/>
          </w:tcPr>
          <w:p w:rsidR="00E22020" w:rsidRPr="00323D70" w:rsidRDefault="00E22020" w:rsidP="005468CB">
            <w:pPr>
              <w:jc w:val="center"/>
              <w:rPr>
                <w:rFonts w:ascii="Calibri" w:hAnsi="Calibri" w:cs="Arial"/>
                <w:b/>
                <w:sz w:val="14"/>
                <w:szCs w:val="14"/>
              </w:rPr>
            </w:pPr>
            <w:r w:rsidRPr="00323D70">
              <w:rPr>
                <w:rFonts w:ascii="Calibri" w:hAnsi="Calibri" w:cs="Arial"/>
                <w:b/>
                <w:sz w:val="14"/>
                <w:szCs w:val="14"/>
              </w:rPr>
              <w:t>PRECIO TOTAL US$</w:t>
            </w:r>
          </w:p>
        </w:tc>
      </w:tr>
      <w:tr w:rsidR="00E22020" w:rsidRPr="002118FE" w:rsidTr="00E33167">
        <w:tc>
          <w:tcPr>
            <w:tcW w:w="851" w:type="dxa"/>
            <w:vAlign w:val="center"/>
          </w:tcPr>
          <w:p w:rsidR="00E22020" w:rsidRPr="00323D70" w:rsidRDefault="00E22020" w:rsidP="005468CB">
            <w:pPr>
              <w:jc w:val="center"/>
              <w:rPr>
                <w:rFonts w:ascii="Calibri" w:hAnsi="Calibri" w:cs="Arial"/>
                <w:sz w:val="14"/>
                <w:szCs w:val="14"/>
                <w:highlight w:val="yellow"/>
              </w:rPr>
            </w:pPr>
            <w:r w:rsidRPr="00323D70">
              <w:rPr>
                <w:rFonts w:ascii="Calibri" w:hAnsi="Calibri" w:cs="Arial"/>
                <w:sz w:val="14"/>
                <w:szCs w:val="14"/>
              </w:rPr>
              <w:t>1</w:t>
            </w:r>
          </w:p>
        </w:tc>
        <w:tc>
          <w:tcPr>
            <w:tcW w:w="4678" w:type="dxa"/>
            <w:vAlign w:val="center"/>
          </w:tcPr>
          <w:p w:rsidR="00E22020" w:rsidRPr="00323D70" w:rsidRDefault="00E22020" w:rsidP="005468CB">
            <w:pPr>
              <w:rPr>
                <w:rFonts w:ascii="Calibri" w:hAnsi="Calibri"/>
                <w:sz w:val="14"/>
                <w:szCs w:val="14"/>
              </w:rPr>
            </w:pPr>
            <w:r w:rsidRPr="00323D70">
              <w:rPr>
                <w:rFonts w:ascii="Calibri" w:hAnsi="Calibri"/>
                <w:sz w:val="14"/>
                <w:szCs w:val="14"/>
              </w:rPr>
              <w:t>Sistema de riego con bomba achicadora totalmente nuevo y completo para uso en sistemas de riego agrícola de pastos y forrajes en fincas ganaderas.</w:t>
            </w:r>
          </w:p>
          <w:p w:rsidR="00E22020" w:rsidRPr="00323D70" w:rsidRDefault="00E22020" w:rsidP="005468CB">
            <w:pPr>
              <w:rPr>
                <w:rFonts w:ascii="Calibri" w:hAnsi="Calibri"/>
                <w:sz w:val="14"/>
                <w:szCs w:val="14"/>
              </w:rPr>
            </w:pPr>
          </w:p>
          <w:p w:rsidR="00E22020" w:rsidRPr="00323D70" w:rsidRDefault="00E22020" w:rsidP="005468CB">
            <w:pPr>
              <w:rPr>
                <w:rFonts w:ascii="Calibri" w:hAnsi="Calibri"/>
                <w:sz w:val="14"/>
                <w:szCs w:val="14"/>
              </w:rPr>
            </w:pPr>
            <w:r w:rsidRPr="00323D70">
              <w:rPr>
                <w:rFonts w:ascii="Calibri" w:hAnsi="Calibri"/>
                <w:sz w:val="14"/>
                <w:szCs w:val="14"/>
              </w:rPr>
              <w:t xml:space="preserve">Bomba achicadora de 6.5 hp de capacidad mínima (de combustible gasolina) características mínimas: debe ser de Presión con una CDT de 70 o más y 130 GPM. Incluye acople universal de entrada y salida de  </w:t>
            </w:r>
            <w:smartTag w:uri="urn:schemas-microsoft-com:office:smarttags" w:element="metricconverter">
              <w:smartTagPr>
                <w:attr w:name="ProductID" w:val="2”"/>
              </w:smartTagPr>
              <w:r w:rsidRPr="00323D70">
                <w:rPr>
                  <w:rFonts w:ascii="Calibri" w:hAnsi="Calibri"/>
                  <w:sz w:val="14"/>
                  <w:szCs w:val="14"/>
                </w:rPr>
                <w:t>2”</w:t>
              </w:r>
            </w:smartTag>
            <w:r w:rsidRPr="00323D70">
              <w:rPr>
                <w:rFonts w:ascii="Calibri" w:hAnsi="Calibri"/>
                <w:sz w:val="14"/>
                <w:szCs w:val="14"/>
              </w:rPr>
              <w:t xml:space="preserve">, respecto  al aspersor Tipo Cañón  se necesita adecuarlo a la potencia de la bomba; </w:t>
            </w:r>
          </w:p>
          <w:p w:rsidR="00E22020" w:rsidRPr="00323D70" w:rsidRDefault="00E22020" w:rsidP="005468CB">
            <w:pPr>
              <w:rPr>
                <w:rFonts w:ascii="Calibri" w:hAnsi="Calibri"/>
                <w:sz w:val="14"/>
                <w:szCs w:val="14"/>
              </w:rPr>
            </w:pPr>
            <w:r w:rsidRPr="00323D70">
              <w:rPr>
                <w:rFonts w:ascii="Calibri" w:hAnsi="Calibri"/>
                <w:sz w:val="14"/>
                <w:szCs w:val="14"/>
              </w:rPr>
              <w:t xml:space="preserve">15 Tubos de riego móvil 160 PSI de 2" con acoples rápidos, se aceptará tubería alternativa puede ser de 100 PSI  NORMA SDR 41 Y ASPM 2241; </w:t>
            </w:r>
          </w:p>
          <w:p w:rsidR="00E22020" w:rsidRPr="00323D70" w:rsidRDefault="00E22020" w:rsidP="005468CB">
            <w:pPr>
              <w:rPr>
                <w:rFonts w:ascii="Calibri" w:hAnsi="Calibri"/>
                <w:sz w:val="14"/>
                <w:szCs w:val="14"/>
              </w:rPr>
            </w:pPr>
            <w:r w:rsidRPr="00323D70">
              <w:rPr>
                <w:rFonts w:ascii="Calibri" w:hAnsi="Calibri"/>
                <w:sz w:val="14"/>
                <w:szCs w:val="14"/>
              </w:rPr>
              <w:t>1 Porta aspersor de riego móvil;</w:t>
            </w:r>
          </w:p>
          <w:p w:rsidR="00E22020" w:rsidRPr="00323D70" w:rsidRDefault="00E22020" w:rsidP="005468CB">
            <w:pPr>
              <w:rPr>
                <w:rFonts w:ascii="Calibri" w:hAnsi="Calibri"/>
                <w:sz w:val="14"/>
                <w:szCs w:val="14"/>
              </w:rPr>
            </w:pPr>
            <w:r w:rsidRPr="00323D70">
              <w:rPr>
                <w:rFonts w:ascii="Calibri" w:hAnsi="Calibri"/>
                <w:sz w:val="14"/>
                <w:szCs w:val="14"/>
              </w:rPr>
              <w:t xml:space="preserve">1 cañón aspersor metálico, se aceptarán aspersores  plásticos, siempre y cuando cumplan con la garantía y estén dentro del rango de potencia de la bomba. Los cañones aspersores de impacto, completo, de plástico, circulo completo, ½”npt, con doble boquilla de 27° de Angulo de chorro, diámetro de mojado de </w:t>
            </w:r>
            <w:smartTag w:uri="urn:schemas-microsoft-com:office:smarttags" w:element="metricconverter">
              <w:smartTagPr>
                <w:attr w:name="ProductID" w:val="42 m"/>
              </w:smartTagPr>
              <w:r w:rsidRPr="00323D70">
                <w:rPr>
                  <w:rFonts w:ascii="Calibri" w:hAnsi="Calibri"/>
                  <w:sz w:val="14"/>
                  <w:szCs w:val="14"/>
                </w:rPr>
                <w:t>42 m</w:t>
              </w:r>
            </w:smartTag>
            <w:r w:rsidRPr="00323D70">
              <w:rPr>
                <w:rFonts w:ascii="Calibri" w:hAnsi="Calibri"/>
                <w:sz w:val="14"/>
                <w:szCs w:val="14"/>
              </w:rPr>
              <w:t xml:space="preserve">, de  1.5 – 2 bar de altura. </w:t>
            </w:r>
            <w:smartTag w:uri="urn:schemas-microsoft-com:office:smarttags" w:element="metricconverter">
              <w:smartTagPr>
                <w:attr w:name="ProductID" w:val="4 m"/>
              </w:smartTagPr>
              <w:r w:rsidRPr="00323D70">
                <w:rPr>
                  <w:rFonts w:ascii="Calibri" w:hAnsi="Calibri"/>
                  <w:sz w:val="14"/>
                  <w:szCs w:val="14"/>
                </w:rPr>
                <w:t>4 m</w:t>
              </w:r>
            </w:smartTag>
            <w:r w:rsidRPr="00323D70">
              <w:rPr>
                <w:rFonts w:ascii="Calibri" w:hAnsi="Calibri"/>
                <w:sz w:val="14"/>
                <w:szCs w:val="14"/>
              </w:rPr>
              <w:t xml:space="preserve"> de altura del trípode metálico de tubo galvanizado, con acoples a PVC . Con todos los accesorios completos; </w:t>
            </w:r>
          </w:p>
          <w:p w:rsidR="00E22020" w:rsidRPr="00323D70" w:rsidRDefault="00E22020" w:rsidP="005468CB">
            <w:pPr>
              <w:rPr>
                <w:rFonts w:ascii="Calibri" w:hAnsi="Calibri"/>
                <w:sz w:val="14"/>
                <w:szCs w:val="14"/>
              </w:rPr>
            </w:pPr>
            <w:r w:rsidRPr="00323D70">
              <w:rPr>
                <w:rFonts w:ascii="Calibri" w:hAnsi="Calibri"/>
                <w:sz w:val="14"/>
                <w:szCs w:val="14"/>
              </w:rPr>
              <w:t xml:space="preserve">1 tapón M de 2"; </w:t>
            </w:r>
          </w:p>
          <w:p w:rsidR="00E22020" w:rsidRPr="00323D70" w:rsidRDefault="00E22020" w:rsidP="005468CB">
            <w:pPr>
              <w:rPr>
                <w:rFonts w:ascii="Calibri" w:hAnsi="Calibri"/>
                <w:sz w:val="14"/>
                <w:szCs w:val="14"/>
              </w:rPr>
            </w:pPr>
            <w:r w:rsidRPr="00323D70">
              <w:rPr>
                <w:rFonts w:ascii="Calibri" w:hAnsi="Calibri"/>
                <w:sz w:val="14"/>
                <w:szCs w:val="14"/>
              </w:rPr>
              <w:t xml:space="preserve">1 adaptador para bomba de riego móvil de 2"; </w:t>
            </w:r>
          </w:p>
          <w:p w:rsidR="00E22020" w:rsidRPr="00323D70" w:rsidRDefault="00E22020" w:rsidP="005468CB">
            <w:pPr>
              <w:rPr>
                <w:rFonts w:ascii="Calibri" w:hAnsi="Calibri"/>
                <w:sz w:val="14"/>
                <w:szCs w:val="14"/>
              </w:rPr>
            </w:pPr>
            <w:r w:rsidRPr="00323D70">
              <w:rPr>
                <w:rFonts w:ascii="Calibri" w:hAnsi="Calibri"/>
                <w:sz w:val="14"/>
                <w:szCs w:val="14"/>
              </w:rPr>
              <w:t xml:space="preserve">1 manguera de succión de </w:t>
            </w:r>
            <w:smartTag w:uri="urn:schemas-microsoft-com:office:smarttags" w:element="metricconverter">
              <w:smartTagPr>
                <w:attr w:name="ProductID" w:val="3 metros"/>
              </w:smartTagPr>
              <w:r w:rsidRPr="00323D70">
                <w:rPr>
                  <w:rFonts w:ascii="Calibri" w:hAnsi="Calibri"/>
                  <w:sz w:val="14"/>
                  <w:szCs w:val="14"/>
                </w:rPr>
                <w:t>3 metros</w:t>
              </w:r>
            </w:smartTag>
            <w:r w:rsidRPr="00323D70">
              <w:rPr>
                <w:rFonts w:ascii="Calibri" w:hAnsi="Calibri"/>
                <w:sz w:val="14"/>
                <w:szCs w:val="14"/>
              </w:rPr>
              <w:t xml:space="preserve"> mínimos; </w:t>
            </w:r>
          </w:p>
          <w:p w:rsidR="00E22020" w:rsidRPr="00323D70" w:rsidRDefault="00E22020" w:rsidP="005468CB">
            <w:pPr>
              <w:rPr>
                <w:rFonts w:ascii="Calibri" w:hAnsi="Calibri"/>
                <w:sz w:val="14"/>
                <w:szCs w:val="14"/>
              </w:rPr>
            </w:pPr>
            <w:r w:rsidRPr="00323D70">
              <w:rPr>
                <w:rFonts w:ascii="Calibri" w:hAnsi="Calibri"/>
                <w:sz w:val="14"/>
                <w:szCs w:val="14"/>
              </w:rPr>
              <w:t xml:space="preserve">1 manguera de succión de </w:t>
            </w:r>
            <w:smartTag w:uri="urn:schemas-microsoft-com:office:smarttags" w:element="metricconverter">
              <w:smartTagPr>
                <w:attr w:name="ProductID" w:val="9 metros"/>
              </w:smartTagPr>
              <w:r w:rsidRPr="00323D70">
                <w:rPr>
                  <w:rFonts w:ascii="Calibri" w:hAnsi="Calibri"/>
                  <w:sz w:val="14"/>
                  <w:szCs w:val="14"/>
                </w:rPr>
                <w:t>9 metros</w:t>
              </w:r>
            </w:smartTag>
            <w:r w:rsidRPr="00323D70">
              <w:rPr>
                <w:rFonts w:ascii="Calibri" w:hAnsi="Calibri"/>
                <w:sz w:val="14"/>
                <w:szCs w:val="14"/>
              </w:rPr>
              <w:t xml:space="preserve">; </w:t>
            </w:r>
          </w:p>
          <w:p w:rsidR="00E22020" w:rsidRPr="00323D70" w:rsidRDefault="00E22020" w:rsidP="005468CB">
            <w:pPr>
              <w:rPr>
                <w:rFonts w:ascii="Calibri" w:hAnsi="Calibri"/>
                <w:sz w:val="14"/>
                <w:szCs w:val="14"/>
              </w:rPr>
            </w:pPr>
            <w:r w:rsidRPr="00323D70">
              <w:rPr>
                <w:rFonts w:ascii="Calibri" w:hAnsi="Calibri"/>
                <w:sz w:val="14"/>
                <w:szCs w:val="14"/>
              </w:rPr>
              <w:t xml:space="preserve">1 granada de succión de 2" (con respectivo filtro de impureza de agua); </w:t>
            </w:r>
          </w:p>
          <w:p w:rsidR="00E22020" w:rsidRPr="00323D70" w:rsidRDefault="00E22020" w:rsidP="005468CB">
            <w:pPr>
              <w:rPr>
                <w:rFonts w:ascii="Calibri" w:hAnsi="Calibri"/>
                <w:sz w:val="14"/>
                <w:szCs w:val="14"/>
              </w:rPr>
            </w:pPr>
            <w:r w:rsidRPr="00323D70">
              <w:rPr>
                <w:rFonts w:ascii="Calibri" w:hAnsi="Calibri"/>
                <w:sz w:val="14"/>
                <w:szCs w:val="14"/>
              </w:rPr>
              <w:t xml:space="preserve">1 trípode porta aspersores; </w:t>
            </w:r>
          </w:p>
          <w:p w:rsidR="00E22020" w:rsidRPr="00323D70" w:rsidRDefault="00E22020" w:rsidP="005468CB">
            <w:pPr>
              <w:rPr>
                <w:rFonts w:ascii="Calibri" w:hAnsi="Calibri"/>
                <w:sz w:val="14"/>
                <w:szCs w:val="14"/>
              </w:rPr>
            </w:pPr>
            <w:r w:rsidRPr="00323D70">
              <w:rPr>
                <w:rFonts w:ascii="Calibri" w:hAnsi="Calibri"/>
                <w:sz w:val="14"/>
                <w:szCs w:val="14"/>
              </w:rPr>
              <w:t xml:space="preserve">1 abrazadera; </w:t>
            </w:r>
          </w:p>
          <w:p w:rsidR="00E22020" w:rsidRPr="00323D70" w:rsidRDefault="00E22020" w:rsidP="005468CB">
            <w:pPr>
              <w:rPr>
                <w:rFonts w:ascii="Calibri" w:hAnsi="Calibri"/>
                <w:sz w:val="14"/>
                <w:szCs w:val="14"/>
              </w:rPr>
            </w:pPr>
            <w:r w:rsidRPr="00323D70">
              <w:rPr>
                <w:rFonts w:ascii="Calibri" w:hAnsi="Calibri"/>
                <w:sz w:val="14"/>
                <w:szCs w:val="14"/>
              </w:rPr>
              <w:t xml:space="preserve">1 codo de 90  de 1 1/2"; y </w:t>
            </w:r>
          </w:p>
          <w:p w:rsidR="00E22020" w:rsidRPr="00323D70" w:rsidRDefault="00E22020" w:rsidP="005A6409">
            <w:pPr>
              <w:jc w:val="left"/>
              <w:rPr>
                <w:rFonts w:ascii="Calibri" w:hAnsi="Calibri"/>
                <w:sz w:val="14"/>
                <w:szCs w:val="14"/>
              </w:rPr>
            </w:pPr>
            <w:r w:rsidRPr="00323D70">
              <w:rPr>
                <w:rFonts w:ascii="Calibri" w:hAnsi="Calibri"/>
                <w:sz w:val="14"/>
                <w:szCs w:val="14"/>
              </w:rPr>
              <w:t xml:space="preserve">1 granada de reserva sencilla. Mts de largo para llevar el agua de la fuente de agua a la zona de riego. Chapa 14, altura mínima del cañón de </w:t>
            </w:r>
            <w:smartTag w:uri="urn:schemas-microsoft-com:office:smarttags" w:element="metricconverter">
              <w:smartTagPr>
                <w:attr w:name="ProductID" w:val="4 metros"/>
              </w:smartTagPr>
              <w:r w:rsidRPr="00323D70">
                <w:rPr>
                  <w:rFonts w:ascii="Calibri" w:hAnsi="Calibri"/>
                  <w:sz w:val="14"/>
                  <w:szCs w:val="14"/>
                </w:rPr>
                <w:t>4 metros</w:t>
              </w:r>
            </w:smartTag>
            <w:r w:rsidRPr="00323D70">
              <w:rPr>
                <w:rFonts w:ascii="Calibri" w:hAnsi="Calibri"/>
                <w:sz w:val="14"/>
                <w:szCs w:val="14"/>
              </w:rPr>
              <w:t>. Considerar mano de obra para su instalación.</w:t>
            </w:r>
            <w:r w:rsidRPr="00323D70">
              <w:rPr>
                <w:rFonts w:ascii="Calibri" w:hAnsi="Calibri"/>
                <w:sz w:val="14"/>
                <w:szCs w:val="14"/>
              </w:rPr>
              <w:br/>
            </w:r>
          </w:p>
          <w:p w:rsidR="00E22020" w:rsidRPr="00323D70" w:rsidRDefault="00E22020" w:rsidP="005468CB">
            <w:pPr>
              <w:rPr>
                <w:rFonts w:ascii="Calibri" w:hAnsi="Calibri"/>
                <w:b/>
                <w:sz w:val="14"/>
                <w:szCs w:val="14"/>
              </w:rPr>
            </w:pPr>
            <w:r w:rsidRPr="00323D70">
              <w:rPr>
                <w:rFonts w:ascii="Calibri" w:hAnsi="Calibri"/>
                <w:b/>
                <w:sz w:val="14"/>
                <w:szCs w:val="14"/>
              </w:rPr>
              <w:t>Notas y consideraciones aclaratorias:</w:t>
            </w:r>
          </w:p>
          <w:p w:rsidR="00E22020" w:rsidRPr="00323D70" w:rsidRDefault="00E22020" w:rsidP="005468CB">
            <w:pPr>
              <w:rPr>
                <w:rFonts w:ascii="Calibri" w:hAnsi="Calibri"/>
                <w:b/>
                <w:sz w:val="14"/>
                <w:szCs w:val="14"/>
              </w:rPr>
            </w:pPr>
          </w:p>
          <w:p w:rsidR="00E22020" w:rsidRPr="00323D70" w:rsidRDefault="00E22020" w:rsidP="005A6409">
            <w:pPr>
              <w:jc w:val="left"/>
              <w:rPr>
                <w:rFonts w:ascii="Calibri" w:hAnsi="Calibri"/>
                <w:sz w:val="14"/>
                <w:szCs w:val="14"/>
              </w:rPr>
            </w:pPr>
            <w:r w:rsidRPr="00323D70">
              <w:rPr>
                <w:rFonts w:ascii="Calibri" w:hAnsi="Calibri"/>
                <w:sz w:val="14"/>
                <w:szCs w:val="14"/>
              </w:rPr>
              <w:t>El ofertante deberá presentar garantía del producto entregado contra posibles defectos de material y mano de obra durante un período mínimo de seis meses a partir de la fecha de entrega y aceptación de conformidad por equipos técnicos designados por el MAG.</w:t>
            </w:r>
            <w:r w:rsidRPr="00323D70">
              <w:rPr>
                <w:rFonts w:ascii="Calibri" w:hAnsi="Calibri"/>
                <w:sz w:val="14"/>
                <w:szCs w:val="14"/>
              </w:rPr>
              <w:br/>
            </w:r>
          </w:p>
          <w:p w:rsidR="00E22020" w:rsidRPr="00323D70" w:rsidRDefault="00E22020" w:rsidP="005468CB">
            <w:pPr>
              <w:rPr>
                <w:rFonts w:ascii="Calibri" w:hAnsi="Calibri"/>
                <w:sz w:val="14"/>
                <w:szCs w:val="14"/>
              </w:rPr>
            </w:pPr>
            <w:r w:rsidRPr="00323D70">
              <w:rPr>
                <w:rFonts w:ascii="Calibri" w:hAnsi="Calibri"/>
                <w:sz w:val="14"/>
                <w:szCs w:val="14"/>
              </w:rPr>
              <w:t>Totalmente entregados e instalados a conformidad en fincas ganaderas a nivel nacional inscritas al Programa de Agricultura Familiar (en departamentos de San Vicente, Cabañas, Usulután, San Miguel, Morazán y La Unión según lista adjunta).</w:t>
            </w:r>
            <w:r w:rsidRPr="00323D70">
              <w:rPr>
                <w:rFonts w:ascii="Calibri" w:hAnsi="Calibri"/>
                <w:sz w:val="14"/>
                <w:szCs w:val="14"/>
              </w:rPr>
              <w:br/>
            </w:r>
          </w:p>
          <w:p w:rsidR="00E22020" w:rsidRPr="00323D70" w:rsidRDefault="00E22020" w:rsidP="005468CB">
            <w:pPr>
              <w:rPr>
                <w:rFonts w:ascii="Calibri" w:hAnsi="Calibri"/>
                <w:sz w:val="14"/>
                <w:szCs w:val="14"/>
              </w:rPr>
            </w:pPr>
            <w:r w:rsidRPr="00323D70">
              <w:rPr>
                <w:rFonts w:ascii="Calibri" w:hAnsi="Calibri"/>
                <w:sz w:val="14"/>
                <w:szCs w:val="14"/>
              </w:rPr>
              <w:t>La oferta debe incluir los costos totales de los materiales, mano de obra, capacitación para su adecuado manejo para los beneficiarios que es necesario para su instalación en las ochenta fincas ganaderas.</w:t>
            </w:r>
          </w:p>
          <w:p w:rsidR="00E22020" w:rsidRPr="00323D70" w:rsidRDefault="00E22020" w:rsidP="005468CB">
            <w:pPr>
              <w:rPr>
                <w:rFonts w:ascii="Calibri" w:hAnsi="Calibri"/>
                <w:sz w:val="14"/>
                <w:szCs w:val="14"/>
              </w:rPr>
            </w:pPr>
            <w:r w:rsidRPr="00323D70">
              <w:rPr>
                <w:rFonts w:ascii="Calibri" w:hAnsi="Calibri"/>
                <w:sz w:val="14"/>
                <w:szCs w:val="14"/>
              </w:rPr>
              <w:t>Incluir en la oferta costos de inducción practica para cada uno de los ochenta beneficiarios en las fincas para su prueba de operación y/o puesta en marcha, además de detalles como condiciones (eléctricas, infraestructura mínima a requerir para su resguardo) y especificaciones técnicas para su respectivo montaje, operación y puesta en marcha.</w:t>
            </w:r>
          </w:p>
          <w:p w:rsidR="00E22020" w:rsidRPr="00323D70" w:rsidRDefault="00E22020" w:rsidP="005468CB">
            <w:pPr>
              <w:rPr>
                <w:rFonts w:ascii="Calibri" w:hAnsi="Calibri"/>
                <w:sz w:val="14"/>
                <w:szCs w:val="14"/>
              </w:rPr>
            </w:pPr>
            <w:r w:rsidRPr="00323D70">
              <w:rPr>
                <w:rFonts w:ascii="Calibri" w:hAnsi="Calibri"/>
                <w:sz w:val="14"/>
                <w:szCs w:val="14"/>
              </w:rPr>
              <w:t>El contratista deberá entregar por escrito plan y cronograma de trabajo del diseño, suministro, montaje, instalación, pruebas de funcionamiento y puesta en marcha de los equipos de riego, el correspondiente manual o instructivo de operación y mantenimiento por cada equipo suministrado, además de una propuesta del plan de inducción de la operación y mantenimiento de los equipos en cada una de las ochenta fincas ganaderas y detallando claramente las necesidades y consideraciones para las respectivas pruebas de funcionamiento y/o operación, coordinados bajo un plan de trabajo con equipo del MAG.</w:t>
            </w:r>
          </w:p>
        </w:tc>
        <w:tc>
          <w:tcPr>
            <w:tcW w:w="851" w:type="dxa"/>
            <w:vAlign w:val="center"/>
          </w:tcPr>
          <w:p w:rsidR="00E22020" w:rsidRPr="00323D70" w:rsidRDefault="00E22020" w:rsidP="005468CB">
            <w:pPr>
              <w:jc w:val="center"/>
              <w:rPr>
                <w:rFonts w:ascii="Calibri" w:hAnsi="Calibri"/>
                <w:bCs/>
                <w:sz w:val="14"/>
                <w:szCs w:val="14"/>
                <w:lang w:val="es-SV" w:eastAsia="es-SV"/>
              </w:rPr>
            </w:pPr>
            <w:r w:rsidRPr="00323D70">
              <w:rPr>
                <w:rFonts w:ascii="Calibri" w:hAnsi="Calibri"/>
                <w:bCs/>
                <w:sz w:val="14"/>
                <w:szCs w:val="14"/>
                <w:lang w:val="es-SV" w:eastAsia="es-SV"/>
              </w:rPr>
              <w:t>UNIDAD</w:t>
            </w:r>
          </w:p>
        </w:tc>
        <w:tc>
          <w:tcPr>
            <w:tcW w:w="1134" w:type="dxa"/>
            <w:vAlign w:val="center"/>
          </w:tcPr>
          <w:p w:rsidR="00E22020" w:rsidRPr="00323D70" w:rsidRDefault="00E22020" w:rsidP="005468CB">
            <w:pPr>
              <w:jc w:val="center"/>
              <w:rPr>
                <w:rFonts w:ascii="Calibri" w:hAnsi="Calibri"/>
                <w:bCs/>
                <w:sz w:val="14"/>
                <w:szCs w:val="14"/>
                <w:lang w:val="es-SV" w:eastAsia="es-SV"/>
              </w:rPr>
            </w:pPr>
            <w:r w:rsidRPr="00323D70">
              <w:rPr>
                <w:rFonts w:ascii="Calibri" w:hAnsi="Calibri"/>
                <w:bCs/>
                <w:sz w:val="14"/>
                <w:szCs w:val="14"/>
                <w:lang w:val="es-SV" w:eastAsia="es-SV"/>
              </w:rPr>
              <w:t>80</w:t>
            </w:r>
          </w:p>
        </w:tc>
        <w:tc>
          <w:tcPr>
            <w:tcW w:w="992" w:type="dxa"/>
            <w:vAlign w:val="center"/>
          </w:tcPr>
          <w:p w:rsidR="00E22020" w:rsidRPr="00323D70" w:rsidRDefault="00E22020" w:rsidP="005468CB">
            <w:pPr>
              <w:jc w:val="right"/>
              <w:rPr>
                <w:rFonts w:ascii="Calibri" w:hAnsi="Calibri"/>
                <w:sz w:val="14"/>
                <w:szCs w:val="14"/>
              </w:rPr>
            </w:pPr>
            <w:r w:rsidRPr="00323D70">
              <w:rPr>
                <w:rFonts w:ascii="Calibri" w:hAnsi="Calibri"/>
                <w:sz w:val="14"/>
                <w:szCs w:val="14"/>
              </w:rPr>
              <w:t>1,311.39</w:t>
            </w:r>
          </w:p>
        </w:tc>
        <w:tc>
          <w:tcPr>
            <w:tcW w:w="1134" w:type="dxa"/>
            <w:vAlign w:val="center"/>
          </w:tcPr>
          <w:p w:rsidR="00E22020" w:rsidRPr="00323D70" w:rsidRDefault="00E22020" w:rsidP="005468CB">
            <w:pPr>
              <w:jc w:val="right"/>
              <w:rPr>
                <w:rFonts w:ascii="Calibri" w:hAnsi="Calibri"/>
                <w:sz w:val="14"/>
                <w:szCs w:val="14"/>
              </w:rPr>
            </w:pPr>
            <w:r w:rsidRPr="00323D70">
              <w:rPr>
                <w:rFonts w:ascii="Calibri" w:hAnsi="Calibri"/>
                <w:sz w:val="14"/>
                <w:szCs w:val="14"/>
              </w:rPr>
              <w:t>104,911.20</w:t>
            </w:r>
          </w:p>
        </w:tc>
      </w:tr>
      <w:tr w:rsidR="00E22020" w:rsidRPr="002118FE" w:rsidTr="00E33167">
        <w:trPr>
          <w:trHeight w:val="274"/>
        </w:trPr>
        <w:tc>
          <w:tcPr>
            <w:tcW w:w="8506" w:type="dxa"/>
            <w:gridSpan w:val="5"/>
            <w:vAlign w:val="center"/>
          </w:tcPr>
          <w:p w:rsidR="00E22020" w:rsidRPr="00323D70" w:rsidRDefault="00E22020" w:rsidP="005A148F">
            <w:pPr>
              <w:jc w:val="right"/>
              <w:rPr>
                <w:rFonts w:ascii="Calibri" w:hAnsi="Calibri"/>
                <w:b/>
                <w:sz w:val="14"/>
                <w:szCs w:val="14"/>
              </w:rPr>
            </w:pPr>
            <w:r w:rsidRPr="00323D70">
              <w:rPr>
                <w:rFonts w:ascii="Calibri" w:hAnsi="Calibri"/>
                <w:b/>
                <w:sz w:val="14"/>
                <w:szCs w:val="14"/>
                <w:lang w:val="es-ES"/>
              </w:rPr>
              <w:t xml:space="preserve">MONTO TOTAL </w:t>
            </w:r>
          </w:p>
        </w:tc>
        <w:tc>
          <w:tcPr>
            <w:tcW w:w="1134" w:type="dxa"/>
            <w:vAlign w:val="center"/>
          </w:tcPr>
          <w:p w:rsidR="00E22020" w:rsidRPr="00323D70" w:rsidRDefault="00E22020" w:rsidP="005468CB">
            <w:pPr>
              <w:jc w:val="right"/>
              <w:rPr>
                <w:rFonts w:ascii="Calibri" w:hAnsi="Calibri"/>
                <w:b/>
                <w:bCs/>
                <w:sz w:val="14"/>
                <w:szCs w:val="14"/>
                <w:lang w:val="es-SV" w:eastAsia="es-SV"/>
              </w:rPr>
            </w:pPr>
            <w:r w:rsidRPr="00323D70">
              <w:rPr>
                <w:rFonts w:ascii="Calibri" w:hAnsi="Calibri"/>
                <w:b/>
                <w:bCs/>
                <w:sz w:val="14"/>
                <w:szCs w:val="14"/>
                <w:lang w:val="es-SV" w:eastAsia="es-SV"/>
              </w:rPr>
              <w:t>104,911.20</w:t>
            </w:r>
          </w:p>
        </w:tc>
      </w:tr>
    </w:tbl>
    <w:p w:rsidR="00E22020" w:rsidRPr="002118FE" w:rsidRDefault="00E22020" w:rsidP="00990E3A">
      <w:pPr>
        <w:pStyle w:val="Subttulo"/>
        <w:jc w:val="both"/>
        <w:rPr>
          <w:rFonts w:ascii="Bookman Old Style" w:hAnsi="Bookman Old Style"/>
          <w:b w:val="0"/>
          <w:sz w:val="24"/>
          <w:szCs w:val="24"/>
          <w:lang w:val="es-ES"/>
        </w:rPr>
      </w:pPr>
      <w:r w:rsidRPr="002118FE">
        <w:rPr>
          <w:rFonts w:ascii="Bookman Old Style" w:hAnsi="Bookman Old Style"/>
          <w:b w:val="0"/>
          <w:sz w:val="24"/>
          <w:szCs w:val="24"/>
          <w:lang w:val="es-ES"/>
        </w:rPr>
        <w:tab/>
      </w:r>
    </w:p>
    <w:p w:rsidR="00E22020" w:rsidRPr="007C7D73" w:rsidRDefault="00E22020" w:rsidP="007C7D73">
      <w:pPr>
        <w:pStyle w:val="Sangra3detindependiente"/>
        <w:spacing w:line="360" w:lineRule="auto"/>
        <w:ind w:left="0" w:firstLine="0"/>
        <w:rPr>
          <w:rFonts w:ascii="Bookman Old Style" w:hAnsi="Bookman Old Style"/>
          <w:b w:val="0"/>
          <w:color w:val="0000FF"/>
          <w:sz w:val="21"/>
          <w:szCs w:val="21"/>
          <w:lang w:val="es-ES"/>
        </w:rPr>
      </w:pPr>
      <w:r w:rsidRPr="007C7D73">
        <w:rPr>
          <w:rFonts w:ascii="Bookman Old Style" w:hAnsi="Bookman Old Style"/>
          <w:b w:val="0"/>
          <w:sz w:val="21"/>
          <w:szCs w:val="21"/>
          <w:lang w:val="es-ES"/>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w:t>
      </w:r>
      <w:r w:rsidRPr="007C7D73">
        <w:rPr>
          <w:rFonts w:ascii="Bookman Old Style" w:hAnsi="Bookman Old Style"/>
          <w:b w:val="0"/>
          <w:sz w:val="21"/>
          <w:szCs w:val="21"/>
          <w:lang w:val="es-ES"/>
        </w:rPr>
        <w:lastRenderedPageBreak/>
        <w:t xml:space="preserve">salvaguardar los intereses que persigue. </w:t>
      </w:r>
      <w:r w:rsidRPr="007C7D73">
        <w:rPr>
          <w:rFonts w:ascii="Bookman Old Style" w:hAnsi="Bookman Old Style"/>
          <w:sz w:val="21"/>
          <w:szCs w:val="21"/>
          <w:lang w:val="es-ES"/>
        </w:rPr>
        <w:t>II.- PRECIO Y FORMA DE PAGO.</w:t>
      </w:r>
      <w:r w:rsidRPr="007C7D73">
        <w:rPr>
          <w:rFonts w:ascii="Bookman Old Style" w:hAnsi="Bookman Old Style"/>
          <w:b w:val="0"/>
          <w:sz w:val="21"/>
          <w:szCs w:val="21"/>
          <w:lang w:val="es-ES"/>
        </w:rPr>
        <w:t xml:space="preserve"> El precio total por el suministro de los bienes objeto del presente contrato es por la cantidad de </w:t>
      </w:r>
      <w:r w:rsidRPr="007C7D73">
        <w:rPr>
          <w:rFonts w:ascii="Bookman Old Style" w:hAnsi="Bookman Old Style"/>
          <w:sz w:val="21"/>
          <w:szCs w:val="21"/>
          <w:lang w:val="es-ES"/>
        </w:rPr>
        <w:t>CIENTO CUATRO MIL NOVECIENTOS ONCE DÓLARES CON VEINTE CENTAVOS DE DÓLAR DE LOS ESTADOS UNIDOS DE AMÉRICA (US$104,911.20),</w:t>
      </w:r>
      <w:r w:rsidRPr="007C7D73">
        <w:rPr>
          <w:rFonts w:ascii="Bookman Old Style" w:hAnsi="Bookman Old Style"/>
          <w:b w:val="0"/>
          <w:sz w:val="21"/>
          <w:szCs w:val="21"/>
          <w:lang w:val="es-ES"/>
        </w:rPr>
        <w:t xml:space="preserve"> el cual incluye el Impuesto a la Transferencia de Bienes Muebles y a la Prestación de Servicios (IVA). EL MAG podrá efectuar el pago dentro de un plazo de sesenta días hábiles contados a partir del recibo a satisfacción de los bienes por parte del Administrador del Contrato y de la presentación de la factura de consumidor final emitida a nombre de Plan de Agricultura Familiar BCIE LT 01 Encadenamiento Productivo (PROY. 5562). Dicho documento deberá estar firmado por el Administrador del Contrato, haciendo constar que recibió a satisfacción los bienes. Dicho pago será realizado mediante el Sistema de Cuenta Única del Tesoro Público por medio de una transferencia, la cual será realizada por la Dirección General de Tesorería del Ministerio de Hacienda, a la </w:t>
      </w:r>
      <w:r w:rsidR="00BE390F">
        <w:rPr>
          <w:rFonts w:ascii="Bookman Old Style" w:hAnsi="Bookman Old Style"/>
          <w:b w:val="0"/>
          <w:sz w:val="21"/>
          <w:szCs w:val="21"/>
          <w:lang w:val="es-ES"/>
        </w:rPr>
        <w:t xml:space="preserve">Cuenta Corriente número </w:t>
      </w:r>
      <w:r w:rsidR="00BE390F">
        <w:rPr>
          <w:rFonts w:ascii="Bookman Old Style" w:hAnsi="Bookman Old Style"/>
          <w:b w:val="0"/>
          <w:sz w:val="21"/>
          <w:szCs w:val="21"/>
          <w:highlight w:val="black"/>
          <w:lang w:val="es-ES"/>
        </w:rPr>
        <w:t>**********************************************************************</w:t>
      </w:r>
      <w:r w:rsidRPr="00D46607">
        <w:rPr>
          <w:rFonts w:ascii="Bookman Old Style" w:hAnsi="Bookman Old Style"/>
          <w:b w:val="0"/>
          <w:sz w:val="21"/>
          <w:szCs w:val="21"/>
          <w:highlight w:val="black"/>
          <w:lang w:val="es-ES"/>
        </w:rPr>
        <w:t>ti</w:t>
      </w:r>
      <w:r w:rsidRPr="007C7D73">
        <w:rPr>
          <w:rFonts w:ascii="Bookman Old Style" w:hAnsi="Bookman Old Style"/>
          <w:b w:val="0"/>
          <w:sz w:val="21"/>
          <w:szCs w:val="21"/>
          <w:lang w:val="es-ES"/>
        </w:rPr>
        <w:t>, que para tal efecto designó el Contratista</w:t>
      </w:r>
      <w:r w:rsidRPr="007C7D73">
        <w:rPr>
          <w:rFonts w:ascii="Bookman Old Style" w:hAnsi="Bookman Old Style" w:cs="Tahoma"/>
          <w:b w:val="0"/>
          <w:sz w:val="21"/>
          <w:szCs w:val="21"/>
        </w:rPr>
        <w:t>de conformidad a lo establecido en los Artículos 60, 61, 62, 63 y 70 de la Ley AFI y Artículos 75 y 76 de su Reglamento</w:t>
      </w:r>
      <w:r w:rsidRPr="007C7D73">
        <w:rPr>
          <w:rFonts w:ascii="Bookman Old Style" w:hAnsi="Bookman Old Style"/>
          <w:b w:val="0"/>
          <w:sz w:val="21"/>
          <w:szCs w:val="21"/>
          <w:lang w:val="es-ES"/>
        </w:rPr>
        <w:t xml:space="preserve"> y por ser la Dirección solicitante</w:t>
      </w:r>
      <w:r>
        <w:rPr>
          <w:rFonts w:ascii="Bookman Old Style" w:hAnsi="Bookman Old Style"/>
          <w:b w:val="0"/>
          <w:sz w:val="21"/>
          <w:szCs w:val="21"/>
          <w:lang w:val="es-ES"/>
        </w:rPr>
        <w:t xml:space="preserve"> </w:t>
      </w:r>
      <w:r w:rsidRPr="007C7D73">
        <w:rPr>
          <w:rFonts w:ascii="Bookman Old Style" w:hAnsi="Bookman Old Style"/>
          <w:b w:val="0"/>
          <w:sz w:val="21"/>
          <w:szCs w:val="21"/>
          <w:lang w:val="es-ES"/>
        </w:rPr>
        <w:t xml:space="preserve">Agente de Retención, de dicho pago se retendrá el uno por ciento en concepto de anticipo del Impuesto a la Transferencia de Bienes Muebles y a la Prestación de Servicios (IVA), según Resolución emitida por el Ministerio de Hacienda Número </w:t>
      </w:r>
      <w:r w:rsidR="00E342FB" w:rsidRPr="007C7D73">
        <w:rPr>
          <w:rFonts w:ascii="Bookman Old Style" w:hAnsi="Bookman Old Style"/>
          <w:b w:val="0"/>
          <w:sz w:val="21"/>
          <w:szCs w:val="21"/>
          <w:lang w:val="es-ES"/>
        </w:rPr>
        <w:fldChar w:fldCharType="begin"/>
      </w:r>
      <w:r w:rsidRPr="007C7D73">
        <w:rPr>
          <w:rFonts w:ascii="Bookman Old Style" w:hAnsi="Bookman Old Style"/>
          <w:b w:val="0"/>
          <w:sz w:val="21"/>
          <w:szCs w:val="21"/>
          <w:lang w:val="es-ES"/>
        </w:rPr>
        <w:instrText xml:space="preserve"> MERGEFIELD "MH_noS" </w:instrText>
      </w:r>
      <w:r w:rsidR="00E342FB" w:rsidRPr="007C7D73">
        <w:rPr>
          <w:rFonts w:ascii="Bookman Old Style" w:hAnsi="Bookman Old Style"/>
          <w:b w:val="0"/>
          <w:sz w:val="21"/>
          <w:szCs w:val="21"/>
          <w:lang w:val="es-ES"/>
        </w:rPr>
        <w:fldChar w:fldCharType="separate"/>
      </w:r>
      <w:r w:rsidRPr="007C7D73">
        <w:rPr>
          <w:rFonts w:ascii="Bookman Old Style" w:hAnsi="Bookman Old Style"/>
          <w:b w:val="0"/>
          <w:sz w:val="21"/>
          <w:szCs w:val="21"/>
          <w:lang w:val="es-ES"/>
        </w:rPr>
        <w:t>Doce mil trescientos uno- NEX- dos mil ciento treinta y seis- dos mil siete, del Ministerio de Agricultura y Ganadería</w:t>
      </w:r>
      <w:r w:rsidR="00E342FB" w:rsidRPr="007C7D73">
        <w:rPr>
          <w:rFonts w:ascii="Bookman Old Style" w:hAnsi="Bookman Old Style"/>
          <w:b w:val="0"/>
          <w:sz w:val="21"/>
          <w:szCs w:val="21"/>
          <w:lang w:val="es-ES"/>
        </w:rPr>
        <w:fldChar w:fldCharType="end"/>
      </w:r>
      <w:r w:rsidRPr="007C7D73">
        <w:rPr>
          <w:rFonts w:ascii="Bookman Old Style" w:hAnsi="Bookman Old Style"/>
          <w:b w:val="0"/>
          <w:sz w:val="21"/>
          <w:szCs w:val="21"/>
          <w:lang w:val="es-ES"/>
        </w:rPr>
        <w:t>.</w:t>
      </w:r>
      <w:r w:rsidRPr="007C7D73">
        <w:rPr>
          <w:rFonts w:ascii="Bookman Old Style" w:hAnsi="Bookman Old Style"/>
          <w:sz w:val="21"/>
          <w:szCs w:val="21"/>
          <w:lang w:val="es-ES"/>
        </w:rPr>
        <w:t>III.- PLAZO DEL CONTRATO.</w:t>
      </w:r>
      <w:r w:rsidRPr="007C7D73">
        <w:rPr>
          <w:rFonts w:ascii="Bookman Old Style" w:hAnsi="Bookman Old Style"/>
          <w:b w:val="0"/>
          <w:sz w:val="21"/>
          <w:szCs w:val="21"/>
          <w:lang w:val="es-ES"/>
        </w:rPr>
        <w:t xml:space="preserve"> El plazo del presente contrato será de Noventa (90) días calendario, contados a partir de la fecha establecida en la orden de pedido suscrita por el administrador del contrato. Se podrá prorrogar el plazo del contrato de conformidad con la LACAP y su Reglamento. </w:t>
      </w:r>
      <w:r w:rsidRPr="007C7D73">
        <w:rPr>
          <w:rFonts w:ascii="Bookman Old Style" w:hAnsi="Bookman Old Style"/>
          <w:sz w:val="21"/>
          <w:szCs w:val="21"/>
          <w:lang w:val="es-ES"/>
        </w:rPr>
        <w:t>IV.- FORMA Y PLAZO DE ENTREGA Y RECEPCIÓN.</w:t>
      </w:r>
      <w:r w:rsidRPr="007C7D73">
        <w:rPr>
          <w:rFonts w:ascii="Bookman Old Style" w:hAnsi="Bookman Old Style"/>
          <w:b w:val="0"/>
          <w:sz w:val="21"/>
          <w:szCs w:val="21"/>
          <w:lang w:val="es-ES"/>
        </w:rPr>
        <w:t xml:space="preserve"> De conformidad con el artículo cuarenta y cuatro letra j) de la Ley de Adquisiciones y Contrataciones de la Administración Pública y con las bases de licitación; los bienes objeto del presente contrato serán suministrados por “EL CONTRATISTA” a EL MAG en el plazo de cuarenta y cinco días hábiles</w:t>
      </w:r>
      <w:r>
        <w:rPr>
          <w:rFonts w:ascii="Bookman Old Style" w:hAnsi="Bookman Old Style"/>
          <w:b w:val="0"/>
          <w:sz w:val="21"/>
          <w:szCs w:val="21"/>
          <w:lang w:val="es-ES"/>
        </w:rPr>
        <w:t xml:space="preserve"> </w:t>
      </w:r>
      <w:r w:rsidRPr="007C7D73">
        <w:rPr>
          <w:rFonts w:ascii="Bookman Old Style" w:hAnsi="Bookman Old Style"/>
          <w:b w:val="0"/>
          <w:sz w:val="21"/>
          <w:szCs w:val="21"/>
          <w:lang w:val="es-ES"/>
        </w:rPr>
        <w:t>contados a partir de la fecha establecida en la orden de inicio, la cual será emitida una vez que el contratista haya recibido</w:t>
      </w:r>
      <w:r>
        <w:rPr>
          <w:rFonts w:ascii="Bookman Old Style" w:hAnsi="Bookman Old Style"/>
          <w:b w:val="0"/>
          <w:sz w:val="21"/>
          <w:szCs w:val="21"/>
          <w:lang w:val="es-ES"/>
        </w:rPr>
        <w:t xml:space="preserve"> </w:t>
      </w:r>
      <w:r w:rsidRPr="007C7D73">
        <w:rPr>
          <w:rFonts w:ascii="Bookman Old Style" w:hAnsi="Bookman Old Style" w:cs="Calibri"/>
          <w:b w:val="0"/>
          <w:sz w:val="21"/>
          <w:szCs w:val="21"/>
          <w:lang w:val="es-SV"/>
        </w:rPr>
        <w:t xml:space="preserve">una copia del contrato debidamente legalizado, </w:t>
      </w:r>
      <w:r w:rsidRPr="007C7D73">
        <w:rPr>
          <w:rFonts w:ascii="Bookman Old Style" w:hAnsi="Bookman Old Style"/>
          <w:b w:val="0"/>
          <w:sz w:val="21"/>
          <w:szCs w:val="21"/>
          <w:lang w:val="es-ES"/>
        </w:rPr>
        <w:t xml:space="preserve">de conformidad a su oferta de fecha nueve de octubre de dos mil quince, la recepción se efectuará de conformidad con lo ofertado y a lo establecido en el artículo ciento veintiuno de la Ley de Adquisiciones y Contrataciones de la Administración Pública, los bienes objeto del presente contrato serán entregados </w:t>
      </w:r>
      <w:r w:rsidRPr="007C7D73">
        <w:rPr>
          <w:rFonts w:ascii="Bookman Old Style" w:hAnsi="Bookman Old Style"/>
          <w:b w:val="0"/>
          <w:sz w:val="21"/>
          <w:szCs w:val="21"/>
        </w:rPr>
        <w:t xml:space="preserve">en las ubicaciones geográficas definidas en el cuadro detallado en la </w:t>
      </w:r>
      <w:r w:rsidRPr="007C7D73">
        <w:rPr>
          <w:rFonts w:ascii="Bookman Old Style" w:hAnsi="Bookman Old Style"/>
          <w:b w:val="0"/>
          <w:sz w:val="21"/>
          <w:szCs w:val="21"/>
        </w:rPr>
        <w:lastRenderedPageBreak/>
        <w:t>enmienda número dos al documento base de la licitación</w:t>
      </w:r>
      <w:r w:rsidRPr="007C7D73">
        <w:rPr>
          <w:rFonts w:ascii="Bookman Old Style" w:hAnsi="Bookman Old Style"/>
          <w:b w:val="0"/>
          <w:sz w:val="21"/>
          <w:szCs w:val="21"/>
          <w:lang w:val="es-ES"/>
        </w:rPr>
        <w:t xml:space="preserve">. </w:t>
      </w:r>
      <w:r w:rsidRPr="007C7D73">
        <w:rPr>
          <w:rFonts w:ascii="Bookman Old Style" w:hAnsi="Bookman Old Style"/>
          <w:sz w:val="21"/>
          <w:szCs w:val="21"/>
          <w:lang w:val="es-ES"/>
        </w:rPr>
        <w:t>V.- OBLIGACIONES DE EL MAG</w:t>
      </w:r>
      <w:r w:rsidRPr="007C7D73">
        <w:rPr>
          <w:rFonts w:ascii="Bookman Old Style" w:hAnsi="Bookman Old Style"/>
          <w:b w:val="0"/>
          <w:sz w:val="21"/>
          <w:szCs w:val="21"/>
          <w:lang w:val="es-ES"/>
        </w:rPr>
        <w:t>. EL MAG deberá hacer el pago de los bienes, detallados en la cláusula I, de este contrato a través de</w:t>
      </w:r>
      <w:r w:rsidRPr="007C7D73">
        <w:rPr>
          <w:rFonts w:ascii="Bookman Old Style" w:hAnsi="Bookman Old Style"/>
          <w:b w:val="0"/>
          <w:sz w:val="21"/>
          <w:szCs w:val="21"/>
        </w:rPr>
        <w:t xml:space="preserve">fondos provenientes de los Préstamos Externos–Organismo Financiero BCIE y Fondos de contrapartida GOES. </w:t>
      </w:r>
      <w:r w:rsidRPr="007C7D73">
        <w:rPr>
          <w:rFonts w:ascii="Bookman Old Style" w:hAnsi="Bookman Old Style"/>
          <w:sz w:val="21"/>
          <w:szCs w:val="21"/>
          <w:lang w:val="es-ES"/>
        </w:rPr>
        <w:t>VI.-ADMINISTRACIÓN DEL CONTRATO</w:t>
      </w:r>
      <w:r w:rsidRPr="007C7D73">
        <w:rPr>
          <w:rFonts w:ascii="Bookman Old Style" w:hAnsi="Bookman Old Style"/>
          <w:b w:val="0"/>
          <w:sz w:val="21"/>
          <w:szCs w:val="21"/>
          <w:lang w:val="es-ES"/>
        </w:rPr>
        <w:t>. El Titular del MAG, mediante Acuerdo Ejecutivo en el Ramo de Agricultura y Ganadería número setecientos cinco de fecha nueve de octubre de dos mil quince, nombra como Administrador del contrato a la siguiente persona: José Adalberto Hernández Alvarenga Coordinador de la Cadena Láctea de la Dirección General de Desarrollo Rural; o a quien lo sustituya en el cargo por cualquier circunstancia. Serán funciones del administrador del contrato: a) Ser el representante del Ministerio en el desarrollo y ejecución del contrato así como emitir la orden de pedido de conformidad a los plazos normados en el contrato; b) Dar seguimiento a la ejecución del contrato, y efectuar directamente los reclamos por escrito a “EL</w:t>
      </w:r>
      <w:r w:rsidR="00E342FB" w:rsidRPr="007C7D73">
        <w:rPr>
          <w:rFonts w:ascii="Bookman Old Style" w:hAnsi="Bookman Old Style"/>
          <w:b w:val="0"/>
          <w:sz w:val="21"/>
          <w:szCs w:val="21"/>
          <w:lang w:val="es-ES"/>
        </w:rPr>
        <w:fldChar w:fldCharType="begin"/>
      </w:r>
      <w:r w:rsidRPr="007C7D73">
        <w:rPr>
          <w:rFonts w:ascii="Bookman Old Style" w:hAnsi="Bookman Old Style"/>
          <w:b w:val="0"/>
          <w:sz w:val="21"/>
          <w:szCs w:val="21"/>
          <w:lang w:val="es-ES"/>
        </w:rPr>
        <w:instrText xml:space="preserve"> MERGEFIELD "Forma_como_se_denominara_el_Proveedor" </w:instrText>
      </w:r>
      <w:r w:rsidR="00E342FB" w:rsidRPr="007C7D73">
        <w:rPr>
          <w:rFonts w:ascii="Bookman Old Style" w:hAnsi="Bookman Old Style"/>
          <w:b w:val="0"/>
          <w:sz w:val="21"/>
          <w:szCs w:val="21"/>
          <w:lang w:val="es-ES"/>
        </w:rPr>
        <w:fldChar w:fldCharType="separate"/>
      </w:r>
      <w:r w:rsidRPr="007C7D73">
        <w:rPr>
          <w:rFonts w:ascii="Bookman Old Style" w:hAnsi="Bookman Old Style"/>
          <w:b w:val="0"/>
          <w:sz w:val="21"/>
          <w:szCs w:val="21"/>
          <w:lang w:val="es-ES"/>
        </w:rPr>
        <w:t xml:space="preserve"> CONTRATISTA</w:t>
      </w:r>
      <w:r w:rsidR="00E342FB" w:rsidRPr="007C7D73">
        <w:rPr>
          <w:rFonts w:ascii="Bookman Old Style" w:hAnsi="Bookman Old Style"/>
          <w:b w:val="0"/>
          <w:sz w:val="21"/>
          <w:szCs w:val="21"/>
          <w:lang w:val="es-ES"/>
        </w:rPr>
        <w:fldChar w:fldCharType="end"/>
      </w:r>
      <w:r w:rsidRPr="007C7D73">
        <w:rPr>
          <w:rFonts w:ascii="Bookman Old Style" w:hAnsi="Bookman Old Style"/>
          <w:b w:val="0"/>
          <w:sz w:val="21"/>
          <w:szCs w:val="21"/>
          <w:lang w:val="es-ES"/>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del bien según las necesidades, verificando no sobrepasar los montos adjudicados; e) Emitir dictamen sobre la procedencia o no, de cualquier modificación o prorroga al contrato, en caso de ser procedente, deberá realizar la gestión respectiva, ante la OACI/MAG, previo al vencimiento del plazo, proporcionando toda la documentación de respaldo necesaria para su tramitación, f) La elaboración de las Actas de Recepción respectivas Art. 77 RELACAP; g) Remitir a la OACI Copia del Acta de Recepción tres días hábiles posteriores a la recepción de los bienes; h) Evaluar el desempeño del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esta Oficina proceda a su devolución Art.82- BIS literal “h” LACAP; j) Remitir Copia a la OACI de toda gestión que realice en el ejercicio de sus funciones como Administrador(a) de Contrato Art. 42 Inc.3 RELACAP; k) Cumplir con cualquier otra función que le corresponda de acuerdo al contrato y demás documentos contractuales o que le sean asignadas por “EL MAG” así como también con las demás funciones establecidas en los Artículos 19, 82-Bis y 122 de la Ley de Adquisiciones y </w:t>
      </w:r>
      <w:r w:rsidRPr="007C7D73">
        <w:rPr>
          <w:rFonts w:ascii="Bookman Old Style" w:hAnsi="Bookman Old Style"/>
          <w:b w:val="0"/>
          <w:sz w:val="21"/>
          <w:szCs w:val="21"/>
          <w:lang w:val="es-ES"/>
        </w:rPr>
        <w:lastRenderedPageBreak/>
        <w:t xml:space="preserve">Contrataciones de la Administración pública (LACAP), 74, 75 Inc.2, 81 RELACAP, y demás disposiciones aplicables de la Ley de Adquisiciones y Contrataciones de la Administración Pública su Reglamento y Manual de procedimientos para el ciclo de Gestión de Adquisiciones y Contrataciones de las Instituciones de la Administración Pública dos mil catorce. </w:t>
      </w:r>
      <w:r w:rsidRPr="007C7D73">
        <w:rPr>
          <w:rFonts w:ascii="Bookman Old Style" w:hAnsi="Bookman Old Style"/>
          <w:sz w:val="21"/>
          <w:szCs w:val="21"/>
          <w:lang w:val="es-ES"/>
        </w:rPr>
        <w:t>VII.- CESIÓN.</w:t>
      </w:r>
      <w:r w:rsidRPr="007C7D73">
        <w:rPr>
          <w:rFonts w:ascii="Bookman Old Style" w:hAnsi="Bookman Old Style"/>
          <w:b w:val="0"/>
          <w:sz w:val="21"/>
          <w:szCs w:val="21"/>
          <w:lang w:val="es-ES"/>
        </w:rPr>
        <w:t xml:space="preserve"> Queda expresamente prohibido a “EL CONTRATISTA” traspasar o ceder a cualquier título los derechos y obligaciones que emanan del presente contrato. La transgresión de esta disposición dará lugar a la caducidad del contrato. </w:t>
      </w:r>
      <w:r w:rsidRPr="007C7D73">
        <w:rPr>
          <w:rFonts w:ascii="Bookman Old Style" w:hAnsi="Bookman Old Style"/>
          <w:sz w:val="21"/>
          <w:szCs w:val="21"/>
          <w:lang w:val="es-ES"/>
        </w:rPr>
        <w:t>VIII.- GARANTÍAS</w:t>
      </w:r>
      <w:r w:rsidRPr="007C7D73">
        <w:rPr>
          <w:rFonts w:ascii="Bookman Old Style" w:hAnsi="Bookman Old Style"/>
          <w:b w:val="0"/>
          <w:sz w:val="21"/>
          <w:szCs w:val="21"/>
          <w:lang w:val="es-ES"/>
        </w:rPr>
        <w:t xml:space="preserve">. </w:t>
      </w:r>
      <w:r w:rsidRPr="007C7D73">
        <w:rPr>
          <w:rFonts w:ascii="Bookman Old Style" w:hAnsi="Bookman Old Style" w:cs="Calibri"/>
          <w:b w:val="0"/>
          <w:sz w:val="21"/>
          <w:szCs w:val="21"/>
        </w:rPr>
        <w:t xml:space="preserve">Para garantizar el cumplimiento de las obligaciones emanadas del presente contrato </w:t>
      </w:r>
      <w:r w:rsidRPr="007C7D73">
        <w:rPr>
          <w:rFonts w:ascii="Bookman Old Style" w:hAnsi="Bookman Old Style" w:cs="Calibri"/>
          <w:b w:val="0"/>
          <w:bCs/>
          <w:sz w:val="21"/>
          <w:szCs w:val="21"/>
        </w:rPr>
        <w:t>“E</w:t>
      </w:r>
      <w:r w:rsidR="00E342FB" w:rsidRPr="007C7D73">
        <w:rPr>
          <w:rFonts w:ascii="Bookman Old Style" w:hAnsi="Bookman Old Style" w:cs="Calibri"/>
          <w:b w:val="0"/>
          <w:bCs/>
          <w:sz w:val="21"/>
          <w:szCs w:val="21"/>
        </w:rPr>
        <w:fldChar w:fldCharType="begin"/>
      </w:r>
      <w:r w:rsidRPr="007C7D73">
        <w:rPr>
          <w:rFonts w:ascii="Bookman Old Style" w:hAnsi="Bookman Old Style" w:cs="Calibri"/>
          <w:b w:val="0"/>
          <w:bCs/>
          <w:sz w:val="21"/>
          <w:szCs w:val="21"/>
        </w:rPr>
        <w:instrText xml:space="preserve"> MERGEFIELD "Forma_como_se_denominara_el_Proveedor" </w:instrText>
      </w:r>
      <w:r w:rsidR="00E342FB" w:rsidRPr="007C7D73">
        <w:rPr>
          <w:rFonts w:ascii="Bookman Old Style" w:hAnsi="Bookman Old Style" w:cs="Calibri"/>
          <w:b w:val="0"/>
          <w:bCs/>
          <w:sz w:val="21"/>
          <w:szCs w:val="21"/>
        </w:rPr>
        <w:fldChar w:fldCharType="separate"/>
      </w:r>
      <w:r w:rsidRPr="007C7D73">
        <w:rPr>
          <w:rFonts w:ascii="Bookman Old Style" w:hAnsi="Bookman Old Style" w:cs="Calibri"/>
          <w:b w:val="0"/>
          <w:bCs/>
          <w:sz w:val="21"/>
          <w:szCs w:val="21"/>
        </w:rPr>
        <w:t>L CONTRATISTA</w:t>
      </w:r>
      <w:r w:rsidR="00E342FB" w:rsidRPr="007C7D73">
        <w:rPr>
          <w:rFonts w:ascii="Bookman Old Style" w:hAnsi="Bookman Old Style" w:cs="Calibri"/>
          <w:b w:val="0"/>
          <w:bCs/>
          <w:sz w:val="21"/>
          <w:szCs w:val="21"/>
        </w:rPr>
        <w:fldChar w:fldCharType="end"/>
      </w:r>
      <w:r w:rsidRPr="007C7D73">
        <w:rPr>
          <w:rFonts w:ascii="Bookman Old Style" w:hAnsi="Bookman Old Style" w:cs="Calibri"/>
          <w:b w:val="0"/>
          <w:bCs/>
          <w:sz w:val="21"/>
          <w:szCs w:val="21"/>
        </w:rPr>
        <w:t xml:space="preserve">” </w:t>
      </w:r>
      <w:r w:rsidRPr="007C7D73">
        <w:rPr>
          <w:rFonts w:ascii="Bookman Old Style" w:hAnsi="Bookman Old Style" w:cs="Calibri"/>
          <w:b w:val="0"/>
          <w:sz w:val="21"/>
          <w:szCs w:val="21"/>
        </w:rPr>
        <w:t xml:space="preserve">se obliga a presentar a </w:t>
      </w:r>
      <w:r w:rsidRPr="007C7D73">
        <w:rPr>
          <w:rFonts w:ascii="Bookman Old Style" w:hAnsi="Bookman Old Style" w:cs="Calibri"/>
          <w:b w:val="0"/>
          <w:bCs/>
          <w:sz w:val="21"/>
          <w:szCs w:val="21"/>
        </w:rPr>
        <w:t>EL MAG</w:t>
      </w:r>
      <w:r w:rsidRPr="007C7D73">
        <w:rPr>
          <w:rFonts w:ascii="Bookman Old Style" w:hAnsi="Bookman Old Style" w:cs="Calibri"/>
          <w:b w:val="0"/>
          <w:sz w:val="21"/>
          <w:szCs w:val="21"/>
        </w:rPr>
        <w:t xml:space="preserve"> las siguientes garantías: </w:t>
      </w:r>
      <w:r w:rsidRPr="007C7D73">
        <w:rPr>
          <w:rFonts w:ascii="Bookman Old Style" w:hAnsi="Bookman Old Style" w:cs="Calibri"/>
          <w:sz w:val="21"/>
          <w:szCs w:val="21"/>
        </w:rPr>
        <w:t>a)</w:t>
      </w:r>
      <w:r w:rsidRPr="007C7D73">
        <w:rPr>
          <w:rFonts w:ascii="Bookman Old Style" w:hAnsi="Bookman Old Style"/>
          <w:sz w:val="21"/>
          <w:szCs w:val="21"/>
          <w:lang w:val="es-ES"/>
        </w:rPr>
        <w:t>Garantía de Cumplimiento</w:t>
      </w:r>
      <w:r>
        <w:rPr>
          <w:rFonts w:ascii="Bookman Old Style" w:hAnsi="Bookman Old Style"/>
          <w:sz w:val="21"/>
          <w:szCs w:val="21"/>
          <w:lang w:val="es-ES"/>
        </w:rPr>
        <w:t xml:space="preserve"> </w:t>
      </w:r>
      <w:r w:rsidRPr="007C7D73">
        <w:rPr>
          <w:rFonts w:ascii="Bookman Old Style" w:hAnsi="Bookman Old Style"/>
          <w:sz w:val="21"/>
          <w:szCs w:val="21"/>
          <w:lang w:val="es-ES"/>
        </w:rPr>
        <w:t xml:space="preserve">de Contrato </w:t>
      </w:r>
      <w:r w:rsidRPr="007C7D73">
        <w:rPr>
          <w:rFonts w:ascii="Bookman Old Style" w:hAnsi="Bookman Old Style" w:cs="Calibri"/>
          <w:b w:val="0"/>
          <w:sz w:val="21"/>
          <w:szCs w:val="21"/>
        </w:rPr>
        <w:t>en un plazo no mayor de ocho días calendario, contados a partir de la fecha en que EL CONTRATISTA reciba copia del contrato debidamente legalizado, una garantía de cumplimiento de contrato por un monto de</w:t>
      </w:r>
      <w:r w:rsidRPr="007C7D73">
        <w:rPr>
          <w:rFonts w:ascii="Bookman Old Style" w:hAnsi="Bookman Old Style"/>
          <w:sz w:val="21"/>
          <w:szCs w:val="21"/>
          <w:lang w:val="es-ES"/>
        </w:rPr>
        <w:t xml:space="preserve"> VEINTEMIL NOVECIENTOS OCHENTA Y DOS DÓLARES CON VEINTICUATRO CENTAVOS DE DÓLAR DE LOS ESTADOS UNIDOS DE AMÉRICA (US$20,982.24),</w:t>
      </w:r>
      <w:r w:rsidRPr="007C7D73">
        <w:rPr>
          <w:rFonts w:ascii="Bookman Old Style" w:hAnsi="Bookman Old Style"/>
          <w:b w:val="0"/>
          <w:sz w:val="21"/>
          <w:szCs w:val="21"/>
          <w:lang w:val="es-ES"/>
        </w:rPr>
        <w:t xml:space="preserve"> equivalente al veinte por ciento (20%) del monto del contrato. Dicha garantía deberá tener una de vigencia de </w:t>
      </w:r>
      <w:r w:rsidRPr="007C7D73">
        <w:rPr>
          <w:rFonts w:ascii="Bookman Old Style" w:hAnsi="Bookman Old Style"/>
          <w:b w:val="0"/>
          <w:sz w:val="21"/>
          <w:szCs w:val="21"/>
          <w:u w:val="single"/>
          <w:lang w:val="es-ES"/>
        </w:rPr>
        <w:t>doscientos cuarenta días calendario</w:t>
      </w:r>
      <w:r w:rsidRPr="007C7D73">
        <w:rPr>
          <w:rFonts w:ascii="Bookman Old Style" w:hAnsi="Bookman Old Style"/>
          <w:b w:val="0"/>
          <w:sz w:val="21"/>
          <w:szCs w:val="21"/>
          <w:lang w:val="es-ES"/>
        </w:rPr>
        <w:t xml:space="preserve">, contados a partir de la fecha de suscripción del presente contrato, de conformidad con lo establecido en las bases de licitación. </w:t>
      </w:r>
      <w:r w:rsidRPr="007C7D73">
        <w:rPr>
          <w:rFonts w:ascii="Bookman Old Style" w:hAnsi="Bookman Old Style" w:cs="Calibri"/>
          <w:b w:val="0"/>
          <w:sz w:val="21"/>
          <w:szCs w:val="21"/>
        </w:rPr>
        <w:t>Si no se presentare tal garantía en el plazo establecido se tendrá por caducado el presente contrato y se entenderá que “E</w:t>
      </w:r>
      <w:r w:rsidR="00E342FB" w:rsidRPr="007C7D73">
        <w:rPr>
          <w:rFonts w:ascii="Bookman Old Style" w:hAnsi="Bookman Old Style" w:cs="Calibri"/>
          <w:b w:val="0"/>
          <w:sz w:val="21"/>
          <w:szCs w:val="21"/>
        </w:rPr>
        <w:fldChar w:fldCharType="begin"/>
      </w:r>
      <w:r w:rsidRPr="007C7D73">
        <w:rPr>
          <w:rFonts w:ascii="Bookman Old Style" w:hAnsi="Bookman Old Style" w:cs="Calibri"/>
          <w:b w:val="0"/>
          <w:sz w:val="21"/>
          <w:szCs w:val="21"/>
        </w:rPr>
        <w:instrText xml:space="preserve"> MERGEFIELD "Forma_como_se_denominara_el_Proveedor" </w:instrText>
      </w:r>
      <w:r w:rsidR="00E342FB" w:rsidRPr="007C7D73">
        <w:rPr>
          <w:rFonts w:ascii="Bookman Old Style" w:hAnsi="Bookman Old Style" w:cs="Calibri"/>
          <w:b w:val="0"/>
          <w:sz w:val="21"/>
          <w:szCs w:val="21"/>
        </w:rPr>
        <w:fldChar w:fldCharType="separate"/>
      </w:r>
      <w:r w:rsidRPr="007C7D73">
        <w:rPr>
          <w:rFonts w:ascii="Bookman Old Style" w:hAnsi="Bookman Old Style" w:cs="Calibri"/>
          <w:b w:val="0"/>
          <w:sz w:val="21"/>
          <w:szCs w:val="21"/>
        </w:rPr>
        <w:t>L CONTRATISTA</w:t>
      </w:r>
      <w:r w:rsidR="00E342FB" w:rsidRPr="007C7D73">
        <w:rPr>
          <w:rFonts w:ascii="Bookman Old Style" w:hAnsi="Bookman Old Style" w:cs="Calibri"/>
          <w:b w:val="0"/>
          <w:sz w:val="21"/>
          <w:szCs w:val="21"/>
        </w:rPr>
        <w:fldChar w:fldCharType="end"/>
      </w:r>
      <w:r w:rsidRPr="007C7D73">
        <w:rPr>
          <w:rFonts w:ascii="Bookman Old Style" w:hAnsi="Bookman Old Style" w:cs="Calibri"/>
          <w:b w:val="0"/>
          <w:sz w:val="21"/>
          <w:szCs w:val="21"/>
        </w:rPr>
        <w:t>” ha desistido de su oferta, sin detrimento de la acción que le compete a EL MAG, para reclamar los daños y perjuicios resultantes;</w:t>
      </w:r>
      <w:r>
        <w:rPr>
          <w:rFonts w:ascii="Bookman Old Style" w:hAnsi="Bookman Old Style" w:cs="Calibri"/>
          <w:b w:val="0"/>
          <w:sz w:val="21"/>
          <w:szCs w:val="21"/>
        </w:rPr>
        <w:t xml:space="preserve"> </w:t>
      </w:r>
      <w:r w:rsidRPr="007C7D73">
        <w:rPr>
          <w:rFonts w:ascii="Bookman Old Style" w:hAnsi="Bookman Old Style" w:cs="Calibri"/>
          <w:sz w:val="21"/>
          <w:szCs w:val="21"/>
        </w:rPr>
        <w:t>b) Garantía de Buena Inversión de Anticipo</w:t>
      </w:r>
      <w:r w:rsidRPr="007C7D73">
        <w:rPr>
          <w:rFonts w:ascii="Bookman Old Style" w:hAnsi="Bookman Old Style"/>
          <w:sz w:val="21"/>
          <w:szCs w:val="21"/>
        </w:rPr>
        <w:t xml:space="preserve">. </w:t>
      </w:r>
      <w:r w:rsidRPr="007C7D73">
        <w:rPr>
          <w:rFonts w:ascii="Bookman Old Style" w:hAnsi="Bookman Old Style"/>
          <w:b w:val="0"/>
          <w:sz w:val="21"/>
          <w:szCs w:val="21"/>
          <w:lang w:val="es-ES"/>
        </w:rPr>
        <w:t xml:space="preserve">Para garantizar la buena inversión del anticipo, “El Contratista ” deberá presentar a satisfacción de “El Contratante” una Garantía emitida por un Banco o Compañía Afianzadora debidamente autorizados por la Superintendencia del Sistema Financiero de El Salvador, por un valor de </w:t>
      </w:r>
      <w:r w:rsidRPr="007C7D73">
        <w:rPr>
          <w:rFonts w:ascii="Bookman Old Style" w:hAnsi="Bookman Old Style"/>
          <w:sz w:val="21"/>
          <w:szCs w:val="21"/>
          <w:lang w:val="es-ES"/>
        </w:rPr>
        <w:t>TREINTA Y UN MIL CUATROCIENTOS SETENTA Y TRES DÓLARES CON TREINTA Y SEIS CENTAVOS DE DÓLAR DE LOS ESTADOS UNIDOS DE AMÉRICA(US$31,473.36)</w:t>
      </w:r>
      <w:r w:rsidRPr="007C7D73">
        <w:rPr>
          <w:rFonts w:ascii="Bookman Old Style" w:hAnsi="Bookman Old Style"/>
          <w:b w:val="0"/>
          <w:sz w:val="21"/>
          <w:szCs w:val="21"/>
          <w:lang w:val="es-ES"/>
        </w:rPr>
        <w:t>,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la cual deberá tener una vigencia d</w:t>
      </w:r>
      <w:r w:rsidRPr="007C7D73">
        <w:rPr>
          <w:rFonts w:ascii="Bookman Old Style" w:hAnsi="Bookman Old Style" w:cs="Calibri"/>
          <w:b w:val="0"/>
          <w:sz w:val="21"/>
          <w:szCs w:val="21"/>
        </w:rPr>
        <w:t>e</w:t>
      </w:r>
      <w:r>
        <w:rPr>
          <w:rFonts w:ascii="Bookman Old Style" w:hAnsi="Bookman Old Style" w:cs="Calibri"/>
          <w:b w:val="0"/>
          <w:sz w:val="21"/>
          <w:szCs w:val="21"/>
        </w:rPr>
        <w:t xml:space="preserve"> </w:t>
      </w:r>
      <w:r w:rsidRPr="007C7D73">
        <w:rPr>
          <w:rFonts w:ascii="Bookman Old Style" w:hAnsi="Bookman Old Style"/>
          <w:b w:val="0"/>
          <w:sz w:val="21"/>
          <w:szCs w:val="21"/>
          <w:u w:val="single"/>
          <w:lang w:val="es-ES"/>
        </w:rPr>
        <w:t>doscientos cuarenta días calendario</w:t>
      </w:r>
      <w:r w:rsidRPr="007C7D73">
        <w:rPr>
          <w:rFonts w:ascii="Bookman Old Style" w:hAnsi="Bookman Old Style"/>
          <w:b w:val="0"/>
          <w:sz w:val="21"/>
          <w:szCs w:val="21"/>
          <w:lang w:val="es-ES"/>
        </w:rPr>
        <w:t>, contados a partir de la fecha de suscripción del presente contrato,</w:t>
      </w:r>
      <w:r>
        <w:rPr>
          <w:rFonts w:ascii="Bookman Old Style" w:hAnsi="Bookman Old Style"/>
          <w:b w:val="0"/>
          <w:sz w:val="21"/>
          <w:szCs w:val="21"/>
          <w:lang w:val="es-ES"/>
        </w:rPr>
        <w:t xml:space="preserve"> </w:t>
      </w:r>
      <w:r w:rsidRPr="007C7D73">
        <w:rPr>
          <w:rFonts w:ascii="Bookman Old Style" w:hAnsi="Bookman Old Style"/>
          <w:b w:val="0"/>
          <w:sz w:val="21"/>
          <w:szCs w:val="21"/>
          <w:lang w:val="es-ES"/>
        </w:rPr>
        <w:t xml:space="preserve">siempre y cuando “EL CONTRATISTA” haya solicitado el respectivo anticipo. Garantía que deber ser presentada en un plazo no mayor de diez días hábiles posteriores a la fecha de orden </w:t>
      </w:r>
      <w:r w:rsidRPr="007C7D73">
        <w:rPr>
          <w:rFonts w:ascii="Bookman Old Style" w:hAnsi="Bookman Old Style"/>
          <w:b w:val="0"/>
          <w:sz w:val="21"/>
          <w:szCs w:val="21"/>
          <w:lang w:val="es-ES"/>
        </w:rPr>
        <w:lastRenderedPageBreak/>
        <w:t xml:space="preserve">de pedido y de la entrega de la copia del contrato debidamente legalizado, para efectos de otorgar el anticipo, El contratista deberá presentar un plan de utilización del anticipo, el cual deberá detallar el uso del mismo, indicando fechas y destino del monto a otorgarse, el anticipo será a precio fijo, de tal manera que si hubiere un ajuste de precios, el anticipo siempre se mantendrá fijo. El contratista deberá contar con una cuenta exclusiva para los gastos financiados con el contrato a suscribirse; y </w:t>
      </w:r>
      <w:r w:rsidRPr="007C7D73">
        <w:rPr>
          <w:rFonts w:ascii="Bookman Old Style" w:hAnsi="Bookman Old Style"/>
          <w:sz w:val="21"/>
          <w:szCs w:val="21"/>
          <w:lang w:val="es-ES"/>
        </w:rPr>
        <w:t>c)</w:t>
      </w:r>
      <w:r w:rsidRPr="007C7D73">
        <w:rPr>
          <w:rFonts w:ascii="Bookman Old Style" w:hAnsi="Bookman Old Style" w:cs="Calibri"/>
          <w:sz w:val="21"/>
          <w:szCs w:val="21"/>
        </w:rPr>
        <w:t>Garantía de Buena Calidad de Bienes.</w:t>
      </w:r>
      <w:r w:rsidRPr="007C7D73">
        <w:rPr>
          <w:rFonts w:ascii="Bookman Old Style" w:hAnsi="Bookman Old Style"/>
          <w:b w:val="0"/>
          <w:sz w:val="21"/>
          <w:szCs w:val="21"/>
          <w:lang w:val="es-ES"/>
        </w:rPr>
        <w:t>De conformidad a los artículos 31 y 37 BIS de la LACAP Para asegurar que EL CONTRATISTA responderá por la buena calidad de los bienes que le sean imputables durante el periodo que se establezca en el contrato, garantía que deberá presentarse por un valor equivalente al DIEZ (10%) por ciento del monto final del contrato, a fin de garantizar la buena calidad del suministro entregado; dicha garantía, deberá ser presentada en la OACI del MAG diez días calendario posteriores a la recepción final de los bienes ó servicios y deberá tener una vigencia de UN AÑO, contado a partir de la fecha del acta de recepción definitiva de los bienes ó servicios. Las garantías antes relacionadas deberán ser emitidas a favor del Gobierno y República de El Salvador en el Ramo de Agricultura y Ganadería. Si durante el período de vigencia de esta garantía, se llegase a presentar algún problema relacionado con la buena calidad del suministro contratado, imputable al Contratista, éste queda obligado a responder por cualquier falla o desperfecto, sin importar cuál sea el origen de estas, excluyendo de esta la responsabilidad  únicamente aquellos vinculados a mal manejo u operación inadecuada. Esta garantía se hará efectiva, siempre que la unidad requirente, a través del Administrador de Contrato, reporte por escrito su inconformidad con el suministro contratado y recibido, dentro de los criterios o parámetros mencionados anteriormente, debiendo el Contratista por su parte, dar respuesta a dichos reclamos en un período no mayor de CINCO (5) días hábiles. En caso de incumplimiento por parte del Contratista, de no subsanar los desperfectos del bien reclamados por El MAG, se hará efectiva esta garantía</w:t>
      </w:r>
      <w:r w:rsidRPr="007C7D73">
        <w:rPr>
          <w:rFonts w:ascii="Bookman Old Style" w:hAnsi="Bookman Old Style" w:cs="Calibri"/>
          <w:b w:val="0"/>
          <w:color w:val="0000FF"/>
          <w:sz w:val="21"/>
          <w:szCs w:val="21"/>
        </w:rPr>
        <w:t>.</w:t>
      </w:r>
      <w:r w:rsidRPr="007C7D73">
        <w:rPr>
          <w:rFonts w:ascii="Bookman Old Style" w:hAnsi="Bookman Old Style"/>
          <w:sz w:val="21"/>
          <w:szCs w:val="21"/>
          <w:lang w:val="es-ES"/>
        </w:rPr>
        <w:t xml:space="preserve">IX.- INCUMPLIMIENTO. </w:t>
      </w:r>
      <w:r w:rsidRPr="007C7D73">
        <w:rPr>
          <w:rFonts w:ascii="Bookman Old Style" w:hAnsi="Bookman Old Style"/>
          <w:b w:val="0"/>
          <w:sz w:val="21"/>
          <w:szCs w:val="21"/>
          <w:lang w:val="es-ES"/>
        </w:rPr>
        <w:t xml:space="preserve">En caso de mora de “EL CONTRATISTA” en el cumplimiento de las obligaciones emanadas del presente contrato se le aplicarán las multas establecidas en el artículo ochenta y cinco de la Ley de Adquisiciones y Contrataciones de la Administración Pública. </w:t>
      </w:r>
      <w:r w:rsidRPr="007C7D73">
        <w:rPr>
          <w:rFonts w:ascii="Bookman Old Style" w:hAnsi="Bookman Old Style"/>
          <w:sz w:val="21"/>
          <w:szCs w:val="21"/>
          <w:lang w:val="es-ES"/>
        </w:rPr>
        <w:t>X.- CADUCIDAD.</w:t>
      </w:r>
      <w:r w:rsidRPr="007C7D73">
        <w:rPr>
          <w:rFonts w:ascii="Bookman Old Style" w:hAnsi="Bookman Old Style"/>
          <w:b w:val="0"/>
          <w:sz w:val="21"/>
          <w:szCs w:val="21"/>
          <w:lang w:val="es-ES"/>
        </w:rPr>
        <w:t xml:space="preserve"> Serán causales de caducidad las establecidas en los literales a) y b) del artículo noventa y cuatro de la Ley de Adquisiciones y Contrataciones de la Administración Pública. </w:t>
      </w:r>
      <w:r w:rsidRPr="007C7D73">
        <w:rPr>
          <w:rFonts w:ascii="Bookman Old Style" w:hAnsi="Bookman Old Style"/>
          <w:sz w:val="21"/>
          <w:szCs w:val="21"/>
          <w:lang w:val="es-ES"/>
        </w:rPr>
        <w:t>XI.- PLAZO DE RECLAMOS.</w:t>
      </w:r>
      <w:r w:rsidRPr="007C7D73">
        <w:rPr>
          <w:rFonts w:ascii="Bookman Old Style" w:hAnsi="Bookman Old Style"/>
          <w:b w:val="0"/>
          <w:sz w:val="21"/>
          <w:szCs w:val="21"/>
          <w:lang w:val="es-ES"/>
        </w:rPr>
        <w:t xml:space="preserve"> A partir de la recepción formal de los bienes objeto de este contrato, EL MAG tendrá un plazo de diez días hábiles para efectuar cualquier reclamo relacionado con el suministro. “EL CONTRATISTA” deberá reponer o cumplir a </w:t>
      </w:r>
      <w:r w:rsidRPr="007C7D73">
        <w:rPr>
          <w:rFonts w:ascii="Bookman Old Style" w:hAnsi="Bookman Old Style"/>
          <w:b w:val="0"/>
          <w:sz w:val="21"/>
          <w:szCs w:val="21"/>
          <w:lang w:val="es-ES"/>
        </w:rPr>
        <w:lastRenderedPageBreak/>
        <w:t xml:space="preserve">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7C7D73">
        <w:rPr>
          <w:rFonts w:ascii="Bookman Old Style" w:hAnsi="Bookman Old Style" w:cs="Arial"/>
          <w:bCs/>
          <w:sz w:val="21"/>
          <w:szCs w:val="21"/>
        </w:rPr>
        <w:t>XII.</w:t>
      </w:r>
      <w:r w:rsidRPr="007C7D73">
        <w:rPr>
          <w:rFonts w:ascii="Bookman Old Style" w:hAnsi="Bookman Old Style" w:cs="Arial"/>
          <w:b w:val="0"/>
          <w:bCs/>
          <w:sz w:val="21"/>
          <w:szCs w:val="21"/>
        </w:rPr>
        <w:t>-</w:t>
      </w:r>
      <w:r w:rsidRPr="007C7D73">
        <w:rPr>
          <w:rFonts w:ascii="Bookman Old Style" w:hAnsi="Bookman Old Style"/>
          <w:sz w:val="21"/>
          <w:szCs w:val="21"/>
          <w:lang w:val="es-ES"/>
        </w:rPr>
        <w:t>MODIFICACIONES, PRORROGAS Y PROHIBICIONES EN EL CONTRATO.</w:t>
      </w:r>
      <w:r w:rsidRPr="007C7D73">
        <w:rPr>
          <w:rFonts w:ascii="Bookman Old Style" w:hAnsi="Bookman Old Style"/>
          <w:b w:val="0"/>
          <w:sz w:val="21"/>
          <w:szCs w:val="21"/>
          <w:lang w:val="es-ES"/>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7C7D73">
        <w:rPr>
          <w:rFonts w:ascii="Bookman Old Style" w:hAnsi="Bookman Old Style" w:cs="Arial"/>
          <w:b w:val="0"/>
          <w:bCs/>
          <w:sz w:val="21"/>
          <w:szCs w:val="21"/>
        </w:rPr>
        <w:t>;</w:t>
      </w:r>
      <w:r w:rsidRPr="007C7D73">
        <w:rPr>
          <w:rFonts w:ascii="Bookman Old Style" w:hAnsi="Bookman Old Style"/>
          <w:sz w:val="21"/>
          <w:szCs w:val="21"/>
          <w:lang w:val="es-ES"/>
        </w:rPr>
        <w:t>XIII.- DOCUMENTOS CONTRACTUALES</w:t>
      </w:r>
      <w:r w:rsidRPr="007C7D73">
        <w:rPr>
          <w:rFonts w:ascii="Bookman Old Style" w:hAnsi="Bookman Old Style"/>
          <w:b w:val="0"/>
          <w:sz w:val="21"/>
          <w:szCs w:val="21"/>
          <w:lang w:val="es-ES"/>
        </w:rPr>
        <w:t xml:space="preserve">. Forman parte integrante del presente contrato los siguientes documentos: a. bases del proceso de licitación pública nacional; b. Adendas números uno y dos, c. Oferta de EL CONTRATISTA de fecha nueve de octubre de dos mil quince; d. Resolución de adjudicación; e. Garantías; g. Resolución modificativa; y otros documentos que emanaren del presente contrato. Los cuales son complementarios entre si y se interpretaran en forma conjunta. </w:t>
      </w:r>
      <w:r w:rsidRPr="007C7D73">
        <w:rPr>
          <w:rFonts w:ascii="Bookman Old Style" w:hAnsi="Bookman Old Style" w:cs="Palatino Linotype"/>
          <w:bCs/>
          <w:sz w:val="21"/>
          <w:szCs w:val="21"/>
        </w:rPr>
        <w:t>XIV.- INTERPRETACIÓN DEL CONTRATO</w:t>
      </w:r>
      <w:r w:rsidRPr="007C7D73">
        <w:rPr>
          <w:rFonts w:ascii="Bookman Old Style" w:hAnsi="Bookman Old Style" w:cs="Palatino Linotype"/>
          <w:sz w:val="21"/>
          <w:szCs w:val="21"/>
        </w:rPr>
        <w:t>.</w:t>
      </w:r>
      <w:r w:rsidRPr="007C7D73">
        <w:rPr>
          <w:rFonts w:ascii="Bookman Old Style" w:hAnsi="Bookman Old Style" w:cs="Palatino Linotype"/>
          <w:b w:val="0"/>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w:t>
      </w:r>
      <w:r w:rsidRPr="007C7D73">
        <w:rPr>
          <w:rFonts w:ascii="Bookman Old Style" w:hAnsi="Bookman Old Style" w:cs="Palatino Linotype"/>
          <w:b w:val="0"/>
          <w:sz w:val="21"/>
          <w:szCs w:val="21"/>
        </w:rPr>
        <w:lastRenderedPageBreak/>
        <w:t>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E342FB" w:rsidRPr="007C7D73">
        <w:rPr>
          <w:rFonts w:ascii="Bookman Old Style" w:hAnsi="Bookman Old Style" w:cs="Palatino Linotype"/>
          <w:b w:val="0"/>
          <w:sz w:val="21"/>
          <w:szCs w:val="21"/>
        </w:rPr>
        <w:fldChar w:fldCharType="begin"/>
      </w:r>
      <w:r w:rsidRPr="007C7D73">
        <w:rPr>
          <w:rFonts w:ascii="Bookman Old Style" w:hAnsi="Bookman Old Style" w:cs="Palatino Linotype"/>
          <w:b w:val="0"/>
          <w:sz w:val="21"/>
          <w:szCs w:val="21"/>
        </w:rPr>
        <w:instrText xml:space="preserve"> MERGEFIELD "Forma_como_se_denominara_el_Proveedor" </w:instrText>
      </w:r>
      <w:r w:rsidR="00E342FB" w:rsidRPr="007C7D73">
        <w:rPr>
          <w:rFonts w:ascii="Bookman Old Style" w:hAnsi="Bookman Old Style" w:cs="Palatino Linotype"/>
          <w:b w:val="0"/>
          <w:sz w:val="21"/>
          <w:szCs w:val="21"/>
        </w:rPr>
        <w:fldChar w:fldCharType="separate"/>
      </w:r>
      <w:r w:rsidRPr="007C7D73">
        <w:rPr>
          <w:rFonts w:ascii="Bookman Old Style" w:hAnsi="Bookman Old Style" w:cs="Palatino Linotype"/>
          <w:b w:val="0"/>
          <w:noProof/>
          <w:sz w:val="21"/>
          <w:szCs w:val="21"/>
        </w:rPr>
        <w:t>LA CONTRATISTA</w:t>
      </w:r>
      <w:r w:rsidR="00E342FB" w:rsidRPr="007C7D73">
        <w:rPr>
          <w:rFonts w:ascii="Bookman Old Style" w:hAnsi="Bookman Old Style" w:cs="Palatino Linotype"/>
          <w:b w:val="0"/>
          <w:sz w:val="21"/>
          <w:szCs w:val="21"/>
        </w:rPr>
        <w:fldChar w:fldCharType="end"/>
      </w:r>
      <w:r w:rsidRPr="007C7D73">
        <w:rPr>
          <w:rFonts w:ascii="Bookman Old Style" w:hAnsi="Bookman Old Style" w:cs="Palatino Linotype"/>
          <w:b w:val="0"/>
          <w:sz w:val="21"/>
          <w:szCs w:val="21"/>
        </w:rPr>
        <w:t xml:space="preserve">” expresamente acepta tal disposición y se obliga a dar estricto cumplimiento a las instrucciones que al respecto dicte EL MAG, las cuales le serán comunicadas por medio de los administradores del contrato. </w:t>
      </w:r>
      <w:r w:rsidRPr="007C7D73">
        <w:rPr>
          <w:rFonts w:ascii="Bookman Old Style" w:hAnsi="Bookman Old Style" w:cs="Tahoma"/>
          <w:sz w:val="21"/>
          <w:szCs w:val="21"/>
        </w:rPr>
        <w:t>XV. FUERZA MAYOR O CASO FORTUITO.</w:t>
      </w:r>
      <w:r w:rsidRPr="007C7D73">
        <w:rPr>
          <w:rFonts w:ascii="Bookman Old Style" w:hAnsi="Bookman Old Style" w:cs="Tahoma"/>
          <w:b w:val="0"/>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C7D73">
        <w:rPr>
          <w:rFonts w:ascii="Bookman Old Style" w:hAnsi="Bookman Old Style" w:cs="Tahoma"/>
          <w:sz w:val="21"/>
          <w:szCs w:val="21"/>
        </w:rPr>
        <w:t>XVI. SOLUCIÓN DE CONFLICTOS.</w:t>
      </w:r>
      <w:r w:rsidRPr="007C7D73">
        <w:rPr>
          <w:rFonts w:ascii="Bookman Old Style" w:hAnsi="Bookman Old Style" w:cs="Tahoma"/>
          <w:b w:val="0"/>
          <w:sz w:val="21"/>
          <w:szCs w:val="21"/>
        </w:rPr>
        <w:t xml:space="preserve"> Para resolver las diferencias o conflictos que surgieren durante la ejecución del contrato, se acudirá a los tribunales comunes. </w:t>
      </w:r>
      <w:r w:rsidRPr="007C7D73">
        <w:rPr>
          <w:rFonts w:ascii="Bookman Old Style" w:hAnsi="Bookman Old Style" w:cs="Tahoma"/>
          <w:sz w:val="21"/>
          <w:szCs w:val="21"/>
        </w:rPr>
        <w:t>XVII. TERMINACIÓN BILATERAL.</w:t>
      </w:r>
      <w:r w:rsidRPr="007C7D73">
        <w:rPr>
          <w:rFonts w:ascii="Bookman Old Style" w:hAnsi="Bookman Old Style" w:cs="Tahoma"/>
          <w:b w:val="0"/>
          <w:sz w:val="21"/>
          <w:szCs w:val="21"/>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C7D73">
        <w:rPr>
          <w:rFonts w:ascii="Bookman Old Style" w:hAnsi="Bookman Old Style" w:cs="Tahoma"/>
          <w:sz w:val="21"/>
          <w:szCs w:val="21"/>
        </w:rPr>
        <w:t>XVIII. DOMICILIO ESPECIAL.</w:t>
      </w:r>
      <w:r w:rsidRPr="007C7D73">
        <w:rPr>
          <w:rFonts w:ascii="Bookman Old Style" w:hAnsi="Bookman Old Style" w:cs="Tahoma"/>
          <w:b w:val="0"/>
          <w:sz w:val="21"/>
          <w:szCs w:val="21"/>
        </w:rPr>
        <w:t xml:space="preserve"> Para los efectos jurisdiccionales de este contrato las partes señalan como domicilio especial la ciudad de Santa Tecla, departamento de La Libertad, a la competencia de cuyos tribunales se someten. </w:t>
      </w:r>
      <w:r w:rsidRPr="007C7D73">
        <w:rPr>
          <w:rFonts w:ascii="Bookman Old Style" w:hAnsi="Bookman Old Style" w:cs="Tahoma"/>
          <w:sz w:val="21"/>
          <w:szCs w:val="21"/>
        </w:rPr>
        <w:t xml:space="preserve">XIX. </w:t>
      </w:r>
      <w:r w:rsidRPr="007C7D73">
        <w:rPr>
          <w:rFonts w:ascii="Bookman Old Style" w:hAnsi="Bookman Old Style" w:cs="Arial"/>
          <w:sz w:val="21"/>
          <w:szCs w:val="21"/>
        </w:rPr>
        <w:t>CUMPLIMIENTO POR PARTE DE LA CONTRATISTA CON LA NORMATIVA QUE PROHÍBE EL TRABAJO INFANTIL Y PROTECCIÓN DE LA PERSONA ADOLESCENTE TRABAJADORA.</w:t>
      </w:r>
      <w:r w:rsidRPr="007C7D73">
        <w:rPr>
          <w:rFonts w:ascii="Bookman Old Style" w:hAnsi="Bookman Old Style" w:cs="Arial"/>
          <w:b w:val="0"/>
          <w:sz w:val="21"/>
          <w:szCs w:val="21"/>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7C7D73">
        <w:rPr>
          <w:rFonts w:ascii="Bookman Old Style" w:hAnsi="Bookman Old Style" w:cs="Arial"/>
          <w:b w:val="0"/>
          <w:sz w:val="21"/>
          <w:szCs w:val="21"/>
          <w:lang w:val="es-SV"/>
        </w:rPr>
        <w:lastRenderedPageBreak/>
        <w:t>determina que hubo subsanación por haber cometido una infracción, o por el contrario se remitiere a procedimiento sancionatorio, y en éste último caso deberá finalizar el procedimiento para conocer la resolución final.</w:t>
      </w:r>
      <w:r w:rsidRPr="007C7D73">
        <w:rPr>
          <w:rFonts w:ascii="Bookman Old Style" w:hAnsi="Bookman Old Style" w:cs="Palatino Linotype"/>
          <w:bCs/>
          <w:sz w:val="21"/>
          <w:szCs w:val="21"/>
        </w:rPr>
        <w:t>XX.- NOTIFICACIONES</w:t>
      </w:r>
      <w:r w:rsidRPr="007C7D73">
        <w:rPr>
          <w:rFonts w:ascii="Bookman Old Style" w:hAnsi="Bookman Old Style" w:cs="Palatino Linotype"/>
          <w:sz w:val="21"/>
          <w:szCs w:val="21"/>
        </w:rPr>
        <w:t>.</w:t>
      </w:r>
      <w:r w:rsidRPr="007C7D73">
        <w:rPr>
          <w:rFonts w:ascii="Bookman Old Style" w:hAnsi="Bookman Old Style" w:cs="Palatino Linotype"/>
          <w:b w:val="0"/>
          <w:sz w:val="21"/>
          <w:szCs w:val="21"/>
        </w:rPr>
        <w:t xml:space="preserve"> Todas las notificaciones referentes a la ejecución de este contrato, serán válidas solamente cuando sean hechas por escrito a </w:t>
      </w:r>
      <w:r w:rsidRPr="007C7D73">
        <w:rPr>
          <w:rFonts w:ascii="Bookman Old Style" w:hAnsi="Bookman Old Style" w:cs="Palatino Linotype"/>
          <w:b w:val="0"/>
          <w:bCs/>
          <w:sz w:val="21"/>
          <w:szCs w:val="21"/>
        </w:rPr>
        <w:t>EL MAG</w:t>
      </w:r>
      <w:r w:rsidRPr="007C7D73">
        <w:rPr>
          <w:rFonts w:ascii="Bookman Old Style" w:hAnsi="Bookman Old Style" w:cs="Palatino Linotype"/>
          <w:b w:val="0"/>
          <w:sz w:val="21"/>
          <w:szCs w:val="21"/>
        </w:rPr>
        <w:t xml:space="preserve"> a través del administrador del contrato, </w:t>
      </w:r>
      <w:r w:rsidRPr="007C7D73">
        <w:rPr>
          <w:rFonts w:ascii="Bookman Old Style" w:hAnsi="Bookman Old Style" w:cs="Calibri"/>
          <w:b w:val="0"/>
          <w:sz w:val="21"/>
          <w:szCs w:val="21"/>
        </w:rPr>
        <w:t xml:space="preserve">en las </w:t>
      </w:r>
      <w:r w:rsidRPr="007C7D73">
        <w:rPr>
          <w:rFonts w:ascii="Bookman Old Style" w:hAnsi="Bookman Old Style" w:cs="Calibri"/>
          <w:b w:val="0"/>
          <w:noProof/>
          <w:sz w:val="21"/>
          <w:szCs w:val="21"/>
        </w:rPr>
        <w:t>oficinas de la Dirección General de Desarrollo Rural del Ministerio de Agricultura y Ganadería, ubicadas en final Primera Avenida Norte y Trece Calle Oriente, Avenida Manuel Gallardo, municipio de Santa Tecla, departamento de La Libertad;</w:t>
      </w:r>
      <w:r w:rsidRPr="007C7D73">
        <w:rPr>
          <w:rFonts w:ascii="Bookman Old Style" w:hAnsi="Bookman Old Style" w:cs="Palatino Linotype"/>
          <w:b w:val="0"/>
          <w:sz w:val="21"/>
          <w:szCs w:val="21"/>
        </w:rPr>
        <w:t xml:space="preserve"> y a </w:t>
      </w:r>
      <w:r w:rsidR="00E342FB" w:rsidRPr="007C7D73">
        <w:rPr>
          <w:rFonts w:ascii="Bookman Old Style" w:hAnsi="Bookman Old Style" w:cs="Palatino Linotype"/>
          <w:b w:val="0"/>
          <w:bCs/>
          <w:sz w:val="21"/>
          <w:szCs w:val="21"/>
        </w:rPr>
        <w:fldChar w:fldCharType="begin"/>
      </w:r>
      <w:r w:rsidRPr="007C7D73">
        <w:rPr>
          <w:rFonts w:ascii="Bookman Old Style" w:hAnsi="Bookman Old Style" w:cs="Palatino Linotype"/>
          <w:b w:val="0"/>
          <w:bCs/>
          <w:sz w:val="21"/>
          <w:szCs w:val="21"/>
        </w:rPr>
        <w:instrText xml:space="preserve"> MERGEFIELD "Forma_como_se_denominara_el_Proveedor" </w:instrText>
      </w:r>
      <w:r w:rsidR="00E342FB" w:rsidRPr="007C7D73">
        <w:rPr>
          <w:rFonts w:ascii="Bookman Old Style" w:hAnsi="Bookman Old Style" w:cs="Palatino Linotype"/>
          <w:b w:val="0"/>
          <w:bCs/>
          <w:sz w:val="21"/>
          <w:szCs w:val="21"/>
        </w:rPr>
        <w:fldChar w:fldCharType="separate"/>
      </w:r>
      <w:r w:rsidRPr="007C7D73">
        <w:rPr>
          <w:rFonts w:ascii="Bookman Old Style" w:hAnsi="Bookman Old Style" w:cs="Palatino Linotype"/>
          <w:b w:val="0"/>
          <w:bCs/>
          <w:noProof/>
          <w:sz w:val="21"/>
          <w:szCs w:val="21"/>
        </w:rPr>
        <w:t>LA CONTRATISTA</w:t>
      </w:r>
      <w:r w:rsidR="00E342FB" w:rsidRPr="007C7D73">
        <w:rPr>
          <w:rFonts w:ascii="Bookman Old Style" w:hAnsi="Bookman Old Style" w:cs="Palatino Linotype"/>
          <w:b w:val="0"/>
          <w:bCs/>
          <w:sz w:val="21"/>
          <w:szCs w:val="21"/>
        </w:rPr>
        <w:fldChar w:fldCharType="end"/>
      </w:r>
      <w:r w:rsidRPr="007C7D73">
        <w:rPr>
          <w:rFonts w:ascii="Bookman Old Style" w:hAnsi="Bookman Old Style" w:cs="Palatino Linotype"/>
          <w:b w:val="0"/>
          <w:sz w:val="21"/>
          <w:szCs w:val="21"/>
        </w:rPr>
        <w:t xml:space="preserve"> a través de los señores Carlos Alberto Aldana Luna y Ricardo Ernesto Loucel Monterrosa </w:t>
      </w:r>
      <w:r w:rsidRPr="00280E0F">
        <w:rPr>
          <w:rFonts w:ascii="Bookman Old Style" w:hAnsi="Bookman Old Style" w:cs="Palatino Linotype"/>
          <w:b w:val="0"/>
          <w:sz w:val="21"/>
          <w:szCs w:val="21"/>
        </w:rPr>
        <w:t xml:space="preserve">en </w:t>
      </w:r>
      <w:r w:rsidR="00BE390F">
        <w:rPr>
          <w:rFonts w:ascii="Bookman Old Style" w:hAnsi="Bookman Old Style" w:cs="Palatino Linotype"/>
          <w:b w:val="0"/>
          <w:sz w:val="21"/>
          <w:szCs w:val="21"/>
          <w:highlight w:val="black"/>
        </w:rPr>
        <w:t>**************************************************</w:t>
      </w:r>
      <w:r w:rsidRPr="00700597">
        <w:rPr>
          <w:rFonts w:ascii="Bookman Old Style" w:hAnsi="Bookman Old Style" w:cs="Palatino Linotype"/>
          <w:b w:val="0"/>
          <w:sz w:val="21"/>
          <w:szCs w:val="21"/>
          <w:highlight w:val="black"/>
        </w:rPr>
        <w:t>or</w:t>
      </w:r>
      <w:r w:rsidRPr="007C7D73">
        <w:rPr>
          <w:rFonts w:ascii="Bookman Old Style" w:hAnsi="Bookman Old Style"/>
          <w:b w:val="0"/>
          <w:sz w:val="21"/>
          <w:szCs w:val="21"/>
          <w:lang w:val="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a los dieciocho días del mes de octubre de dos mil dieciséis.                                                                                                 </w:t>
      </w:r>
    </w:p>
    <w:p w:rsidR="00E22020" w:rsidRPr="00555B54" w:rsidRDefault="00E22020" w:rsidP="00C71E3B">
      <w:pPr>
        <w:pStyle w:val="Subttulo"/>
        <w:spacing w:line="300" w:lineRule="auto"/>
        <w:jc w:val="both"/>
        <w:rPr>
          <w:rFonts w:ascii="Bookman Old Style" w:hAnsi="Bookman Old Style"/>
          <w:b w:val="0"/>
          <w:sz w:val="20"/>
          <w:lang w:val="es-ES"/>
        </w:rPr>
      </w:pPr>
    </w:p>
    <w:p w:rsidR="00E22020" w:rsidRDefault="00E22020" w:rsidP="00C71E3B">
      <w:pPr>
        <w:pStyle w:val="Subttulo"/>
        <w:spacing w:line="300" w:lineRule="auto"/>
        <w:jc w:val="both"/>
        <w:rPr>
          <w:rFonts w:ascii="Bookman Old Style" w:hAnsi="Bookman Old Style"/>
          <w:b w:val="0"/>
          <w:sz w:val="22"/>
          <w:szCs w:val="22"/>
          <w:lang w:val="es-ES"/>
        </w:rPr>
      </w:pPr>
    </w:p>
    <w:p w:rsidR="00E22020" w:rsidRDefault="00E22020" w:rsidP="00C71E3B">
      <w:pPr>
        <w:pStyle w:val="Subttulo"/>
        <w:spacing w:line="300" w:lineRule="auto"/>
        <w:jc w:val="both"/>
        <w:rPr>
          <w:rFonts w:ascii="Bookman Old Style" w:hAnsi="Bookman Old Style"/>
          <w:b w:val="0"/>
          <w:sz w:val="22"/>
          <w:szCs w:val="22"/>
          <w:lang w:val="es-ES"/>
        </w:rPr>
      </w:pPr>
    </w:p>
    <w:p w:rsidR="00E22020" w:rsidRPr="002118FE" w:rsidRDefault="00E22020" w:rsidP="00C71E3B">
      <w:pPr>
        <w:pStyle w:val="Subttulo"/>
        <w:spacing w:line="300" w:lineRule="auto"/>
        <w:jc w:val="both"/>
        <w:rPr>
          <w:rFonts w:ascii="Bookman Old Style" w:hAnsi="Bookman Old Style"/>
          <w:b w:val="0"/>
          <w:sz w:val="22"/>
          <w:szCs w:val="22"/>
          <w:lang w:val="es-ES"/>
        </w:rPr>
      </w:pPr>
    </w:p>
    <w:p w:rsidR="00E22020" w:rsidRPr="007C7D73" w:rsidRDefault="00E22020" w:rsidP="00B070F0">
      <w:pPr>
        <w:outlineLvl w:val="0"/>
        <w:rPr>
          <w:rFonts w:ascii="Bookman Old Style" w:hAnsi="Bookman Old Style" w:cs="Palatino Linotype"/>
          <w:b/>
          <w:bCs/>
          <w:caps/>
          <w:sz w:val="12"/>
          <w:szCs w:val="12"/>
          <w:lang w:val="es-SV" w:eastAsia="es-ES"/>
        </w:rPr>
      </w:pPr>
      <w:r w:rsidRPr="007C7D73">
        <w:rPr>
          <w:rFonts w:ascii="Bookman Old Style" w:hAnsi="Bookman Old Style" w:cs="Palatino Linotype"/>
          <w:b/>
          <w:bCs/>
          <w:caps/>
          <w:sz w:val="12"/>
          <w:szCs w:val="12"/>
          <w:lang w:val="es-SV" w:eastAsia="es-ES"/>
        </w:rPr>
        <w:t xml:space="preserve">                                            ______________________________________________________________________</w:t>
      </w:r>
    </w:p>
    <w:p w:rsidR="00E22020" w:rsidRPr="007C7D73" w:rsidRDefault="00E22020" w:rsidP="00B070F0">
      <w:pPr>
        <w:ind w:left="2124" w:firstLine="708"/>
        <w:jc w:val="left"/>
        <w:outlineLvl w:val="0"/>
        <w:rPr>
          <w:rFonts w:ascii="Bookman Old Style" w:hAnsi="Bookman Old Style" w:cs="Palatino Linotype"/>
          <w:b/>
          <w:bCs/>
          <w:caps/>
          <w:sz w:val="12"/>
          <w:szCs w:val="12"/>
          <w:lang w:val="es-SV" w:eastAsia="es-ES"/>
        </w:rPr>
      </w:pPr>
      <w:r w:rsidRPr="007C7D73">
        <w:rPr>
          <w:rFonts w:ascii="Bookman Old Style" w:hAnsi="Bookman Old Style" w:cs="Palatino Linotype"/>
          <w:b/>
          <w:bCs/>
          <w:caps/>
          <w:sz w:val="12"/>
          <w:szCs w:val="12"/>
          <w:lang w:val="es-SV" w:eastAsia="es-ES"/>
        </w:rPr>
        <w:t>Walter Ulises Menjívar Díaz</w:t>
      </w:r>
    </w:p>
    <w:p w:rsidR="00E22020" w:rsidRPr="007C7D73" w:rsidRDefault="00E22020" w:rsidP="00B070F0">
      <w:pPr>
        <w:ind w:left="1416"/>
        <w:jc w:val="left"/>
        <w:outlineLvl w:val="0"/>
        <w:rPr>
          <w:rFonts w:ascii="Bookman Old Style" w:hAnsi="Bookman Old Style" w:cs="Palatino Linotype"/>
          <w:b/>
          <w:bCs/>
          <w:caps/>
          <w:sz w:val="12"/>
          <w:szCs w:val="12"/>
          <w:lang w:val="es-ES" w:eastAsia="es-ES"/>
        </w:rPr>
      </w:pPr>
      <w:r w:rsidRPr="007C7D73">
        <w:rPr>
          <w:rFonts w:ascii="Bookman Old Style" w:hAnsi="Bookman Old Style" w:cs="Palatino Linotype"/>
          <w:b/>
          <w:bCs/>
          <w:caps/>
          <w:sz w:val="12"/>
          <w:szCs w:val="12"/>
          <w:lang w:val="es-ES" w:eastAsia="es-ES"/>
        </w:rPr>
        <w:t>Autorizado por acuerdo ejecutivo en el ramo de Agricultura</w:t>
      </w:r>
    </w:p>
    <w:p w:rsidR="00E22020" w:rsidRPr="007C7D73" w:rsidRDefault="00E22020" w:rsidP="00B070F0">
      <w:pPr>
        <w:ind w:left="1416" w:firstLine="708"/>
        <w:jc w:val="left"/>
        <w:outlineLvl w:val="0"/>
        <w:rPr>
          <w:rFonts w:ascii="Bookman Old Style" w:hAnsi="Bookman Old Style" w:cs="Palatino Linotype"/>
          <w:b/>
          <w:bCs/>
          <w:caps/>
          <w:sz w:val="12"/>
          <w:szCs w:val="12"/>
          <w:lang w:val="es-ES" w:eastAsia="es-ES"/>
        </w:rPr>
      </w:pPr>
      <w:r w:rsidRPr="007C7D73">
        <w:rPr>
          <w:rFonts w:ascii="Bookman Old Style" w:hAnsi="Bookman Old Style" w:cs="Palatino Linotype"/>
          <w:b/>
          <w:bCs/>
          <w:caps/>
          <w:sz w:val="12"/>
          <w:szCs w:val="12"/>
          <w:lang w:val="es-ES" w:eastAsia="es-ES"/>
        </w:rPr>
        <w:t>y Ganadería N° 605, de fecha 3 de septiembre de 2015</w:t>
      </w: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spacing w:line="360" w:lineRule="auto"/>
        <w:rPr>
          <w:rFonts w:ascii="Bookman Old Style" w:hAnsi="Bookman Old Style" w:cs="Palatino Linotype"/>
          <w:b/>
          <w:sz w:val="12"/>
          <w:szCs w:val="12"/>
          <w:lang w:val="es-ES" w:eastAsia="es-ES"/>
        </w:rPr>
      </w:pPr>
    </w:p>
    <w:p w:rsidR="00E22020" w:rsidRPr="007C7D73" w:rsidRDefault="00E22020" w:rsidP="00B070F0">
      <w:pPr>
        <w:tabs>
          <w:tab w:val="left" w:pos="360"/>
        </w:tabs>
        <w:rPr>
          <w:rFonts w:ascii="Bookman Old Style" w:hAnsi="Bookman Old Style" w:cs="Palatino Linotype"/>
          <w:b/>
          <w:sz w:val="12"/>
          <w:szCs w:val="12"/>
          <w:lang w:val="es-ES" w:eastAsia="es-ES"/>
        </w:rPr>
      </w:pPr>
      <w:r w:rsidRPr="007C7D73">
        <w:rPr>
          <w:rFonts w:ascii="Bookman Old Style" w:hAnsi="Bookman Old Style" w:cs="Palatino Linotype"/>
          <w:b/>
          <w:sz w:val="12"/>
          <w:szCs w:val="12"/>
          <w:lang w:val="es-ES" w:eastAsia="es-ES"/>
        </w:rPr>
        <w:t>____________________________________________________                                   __________________________________________________</w:t>
      </w:r>
    </w:p>
    <w:p w:rsidR="00E22020" w:rsidRPr="007C7D73" w:rsidRDefault="00E22020" w:rsidP="00B070F0">
      <w:pPr>
        <w:tabs>
          <w:tab w:val="left" w:pos="360"/>
        </w:tabs>
        <w:rPr>
          <w:rFonts w:ascii="Bookman Old Style" w:hAnsi="Bookman Old Style" w:cs="Palatino Linotype"/>
          <w:b/>
          <w:bCs/>
          <w:caps/>
          <w:sz w:val="12"/>
          <w:szCs w:val="12"/>
          <w:lang w:val="es-ES" w:eastAsia="es-ES"/>
        </w:rPr>
      </w:pPr>
      <w:r w:rsidRPr="007C7D73">
        <w:rPr>
          <w:rFonts w:ascii="Bookman Old Style" w:hAnsi="Bookman Old Style" w:cs="Palatino Linotype"/>
          <w:b/>
          <w:bCs/>
          <w:caps/>
          <w:sz w:val="12"/>
          <w:szCs w:val="12"/>
          <w:lang w:val="es-ES" w:eastAsia="es-ES"/>
        </w:rPr>
        <w:tab/>
        <w:t>Carlos Alberto Aldana Luna</w:t>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t>Ricardo Ernesto Loucel Monterrosa</w:t>
      </w:r>
    </w:p>
    <w:p w:rsidR="00E22020" w:rsidRPr="007C7D73" w:rsidRDefault="00E22020" w:rsidP="00B070F0">
      <w:pPr>
        <w:tabs>
          <w:tab w:val="left" w:pos="360"/>
        </w:tabs>
        <w:rPr>
          <w:rFonts w:ascii="Bookman Old Style" w:hAnsi="Bookman Old Style" w:cs="Palatino Linotype"/>
          <w:b/>
          <w:bCs/>
          <w:caps/>
          <w:sz w:val="12"/>
          <w:szCs w:val="12"/>
          <w:lang w:val="es-ES" w:eastAsia="es-ES"/>
        </w:rPr>
      </w:pPr>
      <w:r w:rsidRPr="007C7D73">
        <w:rPr>
          <w:rFonts w:ascii="Bookman Old Style" w:hAnsi="Bookman Old Style" w:cs="Palatino Linotype"/>
          <w:b/>
          <w:bCs/>
          <w:caps/>
          <w:sz w:val="12"/>
          <w:szCs w:val="12"/>
          <w:lang w:val="es-ES" w:eastAsia="es-ES"/>
        </w:rPr>
        <w:tab/>
        <w:t>LA CONTRATISTA</w:t>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r>
      <w:r w:rsidRPr="007C7D73">
        <w:rPr>
          <w:rFonts w:ascii="Bookman Old Style" w:hAnsi="Bookman Old Style" w:cs="Palatino Linotype"/>
          <w:b/>
          <w:bCs/>
          <w:caps/>
          <w:sz w:val="12"/>
          <w:szCs w:val="12"/>
          <w:lang w:val="es-ES" w:eastAsia="es-ES"/>
        </w:rPr>
        <w:tab/>
        <w:t>LA CONTRATISTA</w:t>
      </w:r>
    </w:p>
    <w:p w:rsidR="00E22020" w:rsidRDefault="00E22020" w:rsidP="00B070F0">
      <w:pPr>
        <w:outlineLvl w:val="0"/>
        <w:rPr>
          <w:rFonts w:ascii="Palatino Linotype" w:hAnsi="Palatino Linotype" w:cs="Palatino Linotype"/>
          <w:b/>
          <w:bCs/>
          <w:sz w:val="18"/>
          <w:szCs w:val="18"/>
          <w:lang w:val="es-SV" w:eastAsia="es-ES"/>
        </w:rPr>
      </w:pPr>
      <w:r w:rsidRPr="00B070F0">
        <w:rPr>
          <w:rFonts w:ascii="Palatino Linotype" w:hAnsi="Palatino Linotype" w:cs="Palatino Linotype"/>
          <w:b/>
          <w:bCs/>
          <w:sz w:val="18"/>
          <w:szCs w:val="18"/>
          <w:lang w:val="es-SV" w:eastAsia="es-ES"/>
        </w:rPr>
        <w:tab/>
      </w:r>
      <w:r w:rsidRPr="00B070F0">
        <w:rPr>
          <w:rFonts w:ascii="Palatino Linotype" w:hAnsi="Palatino Linotype" w:cs="Palatino Linotype"/>
          <w:b/>
          <w:bCs/>
          <w:sz w:val="18"/>
          <w:szCs w:val="18"/>
          <w:lang w:val="es-SV" w:eastAsia="es-ES"/>
        </w:rPr>
        <w:tab/>
      </w:r>
      <w:r w:rsidRPr="00B070F0">
        <w:rPr>
          <w:rFonts w:ascii="Palatino Linotype" w:hAnsi="Palatino Linotype" w:cs="Palatino Linotype"/>
          <w:b/>
          <w:bCs/>
          <w:sz w:val="18"/>
          <w:szCs w:val="18"/>
          <w:lang w:val="es-SV" w:eastAsia="es-ES"/>
        </w:rPr>
        <w:tab/>
      </w:r>
      <w:r w:rsidRPr="00B070F0">
        <w:rPr>
          <w:rFonts w:ascii="Palatino Linotype" w:hAnsi="Palatino Linotype" w:cs="Palatino Linotype"/>
          <w:b/>
          <w:bCs/>
          <w:sz w:val="18"/>
          <w:szCs w:val="18"/>
          <w:lang w:val="es-SV" w:eastAsia="es-ES"/>
        </w:rPr>
        <w:tab/>
      </w:r>
    </w:p>
    <w:p w:rsidR="00E22020" w:rsidRDefault="00E22020" w:rsidP="00B070F0">
      <w:pPr>
        <w:outlineLvl w:val="0"/>
        <w:rPr>
          <w:rFonts w:ascii="Palatino Linotype" w:hAnsi="Palatino Linotype" w:cs="Palatino Linotype"/>
          <w:b/>
          <w:bCs/>
          <w:sz w:val="18"/>
          <w:szCs w:val="18"/>
          <w:lang w:val="es-SV" w:eastAsia="es-ES"/>
        </w:rPr>
      </w:pPr>
    </w:p>
    <w:p w:rsidR="00E22020" w:rsidRDefault="00E22020" w:rsidP="006C089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22020" w:rsidRDefault="00E22020" w:rsidP="006C0892">
      <w:pPr>
        <w:jc w:val="center"/>
        <w:outlineLvl w:val="0"/>
        <w:rPr>
          <w:rFonts w:ascii="Palatino Linotype" w:hAnsi="Palatino Linotype" w:cs="Palatino Linotype"/>
          <w:b/>
          <w:bCs/>
          <w:sz w:val="18"/>
          <w:szCs w:val="18"/>
          <w:lang w:val="es-ES" w:eastAsia="es-ES"/>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E22020" w:rsidRPr="006C0892" w:rsidRDefault="00E22020" w:rsidP="006C0892">
      <w:pPr>
        <w:rPr>
          <w:rFonts w:ascii="Palatino Linotype" w:hAnsi="Palatino Linotype" w:cs="Palatino Linotype"/>
          <w:sz w:val="18"/>
          <w:szCs w:val="18"/>
          <w:lang w:val="es-ES" w:eastAsia="es-ES"/>
        </w:rPr>
      </w:pPr>
    </w:p>
    <w:p w:rsidR="00E22020" w:rsidRPr="006C0892" w:rsidRDefault="00E22020" w:rsidP="006C0892">
      <w:pPr>
        <w:rPr>
          <w:rFonts w:ascii="Palatino Linotype" w:hAnsi="Palatino Linotype" w:cs="Palatino Linotype"/>
          <w:sz w:val="18"/>
          <w:szCs w:val="18"/>
          <w:lang w:val="es-ES" w:eastAsia="es-ES"/>
        </w:rPr>
      </w:pPr>
    </w:p>
    <w:p w:rsidR="00E22020" w:rsidRPr="006C0892" w:rsidRDefault="00E22020" w:rsidP="006C0892">
      <w:pPr>
        <w:rPr>
          <w:rFonts w:ascii="Palatino Linotype" w:hAnsi="Palatino Linotype" w:cs="Palatino Linotype"/>
          <w:sz w:val="18"/>
          <w:szCs w:val="18"/>
          <w:lang w:val="es-ES" w:eastAsia="es-ES"/>
        </w:rPr>
      </w:pPr>
    </w:p>
    <w:p w:rsidR="00E22020" w:rsidRDefault="00E22020" w:rsidP="006C0892">
      <w:pPr>
        <w:rPr>
          <w:rFonts w:ascii="Palatino Linotype" w:hAnsi="Palatino Linotype" w:cs="Palatino Linotype"/>
          <w:sz w:val="18"/>
          <w:szCs w:val="18"/>
          <w:lang w:val="es-ES" w:eastAsia="es-ES"/>
        </w:rPr>
      </w:pPr>
    </w:p>
    <w:p w:rsidR="00E22020" w:rsidRPr="006C0892" w:rsidRDefault="00E22020" w:rsidP="006C0892">
      <w:pPr>
        <w:jc w:val="center"/>
        <w:rPr>
          <w:rFonts w:ascii="Palatino Linotype" w:hAnsi="Palatino Linotype" w:cs="Palatino Linotype"/>
          <w:sz w:val="18"/>
          <w:szCs w:val="18"/>
          <w:lang w:val="es-ES" w:eastAsia="es-ES"/>
        </w:rPr>
      </w:pPr>
    </w:p>
    <w:sectPr w:rsidR="00E22020" w:rsidRPr="006C0892" w:rsidSect="00CD7BEA">
      <w:footerReference w:type="default" r:id="rId6"/>
      <w:pgSz w:w="12240" w:h="15840"/>
      <w:pgMar w:top="1134"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15C" w:rsidRDefault="00CB315C" w:rsidP="002C31B8">
      <w:r>
        <w:separator/>
      </w:r>
    </w:p>
  </w:endnote>
  <w:endnote w:type="continuationSeparator" w:id="1">
    <w:p w:rsidR="00CB315C" w:rsidRDefault="00CB315C" w:rsidP="002C31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20" w:rsidRDefault="00E342FB">
    <w:pPr>
      <w:pStyle w:val="Piedepgina"/>
      <w:jc w:val="center"/>
    </w:pPr>
    <w:fldSimple w:instr=" PAGE   \* MERGEFORMAT ">
      <w:r w:rsidR="00BE390F">
        <w:rPr>
          <w:noProof/>
        </w:rPr>
        <w:t>9</w:t>
      </w:r>
    </w:fldSimple>
  </w:p>
  <w:p w:rsidR="00E22020" w:rsidRDefault="00E2202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15C" w:rsidRDefault="00CB315C" w:rsidP="002C31B8">
      <w:r>
        <w:separator/>
      </w:r>
    </w:p>
  </w:footnote>
  <w:footnote w:type="continuationSeparator" w:id="1">
    <w:p w:rsidR="00CB315C" w:rsidRDefault="00CB315C" w:rsidP="002C31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E3A"/>
    <w:rsid w:val="00067A08"/>
    <w:rsid w:val="00092138"/>
    <w:rsid w:val="00094859"/>
    <w:rsid w:val="000B3F21"/>
    <w:rsid w:val="000B4B54"/>
    <w:rsid w:val="000D5D67"/>
    <w:rsid w:val="000F39BA"/>
    <w:rsid w:val="000F6866"/>
    <w:rsid w:val="00134ECF"/>
    <w:rsid w:val="001354D3"/>
    <w:rsid w:val="00155BCC"/>
    <w:rsid w:val="001718C4"/>
    <w:rsid w:val="001A2D42"/>
    <w:rsid w:val="001B2756"/>
    <w:rsid w:val="00206905"/>
    <w:rsid w:val="00210BE0"/>
    <w:rsid w:val="002118FE"/>
    <w:rsid w:val="00246D62"/>
    <w:rsid w:val="002769E9"/>
    <w:rsid w:val="00276E14"/>
    <w:rsid w:val="00280E0F"/>
    <w:rsid w:val="00284C9E"/>
    <w:rsid w:val="002870C9"/>
    <w:rsid w:val="002B6551"/>
    <w:rsid w:val="002C31B8"/>
    <w:rsid w:val="002C3B53"/>
    <w:rsid w:val="002D5914"/>
    <w:rsid w:val="00304B0D"/>
    <w:rsid w:val="00315829"/>
    <w:rsid w:val="00315977"/>
    <w:rsid w:val="00323D70"/>
    <w:rsid w:val="00343D37"/>
    <w:rsid w:val="003442B3"/>
    <w:rsid w:val="00376BAC"/>
    <w:rsid w:val="00420AAC"/>
    <w:rsid w:val="0042395E"/>
    <w:rsid w:val="004441C0"/>
    <w:rsid w:val="004960F4"/>
    <w:rsid w:val="004B687A"/>
    <w:rsid w:val="004D0E9F"/>
    <w:rsid w:val="004D63D7"/>
    <w:rsid w:val="004E21C9"/>
    <w:rsid w:val="00524672"/>
    <w:rsid w:val="00526180"/>
    <w:rsid w:val="005468CB"/>
    <w:rsid w:val="00555B54"/>
    <w:rsid w:val="00560101"/>
    <w:rsid w:val="005635D0"/>
    <w:rsid w:val="005671A2"/>
    <w:rsid w:val="0057185C"/>
    <w:rsid w:val="00583AB1"/>
    <w:rsid w:val="005A148F"/>
    <w:rsid w:val="005A2F62"/>
    <w:rsid w:val="005A62DE"/>
    <w:rsid w:val="005A6409"/>
    <w:rsid w:val="005C1436"/>
    <w:rsid w:val="005C40FE"/>
    <w:rsid w:val="005D00BB"/>
    <w:rsid w:val="0060235F"/>
    <w:rsid w:val="00606B3B"/>
    <w:rsid w:val="006133EC"/>
    <w:rsid w:val="00636E78"/>
    <w:rsid w:val="006A089D"/>
    <w:rsid w:val="006B37C1"/>
    <w:rsid w:val="006C0892"/>
    <w:rsid w:val="006E0537"/>
    <w:rsid w:val="006F662B"/>
    <w:rsid w:val="00700597"/>
    <w:rsid w:val="00704F01"/>
    <w:rsid w:val="00736F8D"/>
    <w:rsid w:val="00740B79"/>
    <w:rsid w:val="00756034"/>
    <w:rsid w:val="00771D18"/>
    <w:rsid w:val="0078547A"/>
    <w:rsid w:val="007A55B9"/>
    <w:rsid w:val="007B2664"/>
    <w:rsid w:val="007C0F79"/>
    <w:rsid w:val="007C59C9"/>
    <w:rsid w:val="007C7D73"/>
    <w:rsid w:val="007F0F49"/>
    <w:rsid w:val="007F3D0F"/>
    <w:rsid w:val="00810141"/>
    <w:rsid w:val="00825626"/>
    <w:rsid w:val="00831D49"/>
    <w:rsid w:val="008556B4"/>
    <w:rsid w:val="008852A1"/>
    <w:rsid w:val="008A38E4"/>
    <w:rsid w:val="008A5003"/>
    <w:rsid w:val="008B455C"/>
    <w:rsid w:val="008C4942"/>
    <w:rsid w:val="008D2837"/>
    <w:rsid w:val="008E3004"/>
    <w:rsid w:val="008F6FE1"/>
    <w:rsid w:val="00967231"/>
    <w:rsid w:val="0097087C"/>
    <w:rsid w:val="0097268A"/>
    <w:rsid w:val="00990E3A"/>
    <w:rsid w:val="009A60F8"/>
    <w:rsid w:val="00A75D99"/>
    <w:rsid w:val="00AA47C0"/>
    <w:rsid w:val="00AA6BA4"/>
    <w:rsid w:val="00AE4DB4"/>
    <w:rsid w:val="00AF7FC7"/>
    <w:rsid w:val="00B070F0"/>
    <w:rsid w:val="00B52C40"/>
    <w:rsid w:val="00B7733A"/>
    <w:rsid w:val="00B91B54"/>
    <w:rsid w:val="00B94EE3"/>
    <w:rsid w:val="00BE034E"/>
    <w:rsid w:val="00BE390F"/>
    <w:rsid w:val="00BE7D5A"/>
    <w:rsid w:val="00C075F1"/>
    <w:rsid w:val="00C36BE0"/>
    <w:rsid w:val="00C50C34"/>
    <w:rsid w:val="00C71E3B"/>
    <w:rsid w:val="00C73FCC"/>
    <w:rsid w:val="00CB315C"/>
    <w:rsid w:val="00CD7BEA"/>
    <w:rsid w:val="00D039E1"/>
    <w:rsid w:val="00D13311"/>
    <w:rsid w:val="00D46607"/>
    <w:rsid w:val="00D750ED"/>
    <w:rsid w:val="00DB67CF"/>
    <w:rsid w:val="00DD236B"/>
    <w:rsid w:val="00DF7683"/>
    <w:rsid w:val="00E041BB"/>
    <w:rsid w:val="00E21E8C"/>
    <w:rsid w:val="00E22020"/>
    <w:rsid w:val="00E257E6"/>
    <w:rsid w:val="00E33167"/>
    <w:rsid w:val="00E342C7"/>
    <w:rsid w:val="00E342FB"/>
    <w:rsid w:val="00E60D90"/>
    <w:rsid w:val="00E72530"/>
    <w:rsid w:val="00E8170A"/>
    <w:rsid w:val="00EC4C44"/>
    <w:rsid w:val="00ED3700"/>
    <w:rsid w:val="00EF5690"/>
    <w:rsid w:val="00EF5F07"/>
    <w:rsid w:val="00F04BAC"/>
    <w:rsid w:val="00F2028F"/>
    <w:rsid w:val="00F30AA1"/>
    <w:rsid w:val="00F6748F"/>
    <w:rsid w:val="00F833D6"/>
    <w:rsid w:val="00F92F85"/>
    <w:rsid w:val="00FB6BEF"/>
    <w:rsid w:val="00FC6ABB"/>
    <w:rsid w:val="00FD4688"/>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E3A"/>
    <w:pPr>
      <w:jc w:val="both"/>
    </w:pPr>
    <w:rPr>
      <w:rFonts w:ascii="Times New Roman" w:eastAsia="Times New Roman" w:hAnsi="Times New Roman"/>
      <w:sz w:val="24"/>
      <w:lang w:val="es-ES_tradnl" w:eastAsia="en-US"/>
    </w:rPr>
  </w:style>
  <w:style w:type="paragraph" w:styleId="Ttulo1">
    <w:name w:val="heading 1"/>
    <w:basedOn w:val="Normal"/>
    <w:next w:val="Normal"/>
    <w:link w:val="Ttulo1Car"/>
    <w:uiPriority w:val="99"/>
    <w:qFormat/>
    <w:locked/>
    <w:rsid w:val="006C0892"/>
    <w:pPr>
      <w:keepNext/>
      <w:jc w:val="center"/>
      <w:outlineLvl w:val="0"/>
    </w:pPr>
    <w:rPr>
      <w:b/>
      <w:sz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C0892"/>
    <w:rPr>
      <w:rFonts w:ascii="Times New Roman" w:hAnsi="Times New Roman" w:cs="Times New Roman"/>
      <w:b/>
      <w:sz w:val="20"/>
      <w:szCs w:val="20"/>
      <w:lang w:val="es-MX" w:eastAsia="es-ES"/>
    </w:rPr>
  </w:style>
  <w:style w:type="paragraph" w:styleId="Subttulo">
    <w:name w:val="Subtitle"/>
    <w:basedOn w:val="Normal"/>
    <w:link w:val="SubttuloCar"/>
    <w:uiPriority w:val="99"/>
    <w:qFormat/>
    <w:rsid w:val="00990E3A"/>
    <w:pPr>
      <w:jc w:val="center"/>
    </w:pPr>
    <w:rPr>
      <w:b/>
      <w:sz w:val="44"/>
    </w:rPr>
  </w:style>
  <w:style w:type="character" w:customStyle="1" w:styleId="SubttuloCar">
    <w:name w:val="Subtítulo Car"/>
    <w:basedOn w:val="Fuentedeprrafopredeter"/>
    <w:link w:val="Subttulo"/>
    <w:uiPriority w:val="99"/>
    <w:locked/>
    <w:rsid w:val="00990E3A"/>
    <w:rPr>
      <w:rFonts w:ascii="Times New Roman" w:hAnsi="Times New Roman" w:cs="Times New Roman"/>
      <w:b/>
      <w:sz w:val="20"/>
      <w:szCs w:val="20"/>
      <w:lang w:val="es-ES_tradnl"/>
    </w:rPr>
  </w:style>
  <w:style w:type="paragraph" w:styleId="Sangra3detindependiente">
    <w:name w:val="Body Text Indent 3"/>
    <w:basedOn w:val="Normal"/>
    <w:link w:val="Sangra3detindependienteCar"/>
    <w:uiPriority w:val="99"/>
    <w:rsid w:val="00990E3A"/>
    <w:pPr>
      <w:spacing w:before="120"/>
      <w:ind w:left="1440" w:hanging="1440"/>
    </w:pPr>
    <w:rPr>
      <w:b/>
    </w:rPr>
  </w:style>
  <w:style w:type="character" w:customStyle="1" w:styleId="Sangra3detindependienteCar">
    <w:name w:val="Sangría 3 de t. independiente Car"/>
    <w:basedOn w:val="Fuentedeprrafopredeter"/>
    <w:link w:val="Sangra3detindependiente"/>
    <w:uiPriority w:val="99"/>
    <w:locked/>
    <w:rsid w:val="00990E3A"/>
    <w:rPr>
      <w:rFonts w:ascii="Times New Roman" w:hAnsi="Times New Roman" w:cs="Times New Roman"/>
      <w:b/>
      <w:sz w:val="20"/>
      <w:szCs w:val="20"/>
      <w:lang w:val="es-ES_tradnl"/>
    </w:rPr>
  </w:style>
  <w:style w:type="paragraph" w:styleId="Encabezado">
    <w:name w:val="header"/>
    <w:basedOn w:val="Normal"/>
    <w:link w:val="EncabezadoCar"/>
    <w:uiPriority w:val="99"/>
    <w:semiHidden/>
    <w:rsid w:val="002C31B8"/>
    <w:pPr>
      <w:tabs>
        <w:tab w:val="center" w:pos="4419"/>
        <w:tab w:val="right" w:pos="8838"/>
      </w:tabs>
    </w:pPr>
  </w:style>
  <w:style w:type="character" w:customStyle="1" w:styleId="EncabezadoCar">
    <w:name w:val="Encabezado Car"/>
    <w:basedOn w:val="Fuentedeprrafopredeter"/>
    <w:link w:val="Encabezado"/>
    <w:uiPriority w:val="99"/>
    <w:semiHidden/>
    <w:locked/>
    <w:rsid w:val="002C31B8"/>
    <w:rPr>
      <w:rFonts w:ascii="Times New Roman" w:hAnsi="Times New Roman" w:cs="Times New Roman"/>
      <w:sz w:val="20"/>
      <w:szCs w:val="20"/>
      <w:lang w:val="es-ES_tradnl"/>
    </w:rPr>
  </w:style>
  <w:style w:type="paragraph" w:styleId="Piedepgina">
    <w:name w:val="footer"/>
    <w:basedOn w:val="Normal"/>
    <w:link w:val="PiedepginaCar"/>
    <w:uiPriority w:val="99"/>
    <w:rsid w:val="002C31B8"/>
    <w:pPr>
      <w:tabs>
        <w:tab w:val="center" w:pos="4419"/>
        <w:tab w:val="right" w:pos="8838"/>
      </w:tabs>
    </w:pPr>
  </w:style>
  <w:style w:type="character" w:customStyle="1" w:styleId="PiedepginaCar">
    <w:name w:val="Pie de página Car"/>
    <w:basedOn w:val="Fuentedeprrafopredeter"/>
    <w:link w:val="Piedepgina"/>
    <w:uiPriority w:val="99"/>
    <w:locked/>
    <w:rsid w:val="002C31B8"/>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E041B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041B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4003</Words>
  <Characters>22019</Characters>
  <Application>Microsoft Office Word</Application>
  <DocSecurity>0</DocSecurity>
  <Lines>183</Lines>
  <Paragraphs>51</Paragraphs>
  <ScaleCrop>false</ScaleCrop>
  <Company/>
  <LinksUpToDate>false</LinksUpToDate>
  <CharactersWithSpaces>25971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 BCIE - N° ____/2016</dc:title>
  <dc:subject/>
  <dc:creator>jcalderon</dc:creator>
  <cp:keywords/>
  <dc:description/>
  <cp:lastModifiedBy>mirna.elias</cp:lastModifiedBy>
  <cp:revision>4</cp:revision>
  <cp:lastPrinted>2016-10-26T16:41:00Z</cp:lastPrinted>
  <dcterms:created xsi:type="dcterms:W3CDTF">2017-03-23T17:25:00Z</dcterms:created>
  <dcterms:modified xsi:type="dcterms:W3CDTF">2017-05-19T17:21:00Z</dcterms:modified>
</cp:coreProperties>
</file>