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D2" w:rsidRDefault="00211CD2" w:rsidP="002F33F9">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11CD2" w:rsidRDefault="00211CD2" w:rsidP="002F33F9">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211CD2" w:rsidRDefault="00211CD2" w:rsidP="00D27925">
      <w:pPr>
        <w:pStyle w:val="Ttulo"/>
        <w:tabs>
          <w:tab w:val="left" w:pos="1968"/>
        </w:tabs>
        <w:rPr>
          <w:rFonts w:ascii="Bookman Old Style" w:hAnsi="Bookman Old Style" w:cs="Arial"/>
          <w:sz w:val="20"/>
        </w:rPr>
      </w:pPr>
    </w:p>
    <w:p w:rsidR="00211CD2" w:rsidRPr="00614FB3" w:rsidRDefault="00211CD2" w:rsidP="00D27925">
      <w:pPr>
        <w:pStyle w:val="Ttulo"/>
        <w:tabs>
          <w:tab w:val="left" w:pos="1968"/>
        </w:tabs>
        <w:rPr>
          <w:rFonts w:ascii="Bookman Old Style" w:hAnsi="Bookman Old Style" w:cs="Arial"/>
          <w:sz w:val="20"/>
        </w:rPr>
      </w:pPr>
      <w:r w:rsidRPr="00614FB3">
        <w:rPr>
          <w:rFonts w:ascii="Bookman Old Style" w:hAnsi="Bookman Old Style" w:cs="Arial"/>
          <w:sz w:val="20"/>
        </w:rPr>
        <w:t>CONTRATO MAG No.005/2017</w:t>
      </w:r>
    </w:p>
    <w:p w:rsidR="00211CD2" w:rsidRPr="00614FB3" w:rsidRDefault="00211CD2" w:rsidP="00D27925">
      <w:pPr>
        <w:pStyle w:val="Head21"/>
        <w:suppressAutoHyphens w:val="0"/>
        <w:rPr>
          <w:rFonts w:ascii="Bookman Old Style" w:hAnsi="Bookman Old Style" w:cs="Arial"/>
          <w:sz w:val="20"/>
        </w:rPr>
      </w:pPr>
      <w:r w:rsidRPr="00614FB3">
        <w:rPr>
          <w:rFonts w:ascii="Bookman Old Style" w:hAnsi="Bookman Old Style" w:cs="Arial"/>
          <w:sz w:val="20"/>
        </w:rPr>
        <w:t>“SEGUROS PARA AUTOMOTORES PROPIEDAD DEL MAG Y FIANZAS DE FIDELIDAD PARA FUNCIONARIOS Y EMPLEADOS DEL MAG</w:t>
      </w:r>
      <w:r w:rsidRPr="00614FB3">
        <w:rPr>
          <w:rFonts w:ascii="Bookman Old Style" w:hAnsi="Bookman Old Style" w:cs="Arial"/>
          <w:bCs/>
          <w:sz w:val="20"/>
        </w:rPr>
        <w:t>”</w:t>
      </w:r>
    </w:p>
    <w:p w:rsidR="00211CD2" w:rsidRPr="00614FB3" w:rsidRDefault="00211CD2" w:rsidP="008735CA">
      <w:pPr>
        <w:jc w:val="center"/>
        <w:rPr>
          <w:rFonts w:cs="Calibri"/>
          <w:b/>
          <w:i w:val="0"/>
          <w:sz w:val="21"/>
          <w:szCs w:val="21"/>
          <w:lang w:val="es-ES_tradnl"/>
        </w:rPr>
      </w:pPr>
    </w:p>
    <w:p w:rsidR="00211CD2" w:rsidRPr="00614FB3" w:rsidRDefault="00211CD2" w:rsidP="008735CA">
      <w:pPr>
        <w:jc w:val="center"/>
        <w:rPr>
          <w:rFonts w:eastAsia="Arial Unicode MS" w:cs="Calibri"/>
          <w:i w:val="0"/>
          <w:sz w:val="21"/>
          <w:szCs w:val="21"/>
        </w:rPr>
      </w:pPr>
    </w:p>
    <w:p w:rsidR="00211CD2" w:rsidRPr="00614FB3" w:rsidRDefault="00211CD2" w:rsidP="008735CA">
      <w:pPr>
        <w:jc w:val="center"/>
        <w:rPr>
          <w:rFonts w:eastAsia="Arial Unicode MS" w:cs="Calibri"/>
          <w:i w:val="0"/>
          <w:sz w:val="21"/>
          <w:szCs w:val="21"/>
        </w:rPr>
      </w:pPr>
    </w:p>
    <w:p w:rsidR="00211CD2" w:rsidRDefault="00211CD2" w:rsidP="004E09DE">
      <w:pPr>
        <w:spacing w:line="360" w:lineRule="auto"/>
        <w:jc w:val="both"/>
        <w:rPr>
          <w:rFonts w:cs="Calibri"/>
          <w:i w:val="0"/>
          <w:sz w:val="20"/>
          <w:lang w:val="es-ES_tradnl"/>
        </w:rPr>
      </w:pPr>
      <w:r w:rsidRPr="0052359C">
        <w:rPr>
          <w:rFonts w:cs="Calibri"/>
          <w:i w:val="0"/>
          <w:sz w:val="20"/>
          <w:lang w:val="es-SV"/>
        </w:rPr>
        <w:t xml:space="preserve">Nosotros, </w:t>
      </w:r>
      <w:r w:rsidRPr="004C2F5E">
        <w:rPr>
          <w:b/>
          <w:i w:val="0"/>
          <w:sz w:val="20"/>
        </w:rPr>
        <w:t>WALTER ULISES MENJÍVAR DÍAZ</w:t>
      </w:r>
      <w:r w:rsidRPr="004C2F5E">
        <w:rPr>
          <w:i w:val="0"/>
          <w:sz w:val="20"/>
        </w:rPr>
        <w:t>,</w:t>
      </w:r>
      <w:r w:rsidRPr="004C2F5E">
        <w:rPr>
          <w:i w:val="0"/>
          <w:color w:val="0000FF"/>
          <w:sz w:val="20"/>
        </w:rPr>
        <w:t xml:space="preserve"> </w:t>
      </w:r>
      <w:r w:rsidR="00A46398">
        <w:rPr>
          <w:i w:val="0"/>
          <w:color w:val="000000"/>
          <w:sz w:val="20"/>
          <w:highlight w:val="black"/>
        </w:rPr>
        <w:t>**********************************************</w:t>
      </w:r>
      <w:r w:rsidRPr="00DA40A3">
        <w:rPr>
          <w:i w:val="0"/>
          <w:color w:val="000000"/>
          <w:sz w:val="20"/>
          <w:highlight w:val="black"/>
        </w:rPr>
        <w:t>s;</w:t>
      </w:r>
      <w:r w:rsidRPr="0052359C">
        <w:rPr>
          <w:rFonts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en representación del </w:t>
      </w:r>
      <w:r w:rsidRPr="0052359C">
        <w:rPr>
          <w:rFonts w:cs="Calibri"/>
          <w:b/>
          <w:i w:val="0"/>
          <w:sz w:val="20"/>
          <w:lang w:val="es-SV"/>
        </w:rPr>
        <w:t>MINISTERIO DE AGRICULTURA Y GANADERÍA</w:t>
      </w:r>
      <w:r w:rsidRPr="0052359C">
        <w:rPr>
          <w:rFonts w:cs="Calibri"/>
          <w:i w:val="0"/>
          <w:sz w:val="20"/>
          <w:lang w:val="es-SV"/>
        </w:rPr>
        <w:t>, institución del domicilio de Santa Tecla, departamento de La Libertad, con número de identificación tributaria cero seiscientos catorce - cero diez mil ciento treinta y uno- cero cero seis - nueve, quien en el transcurso de este instrumento me denominaré</w:t>
      </w:r>
      <w:r w:rsidRPr="0052359C">
        <w:rPr>
          <w:rFonts w:cs="Calibri"/>
          <w:b/>
          <w:i w:val="0"/>
          <w:sz w:val="20"/>
          <w:lang w:val="es-SV"/>
        </w:rPr>
        <w:t xml:space="preserve"> “EL CONTRATANTE” o “EL MAG”</w:t>
      </w:r>
      <w:r w:rsidRPr="0052359C">
        <w:rPr>
          <w:rFonts w:cs="Calibri"/>
          <w:i w:val="0"/>
          <w:sz w:val="20"/>
          <w:lang w:val="es-SV"/>
        </w:rPr>
        <w:t xml:space="preserve">, </w:t>
      </w:r>
      <w:r w:rsidRPr="0052359C">
        <w:rPr>
          <w:rFonts w:cs="Calibri"/>
          <w:i w:val="0"/>
          <w:sz w:val="20"/>
        </w:rPr>
        <w:t xml:space="preserve">y por otra parte, </w:t>
      </w:r>
      <w:r w:rsidRPr="0052359C">
        <w:rPr>
          <w:rFonts w:cs="Calibri"/>
          <w:b/>
          <w:i w:val="0"/>
          <w:sz w:val="20"/>
        </w:rPr>
        <w:t>RIGOBERTO ANTONIO CONDE GONZALEZ</w:t>
      </w:r>
      <w:r w:rsidRPr="0052359C">
        <w:rPr>
          <w:rFonts w:cs="Calibri"/>
          <w:i w:val="0"/>
          <w:sz w:val="20"/>
        </w:rPr>
        <w:t xml:space="preserve">, de </w:t>
      </w:r>
      <w:r w:rsidR="00A46398">
        <w:rPr>
          <w:rFonts w:cs="Calibri"/>
          <w:i w:val="0"/>
          <w:sz w:val="20"/>
          <w:highlight w:val="black"/>
        </w:rPr>
        <w:t>*****************************************************************************</w:t>
      </w:r>
      <w:r w:rsidRPr="00DA40A3">
        <w:rPr>
          <w:rFonts w:cs="Calibri"/>
          <w:i w:val="0"/>
          <w:sz w:val="20"/>
          <w:highlight w:val="black"/>
        </w:rPr>
        <w:t>,</w:t>
      </w:r>
      <w:r w:rsidRPr="0052359C">
        <w:rPr>
          <w:rFonts w:cs="Calibri"/>
          <w:i w:val="0"/>
          <w:sz w:val="20"/>
        </w:rPr>
        <w:t xml:space="preserve"> actuando en mi calidad de apoderado general administrativo de la sociedad </w:t>
      </w:r>
      <w:r w:rsidRPr="0052359C">
        <w:rPr>
          <w:rFonts w:cs="Calibri"/>
          <w:b/>
          <w:i w:val="0"/>
          <w:sz w:val="20"/>
        </w:rPr>
        <w:t>SEGUROS E INVERSIONES, SOCIEDAD ANÓNIMA</w:t>
      </w:r>
      <w:r w:rsidRPr="0052359C">
        <w:rPr>
          <w:rFonts w:cs="Calibri"/>
          <w:i w:val="0"/>
          <w:sz w:val="20"/>
        </w:rPr>
        <w:t xml:space="preserve">, que puede abreviarse </w:t>
      </w:r>
      <w:r w:rsidRPr="0052359C">
        <w:rPr>
          <w:rFonts w:cs="Calibri"/>
          <w:b/>
          <w:i w:val="0"/>
          <w:sz w:val="20"/>
        </w:rPr>
        <w:t xml:space="preserve">SEGUROS E INVERSIONES, S.A. </w:t>
      </w:r>
      <w:r w:rsidRPr="0052359C">
        <w:rPr>
          <w:rFonts w:cs="Calibri"/>
          <w:i w:val="0"/>
          <w:sz w:val="20"/>
        </w:rPr>
        <w:t xml:space="preserve">y </w:t>
      </w:r>
      <w:r w:rsidRPr="0052359C">
        <w:rPr>
          <w:rFonts w:cs="Calibri"/>
          <w:b/>
          <w:i w:val="0"/>
          <w:sz w:val="20"/>
        </w:rPr>
        <w:t>S.I.,S.A.</w:t>
      </w:r>
      <w:r w:rsidRPr="0052359C">
        <w:rPr>
          <w:rFonts w:cs="Calibri"/>
          <w:i w:val="0"/>
          <w:sz w:val="20"/>
        </w:rPr>
        <w:t xml:space="preserve">, persona jurídica del domicilio </w:t>
      </w:r>
      <w:r w:rsidR="00A46398">
        <w:rPr>
          <w:rFonts w:cs="Calibri"/>
          <w:i w:val="0"/>
          <w:sz w:val="20"/>
          <w:highlight w:val="black"/>
        </w:rPr>
        <w:t>*************************************************************************************************************************************************</w:t>
      </w:r>
      <w:r w:rsidRPr="00DA40A3">
        <w:rPr>
          <w:rFonts w:cs="Calibri"/>
          <w:i w:val="0"/>
          <w:sz w:val="20"/>
          <w:highlight w:val="black"/>
        </w:rPr>
        <w:t>ro</w:t>
      </w:r>
      <w:r w:rsidRPr="0052359C">
        <w:rPr>
          <w:rFonts w:cs="Calibri"/>
          <w:i w:val="0"/>
          <w:sz w:val="20"/>
        </w:rPr>
        <w:t>, quien en adelante me denominaré "</w:t>
      </w:r>
      <w:r w:rsidRPr="0052359C">
        <w:rPr>
          <w:rFonts w:cs="Calibri"/>
          <w:b/>
          <w:i w:val="0"/>
          <w:sz w:val="20"/>
        </w:rPr>
        <w:t>LA CONTRATISTA"</w:t>
      </w:r>
      <w:r w:rsidRPr="0052359C">
        <w:rPr>
          <w:rFonts w:cs="Calibri"/>
          <w:i w:val="0"/>
          <w:sz w:val="20"/>
        </w:rPr>
        <w:t xml:space="preserve">; y en los caracteres dichos </w:t>
      </w:r>
      <w:r w:rsidRPr="0052359C">
        <w:rPr>
          <w:rFonts w:cs="Calibri"/>
          <w:b/>
          <w:i w:val="0"/>
          <w:sz w:val="20"/>
        </w:rPr>
        <w:t>MANIFESTAMOS</w:t>
      </w:r>
      <w:r w:rsidRPr="0052359C">
        <w:rPr>
          <w:rFonts w:cs="Calibri"/>
          <w:i w:val="0"/>
          <w:sz w:val="20"/>
        </w:rPr>
        <w:t xml:space="preserve">: </w:t>
      </w:r>
      <w:r w:rsidRPr="0052359C">
        <w:rPr>
          <w:rFonts w:cs="Calibri"/>
          <w:i w:val="0"/>
          <w:sz w:val="20"/>
          <w:lang w:val="es-ES_tradnl"/>
        </w:rPr>
        <w:t xml:space="preserve">Que hemos acordado otorgar el presente </w:t>
      </w:r>
      <w:bookmarkStart w:id="0" w:name="_GoBack"/>
      <w:r w:rsidRPr="0052359C">
        <w:rPr>
          <w:rFonts w:cs="Calibri"/>
          <w:i w:val="0"/>
          <w:sz w:val="20"/>
          <w:lang w:val="es-ES_tradnl"/>
        </w:rPr>
        <w:t xml:space="preserve">contrato de </w:t>
      </w:r>
      <w:r w:rsidRPr="0052359C">
        <w:rPr>
          <w:rFonts w:cs="Calibri"/>
          <w:b/>
          <w:i w:val="0"/>
          <w:sz w:val="20"/>
        </w:rPr>
        <w:t>“SEGUROS PARA AUTOMOTORES PROPIEDAD DEL MAG Y FIANZAS DE FIDELIDAD PARA FUNCIONARIOS Y EMPLEADOS DEL MAG</w:t>
      </w:r>
      <w:r w:rsidRPr="0052359C">
        <w:rPr>
          <w:rFonts w:cs="Calibri"/>
          <w:b/>
          <w:bCs/>
          <w:i w:val="0"/>
          <w:sz w:val="20"/>
          <w:lang w:val="es-ES_tradnl"/>
        </w:rPr>
        <w:t>”</w:t>
      </w:r>
      <w:r w:rsidRPr="0052359C">
        <w:rPr>
          <w:rFonts w:eastAsia="Arial Unicode MS" w:cs="Calibri"/>
          <w:i w:val="0"/>
          <w:sz w:val="20"/>
        </w:rPr>
        <w:t>,</w:t>
      </w:r>
      <w:r w:rsidRPr="0052359C">
        <w:rPr>
          <w:rFonts w:cs="Calibri"/>
          <w:i w:val="0"/>
          <w:sz w:val="20"/>
          <w:lang w:val="es-ES_tradnl"/>
        </w:rPr>
        <w:t xml:space="preserve"> a favor y a satisfacción del Ministerio de Agricultura y Ganadería, </w:t>
      </w:r>
      <w:r w:rsidRPr="0052359C">
        <w:rPr>
          <w:rFonts w:cs="Calibri"/>
          <w:i w:val="0"/>
          <w:sz w:val="20"/>
        </w:rPr>
        <w:t xml:space="preserve">en virtud de lo establecido en las bases del proceso de </w:t>
      </w:r>
      <w:r w:rsidRPr="0052359C">
        <w:rPr>
          <w:rFonts w:cs="Arial"/>
          <w:b/>
          <w:i w:val="0"/>
          <w:sz w:val="20"/>
        </w:rPr>
        <w:t>LICITACIÓN ABIERTA DR-CAFTA-LA N° 004/2017-MAG</w:t>
      </w:r>
      <w:r w:rsidRPr="0052359C">
        <w:rPr>
          <w:rFonts w:cs="Arial"/>
          <w:i w:val="0"/>
          <w:sz w:val="20"/>
        </w:rPr>
        <w:t xml:space="preserve"> denominado </w:t>
      </w:r>
      <w:r w:rsidRPr="0052359C">
        <w:rPr>
          <w:rFonts w:cs="Arial"/>
          <w:b/>
          <w:i w:val="0"/>
          <w:sz w:val="20"/>
        </w:rPr>
        <w:t>“SEGUROS PARA AUTOMOTORES PROPIEDAD DEL MAG Y FIANZAS DE FIDELIDAD PARA FUNCIONARIOS Y EMPLEADOS DEL MAG</w:t>
      </w:r>
      <w:r w:rsidRPr="0052359C">
        <w:rPr>
          <w:rFonts w:cs="Arial"/>
          <w:b/>
          <w:bCs/>
          <w:i w:val="0"/>
          <w:sz w:val="20"/>
          <w:lang w:val="es-ES_tradnl"/>
        </w:rPr>
        <w:t>”</w:t>
      </w:r>
      <w:r w:rsidRPr="0052359C">
        <w:rPr>
          <w:rFonts w:cs="Calibri"/>
          <w:i w:val="0"/>
          <w:sz w:val="20"/>
        </w:rPr>
        <w:t>,</w:t>
      </w:r>
      <w:bookmarkEnd w:id="0"/>
      <w:r w:rsidRPr="0052359C">
        <w:rPr>
          <w:rFonts w:cs="Calibri"/>
          <w:i w:val="0"/>
          <w:sz w:val="20"/>
        </w:rPr>
        <w:t xml:space="preserve"> el Tratado de Libre Comercio entre República Dominicana – Centroamérica y Los Estados Unidos de América (TLC-DR-CAFTA), la Ley de Adquisiciones y Contrataciones de la Administración Pública (LACAP) y su Reglamento</w:t>
      </w:r>
      <w:r w:rsidRPr="0052359C">
        <w:rPr>
          <w:rFonts w:cs="Calibri"/>
          <w:i w:val="0"/>
          <w:sz w:val="20"/>
          <w:lang w:val="es-ES_tradnl"/>
        </w:rPr>
        <w:t xml:space="preserve">, la oferta presentada por Seguros e Inversiones, S.A. y en especial a las obligaciones, especificaciones y pactos siguientes: </w:t>
      </w:r>
      <w:r w:rsidRPr="0052359C">
        <w:rPr>
          <w:rFonts w:cs="Calibri"/>
          <w:b/>
          <w:i w:val="0"/>
          <w:sz w:val="20"/>
          <w:lang w:val="es-ES_tradnl"/>
        </w:rPr>
        <w:t>I. OBJETO DEL CONTRATO</w:t>
      </w:r>
      <w:r w:rsidRPr="0052359C">
        <w:rPr>
          <w:rFonts w:cs="Calibri"/>
          <w:i w:val="0"/>
          <w:sz w:val="20"/>
          <w:lang w:val="es-ES_tradnl"/>
        </w:rPr>
        <w:t xml:space="preserve">. El objeto del presente contrato es la prestación de los servicios de </w:t>
      </w:r>
      <w:r w:rsidRPr="0052359C">
        <w:rPr>
          <w:rFonts w:cs="Calibri"/>
          <w:b/>
          <w:i w:val="0"/>
          <w:sz w:val="20"/>
        </w:rPr>
        <w:t xml:space="preserve">SEGUROS PARA AUTOMOTORES PROPIEDAD DEL MAG Y FIANZAS DE </w:t>
      </w:r>
      <w:r w:rsidRPr="0052359C">
        <w:rPr>
          <w:rFonts w:cs="Calibri"/>
          <w:b/>
          <w:i w:val="0"/>
          <w:sz w:val="20"/>
        </w:rPr>
        <w:lastRenderedPageBreak/>
        <w:t>FIDELIDAD PARA FUNCIONARIOS Y EMPLEADOS DEL MAG</w:t>
      </w:r>
      <w:r w:rsidRPr="0052359C">
        <w:rPr>
          <w:rFonts w:cs="Calibri"/>
          <w:i w:val="0"/>
          <w:sz w:val="20"/>
          <w:lang w:val="es-ES_tradnl"/>
        </w:rPr>
        <w:t>, según el siguiente detalle:</w:t>
      </w:r>
    </w:p>
    <w:p w:rsidR="00211CD2" w:rsidRPr="0052359C" w:rsidRDefault="00211CD2" w:rsidP="004E09DE">
      <w:pPr>
        <w:spacing w:line="360" w:lineRule="auto"/>
        <w:jc w:val="both"/>
        <w:rPr>
          <w:rFonts w:cs="Calibri"/>
          <w:i w:val="0"/>
          <w:sz w:val="20"/>
          <w:lang w:val="es-ES_tradnl"/>
        </w:rPr>
      </w:pPr>
    </w:p>
    <w:tbl>
      <w:tblPr>
        <w:tblW w:w="8946" w:type="dxa"/>
        <w:tblInd w:w="55" w:type="dxa"/>
        <w:tblCellMar>
          <w:left w:w="70" w:type="dxa"/>
          <w:right w:w="70" w:type="dxa"/>
        </w:tblCellMar>
        <w:tblLook w:val="0000"/>
      </w:tblPr>
      <w:tblGrid>
        <w:gridCol w:w="605"/>
        <w:gridCol w:w="1277"/>
        <w:gridCol w:w="1643"/>
        <w:gridCol w:w="1290"/>
        <w:gridCol w:w="1198"/>
        <w:gridCol w:w="1181"/>
        <w:gridCol w:w="1752"/>
      </w:tblGrid>
      <w:tr w:rsidR="00211CD2" w:rsidRPr="00614FB3" w:rsidTr="00614FB3">
        <w:trPr>
          <w:trHeight w:val="263"/>
        </w:trPr>
        <w:tc>
          <w:tcPr>
            <w:tcW w:w="605" w:type="dxa"/>
            <w:vMerge w:val="restart"/>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No. DE ÍTEM</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DESCRIPCIÓN</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PERIODO DE COBERTURA</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CANTIDAD DE VEHÍCULOS A ASEGURAR Y No. DE  PERSONAS A AFIANZAR</w:t>
            </w:r>
          </w:p>
        </w:tc>
        <w:tc>
          <w:tcPr>
            <w:tcW w:w="1198" w:type="dxa"/>
            <w:vMerge w:val="restart"/>
            <w:tcBorders>
              <w:top w:val="single" w:sz="4" w:space="0" w:color="auto"/>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VALOR DE LA PRIMA MENSUAL (INCLUYENDO IVA) US$</w:t>
            </w:r>
          </w:p>
        </w:tc>
        <w:tc>
          <w:tcPr>
            <w:tcW w:w="1181" w:type="dxa"/>
            <w:vMerge w:val="restart"/>
            <w:tcBorders>
              <w:top w:val="single" w:sz="4" w:space="0" w:color="auto"/>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VALOR DE LA PRIMA TRIMESTRAL  (INCLUYENDO IVA) US$</w:t>
            </w:r>
          </w:p>
        </w:tc>
        <w:tc>
          <w:tcPr>
            <w:tcW w:w="1752" w:type="dxa"/>
            <w:vMerge w:val="restart"/>
            <w:tcBorders>
              <w:top w:val="single" w:sz="4" w:space="0" w:color="auto"/>
              <w:left w:val="single" w:sz="4" w:space="0" w:color="auto"/>
              <w:bottom w:val="single" w:sz="4" w:space="0" w:color="auto"/>
              <w:right w:val="single" w:sz="4" w:space="0" w:color="auto"/>
            </w:tcBorders>
            <w:vAlign w:val="bottom"/>
          </w:tcPr>
          <w:p w:rsidR="00211CD2" w:rsidRPr="0052359C" w:rsidRDefault="00211CD2" w:rsidP="003E54CD">
            <w:pPr>
              <w:jc w:val="center"/>
              <w:rPr>
                <w:rFonts w:cs="Arial"/>
                <w:b/>
                <w:bCs/>
                <w:i w:val="0"/>
                <w:sz w:val="14"/>
                <w:szCs w:val="14"/>
              </w:rPr>
            </w:pPr>
            <w:r w:rsidRPr="0052359C">
              <w:rPr>
                <w:rFonts w:cs="Arial"/>
                <w:b/>
                <w:bCs/>
                <w:i w:val="0"/>
                <w:sz w:val="14"/>
                <w:szCs w:val="14"/>
              </w:rPr>
              <w:t>VALOR TOTAL</w:t>
            </w:r>
            <w:r w:rsidRPr="0052359C">
              <w:rPr>
                <w:rFonts w:cs="Arial"/>
                <w:b/>
                <w:bCs/>
                <w:i w:val="0"/>
                <w:sz w:val="14"/>
                <w:szCs w:val="14"/>
              </w:rPr>
              <w:br/>
              <w:t xml:space="preserve"> DE LA PRIMA  (INCLUYENDO EL IVA</w:t>
            </w:r>
            <w:r w:rsidRPr="0052359C">
              <w:rPr>
                <w:rFonts w:cs="Arial"/>
                <w:b/>
                <w:bCs/>
                <w:i w:val="0"/>
                <w:sz w:val="14"/>
                <w:szCs w:val="14"/>
              </w:rPr>
              <w:br/>
              <w:t>PERIODO</w:t>
            </w:r>
            <w:r>
              <w:rPr>
                <w:rFonts w:cs="Arial"/>
                <w:b/>
                <w:bCs/>
                <w:i w:val="0"/>
                <w:sz w:val="14"/>
                <w:szCs w:val="14"/>
              </w:rPr>
              <w:t xml:space="preserve"> DE LAS CERO HORAS </w:t>
            </w:r>
            <w:r w:rsidRPr="0052359C">
              <w:rPr>
                <w:rFonts w:cs="Arial"/>
                <w:b/>
                <w:bCs/>
                <w:i w:val="0"/>
                <w:sz w:val="14"/>
                <w:szCs w:val="14"/>
              </w:rPr>
              <w:t xml:space="preserve">DEL 1 DE ENERO </w:t>
            </w:r>
            <w:r>
              <w:rPr>
                <w:rFonts w:cs="Arial"/>
                <w:b/>
                <w:bCs/>
                <w:i w:val="0"/>
                <w:sz w:val="14"/>
                <w:szCs w:val="14"/>
              </w:rPr>
              <w:t xml:space="preserve">DE 2017 A A LAS VEINTICUATRO HORAS DEL DIA </w:t>
            </w:r>
            <w:smartTag w:uri="urn:schemas-microsoft-com:office:smarttags" w:element="date">
              <w:smartTagPr>
                <w:attr w:name="ls" w:val="trans"/>
                <w:attr w:name="Month" w:val="12"/>
                <w:attr w:name="Day" w:val="31"/>
                <w:attr w:name="Year" w:val="2017"/>
              </w:smartTagPr>
              <w:r w:rsidRPr="0052359C">
                <w:rPr>
                  <w:rFonts w:cs="Arial"/>
                  <w:b/>
                  <w:bCs/>
                  <w:i w:val="0"/>
                  <w:sz w:val="14"/>
                  <w:szCs w:val="14"/>
                </w:rPr>
                <w:t>31 DE DICIEMBRE DE 2017</w:t>
              </w:r>
              <w:r>
                <w:rPr>
                  <w:rFonts w:cs="Arial"/>
                  <w:b/>
                  <w:bCs/>
                  <w:i w:val="0"/>
                  <w:sz w:val="14"/>
                  <w:szCs w:val="14"/>
                </w:rPr>
                <w:t>)</w:t>
              </w:r>
            </w:smartTag>
            <w:r w:rsidRPr="0052359C">
              <w:rPr>
                <w:rFonts w:cs="Arial"/>
                <w:b/>
                <w:bCs/>
                <w:i w:val="0"/>
                <w:sz w:val="14"/>
                <w:szCs w:val="14"/>
              </w:rPr>
              <w:t xml:space="preserve"> US$</w:t>
            </w:r>
          </w:p>
        </w:tc>
      </w:tr>
      <w:tr w:rsidR="00211CD2" w:rsidRPr="00614FB3" w:rsidTr="00614FB3">
        <w:trPr>
          <w:trHeight w:val="1017"/>
        </w:trPr>
        <w:tc>
          <w:tcPr>
            <w:tcW w:w="605" w:type="dxa"/>
            <w:vMerge/>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rPr>
                <w:rFonts w:cs="Arial"/>
                <w:b/>
                <w:bCs/>
                <w:i w:val="0"/>
                <w:sz w:val="14"/>
                <w:szCs w:val="1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rPr>
                <w:rFonts w:cs="Arial"/>
                <w:b/>
                <w:bCs/>
                <w:i w:val="0"/>
                <w:sz w:val="14"/>
                <w:szCs w:val="14"/>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rPr>
                <w:rFonts w:cs="Arial"/>
                <w:b/>
                <w:bCs/>
                <w:i w:val="0"/>
                <w:sz w:val="14"/>
                <w:szCs w:val="1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rPr>
                <w:rFonts w:cs="Arial"/>
                <w:b/>
                <w:bCs/>
                <w:i w:val="0"/>
                <w:sz w:val="14"/>
                <w:szCs w:val="14"/>
              </w:rPr>
            </w:pPr>
          </w:p>
        </w:tc>
        <w:tc>
          <w:tcPr>
            <w:tcW w:w="1198" w:type="dxa"/>
            <w:vMerge/>
            <w:tcBorders>
              <w:top w:val="single" w:sz="4" w:space="0" w:color="auto"/>
              <w:left w:val="single" w:sz="4" w:space="0" w:color="auto"/>
              <w:bottom w:val="single" w:sz="4" w:space="0" w:color="000000"/>
              <w:right w:val="single" w:sz="4" w:space="0" w:color="auto"/>
            </w:tcBorders>
            <w:vAlign w:val="center"/>
          </w:tcPr>
          <w:p w:rsidR="00211CD2" w:rsidRPr="0052359C" w:rsidRDefault="00211CD2" w:rsidP="0077567B">
            <w:pPr>
              <w:rPr>
                <w:rFonts w:cs="Arial"/>
                <w:b/>
                <w:bCs/>
                <w:i w:val="0"/>
                <w:sz w:val="14"/>
                <w:szCs w:val="14"/>
              </w:rPr>
            </w:pPr>
          </w:p>
        </w:tc>
        <w:tc>
          <w:tcPr>
            <w:tcW w:w="1181" w:type="dxa"/>
            <w:vMerge/>
            <w:tcBorders>
              <w:top w:val="single" w:sz="4" w:space="0" w:color="auto"/>
              <w:left w:val="single" w:sz="4" w:space="0" w:color="auto"/>
              <w:bottom w:val="single" w:sz="4" w:space="0" w:color="000000"/>
              <w:right w:val="single" w:sz="4" w:space="0" w:color="auto"/>
            </w:tcBorders>
            <w:vAlign w:val="center"/>
          </w:tcPr>
          <w:p w:rsidR="00211CD2" w:rsidRPr="0052359C" w:rsidRDefault="00211CD2" w:rsidP="0077567B">
            <w:pPr>
              <w:rPr>
                <w:rFonts w:cs="Arial"/>
                <w:b/>
                <w:bCs/>
                <w:i w:val="0"/>
                <w:sz w:val="14"/>
                <w:szCs w:val="14"/>
              </w:rPr>
            </w:pPr>
          </w:p>
        </w:tc>
        <w:tc>
          <w:tcPr>
            <w:tcW w:w="1752" w:type="dxa"/>
            <w:vMerge/>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rPr>
                <w:rFonts w:cs="Arial"/>
                <w:b/>
                <w:bCs/>
                <w:i w:val="0"/>
                <w:sz w:val="14"/>
                <w:szCs w:val="14"/>
              </w:rPr>
            </w:pPr>
          </w:p>
        </w:tc>
      </w:tr>
      <w:tr w:rsidR="00211CD2" w:rsidRPr="00614FB3" w:rsidTr="00614FB3">
        <w:trPr>
          <w:trHeight w:val="540"/>
        </w:trPr>
        <w:tc>
          <w:tcPr>
            <w:tcW w:w="605"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I</w:t>
            </w:r>
          </w:p>
        </w:tc>
        <w:tc>
          <w:tcPr>
            <w:tcW w:w="1277"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SEGUROS DE AUTOMOTORES</w:t>
            </w:r>
          </w:p>
        </w:tc>
        <w:tc>
          <w:tcPr>
            <w:tcW w:w="1643"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3E54CD">
            <w:pPr>
              <w:jc w:val="center"/>
              <w:rPr>
                <w:rFonts w:cs="Arial"/>
                <w:i w:val="0"/>
                <w:sz w:val="14"/>
                <w:szCs w:val="14"/>
              </w:rPr>
            </w:pPr>
            <w:r w:rsidRPr="0052359C">
              <w:rPr>
                <w:rFonts w:cs="Arial"/>
                <w:i w:val="0"/>
                <w:sz w:val="14"/>
                <w:szCs w:val="14"/>
              </w:rPr>
              <w:t>DEL 1 DE ENERO</w:t>
            </w:r>
            <w:r>
              <w:rPr>
                <w:rFonts w:cs="Arial"/>
                <w:i w:val="0"/>
                <w:sz w:val="14"/>
                <w:szCs w:val="14"/>
              </w:rPr>
              <w:t xml:space="preserve"> DE 2017</w:t>
            </w:r>
            <w:r w:rsidRPr="0052359C">
              <w:rPr>
                <w:rFonts w:cs="Arial"/>
                <w:i w:val="0"/>
                <w:sz w:val="14"/>
                <w:szCs w:val="14"/>
              </w:rPr>
              <w:t xml:space="preserve"> AL </w:t>
            </w:r>
            <w:smartTag w:uri="urn:schemas-microsoft-com:office:smarttags" w:element="date">
              <w:smartTagPr>
                <w:attr w:name="ls" w:val="trans"/>
                <w:attr w:name="Month" w:val="12"/>
                <w:attr w:name="Day" w:val="31"/>
                <w:attr w:name="Year" w:val="17"/>
              </w:smartTagPr>
              <w:r w:rsidRPr="0052359C">
                <w:rPr>
                  <w:rFonts w:cs="Arial"/>
                  <w:i w:val="0"/>
                  <w:sz w:val="14"/>
                  <w:szCs w:val="14"/>
                </w:rPr>
                <w:t>31 DE DICIEMBRE/2017</w:t>
              </w:r>
            </w:smartTag>
          </w:p>
        </w:tc>
        <w:tc>
          <w:tcPr>
            <w:tcW w:w="1290"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385</w:t>
            </w:r>
          </w:p>
        </w:tc>
        <w:tc>
          <w:tcPr>
            <w:tcW w:w="1198" w:type="dxa"/>
            <w:vMerge w:val="restart"/>
            <w:tcBorders>
              <w:top w:val="nil"/>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$10,190.79</w:t>
            </w:r>
          </w:p>
        </w:tc>
        <w:tc>
          <w:tcPr>
            <w:tcW w:w="1181" w:type="dxa"/>
            <w:vMerge w:val="restart"/>
            <w:tcBorders>
              <w:top w:val="nil"/>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$30,572.38</w:t>
            </w:r>
          </w:p>
        </w:tc>
        <w:tc>
          <w:tcPr>
            <w:tcW w:w="1752"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122,289.52</w:t>
            </w:r>
          </w:p>
        </w:tc>
      </w:tr>
      <w:tr w:rsidR="00211CD2" w:rsidRPr="00614FB3" w:rsidTr="00614FB3">
        <w:trPr>
          <w:trHeight w:val="195"/>
        </w:trPr>
        <w:tc>
          <w:tcPr>
            <w:tcW w:w="605"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277"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643"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290"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198" w:type="dxa"/>
            <w:vMerge/>
            <w:tcBorders>
              <w:top w:val="nil"/>
              <w:left w:val="single" w:sz="4" w:space="0" w:color="auto"/>
              <w:bottom w:val="single" w:sz="4" w:space="0" w:color="000000"/>
              <w:right w:val="single" w:sz="4" w:space="0" w:color="auto"/>
            </w:tcBorders>
            <w:vAlign w:val="center"/>
          </w:tcPr>
          <w:p w:rsidR="00211CD2" w:rsidRPr="0052359C" w:rsidRDefault="00211CD2" w:rsidP="0077567B">
            <w:pPr>
              <w:rPr>
                <w:rFonts w:cs="Arial"/>
                <w:i w:val="0"/>
                <w:sz w:val="14"/>
                <w:szCs w:val="14"/>
              </w:rPr>
            </w:pPr>
          </w:p>
        </w:tc>
        <w:tc>
          <w:tcPr>
            <w:tcW w:w="1181" w:type="dxa"/>
            <w:vMerge/>
            <w:tcBorders>
              <w:top w:val="nil"/>
              <w:left w:val="single" w:sz="4" w:space="0" w:color="auto"/>
              <w:bottom w:val="single" w:sz="4" w:space="0" w:color="000000"/>
              <w:right w:val="single" w:sz="4" w:space="0" w:color="auto"/>
            </w:tcBorders>
            <w:vAlign w:val="center"/>
          </w:tcPr>
          <w:p w:rsidR="00211CD2" w:rsidRPr="0052359C" w:rsidRDefault="00211CD2" w:rsidP="0077567B">
            <w:pPr>
              <w:rPr>
                <w:rFonts w:cs="Arial"/>
                <w:i w:val="0"/>
                <w:sz w:val="14"/>
                <w:szCs w:val="14"/>
              </w:rPr>
            </w:pPr>
          </w:p>
        </w:tc>
        <w:tc>
          <w:tcPr>
            <w:tcW w:w="1752"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r>
      <w:tr w:rsidR="00211CD2" w:rsidRPr="00614FB3" w:rsidTr="00614FB3">
        <w:trPr>
          <w:trHeight w:val="540"/>
        </w:trPr>
        <w:tc>
          <w:tcPr>
            <w:tcW w:w="605"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II</w:t>
            </w:r>
          </w:p>
        </w:tc>
        <w:tc>
          <w:tcPr>
            <w:tcW w:w="1277"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FIANZAS DE FIDELIDAD</w:t>
            </w:r>
          </w:p>
        </w:tc>
        <w:tc>
          <w:tcPr>
            <w:tcW w:w="1643"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 xml:space="preserve">DEL 1 DE ENERO </w:t>
            </w:r>
            <w:r>
              <w:rPr>
                <w:rFonts w:cs="Arial"/>
                <w:i w:val="0"/>
                <w:sz w:val="14"/>
                <w:szCs w:val="14"/>
              </w:rPr>
              <w:t>DE 2017</w:t>
            </w:r>
            <w:r w:rsidRPr="0052359C">
              <w:rPr>
                <w:rFonts w:cs="Arial"/>
                <w:i w:val="0"/>
                <w:sz w:val="14"/>
                <w:szCs w:val="14"/>
              </w:rPr>
              <w:t xml:space="preserve"> AL </w:t>
            </w:r>
            <w:smartTag w:uri="urn:schemas-microsoft-com:office:smarttags" w:element="date">
              <w:smartTagPr>
                <w:attr w:name="ls" w:val="trans"/>
                <w:attr w:name="Month" w:val="12"/>
                <w:attr w:name="Day" w:val="31"/>
                <w:attr w:name="Year" w:val="17"/>
              </w:smartTagPr>
              <w:r w:rsidRPr="0052359C">
                <w:rPr>
                  <w:rFonts w:cs="Arial"/>
                  <w:i w:val="0"/>
                  <w:sz w:val="14"/>
                  <w:szCs w:val="14"/>
                </w:rPr>
                <w:t>31 DE DICIEMBRE/2017</w:t>
              </w:r>
            </w:smartTag>
          </w:p>
        </w:tc>
        <w:tc>
          <w:tcPr>
            <w:tcW w:w="1290"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83 PERSONAS             (187 CARGOS)</w:t>
            </w:r>
          </w:p>
        </w:tc>
        <w:tc>
          <w:tcPr>
            <w:tcW w:w="1198" w:type="dxa"/>
            <w:vMerge w:val="restart"/>
            <w:tcBorders>
              <w:top w:val="nil"/>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$655.25</w:t>
            </w:r>
          </w:p>
        </w:tc>
        <w:tc>
          <w:tcPr>
            <w:tcW w:w="1181" w:type="dxa"/>
            <w:vMerge w:val="restart"/>
            <w:tcBorders>
              <w:top w:val="nil"/>
              <w:left w:val="single" w:sz="4" w:space="0" w:color="auto"/>
              <w:bottom w:val="single" w:sz="4" w:space="0" w:color="000000"/>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$1,965.74</w:t>
            </w:r>
          </w:p>
        </w:tc>
        <w:tc>
          <w:tcPr>
            <w:tcW w:w="1752" w:type="dxa"/>
            <w:vMerge w:val="restart"/>
            <w:tcBorders>
              <w:top w:val="nil"/>
              <w:left w:val="single" w:sz="4" w:space="0" w:color="auto"/>
              <w:bottom w:val="single" w:sz="4" w:space="0" w:color="auto"/>
              <w:right w:val="single" w:sz="4" w:space="0" w:color="auto"/>
            </w:tcBorders>
            <w:vAlign w:val="center"/>
          </w:tcPr>
          <w:p w:rsidR="00211CD2" w:rsidRPr="0052359C" w:rsidRDefault="00211CD2" w:rsidP="0077567B">
            <w:pPr>
              <w:jc w:val="center"/>
              <w:rPr>
                <w:rFonts w:cs="Arial"/>
                <w:i w:val="0"/>
                <w:sz w:val="14"/>
                <w:szCs w:val="14"/>
              </w:rPr>
            </w:pPr>
            <w:r w:rsidRPr="0052359C">
              <w:rPr>
                <w:rFonts w:cs="Arial"/>
                <w:i w:val="0"/>
                <w:sz w:val="14"/>
                <w:szCs w:val="14"/>
              </w:rPr>
              <w:t>7,862.96</w:t>
            </w:r>
          </w:p>
        </w:tc>
      </w:tr>
      <w:tr w:rsidR="00211CD2" w:rsidRPr="00614FB3" w:rsidTr="00614FB3">
        <w:trPr>
          <w:trHeight w:val="195"/>
        </w:trPr>
        <w:tc>
          <w:tcPr>
            <w:tcW w:w="605"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277"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643"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290"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c>
          <w:tcPr>
            <w:tcW w:w="1198" w:type="dxa"/>
            <w:vMerge/>
            <w:tcBorders>
              <w:top w:val="nil"/>
              <w:left w:val="single" w:sz="4" w:space="0" w:color="auto"/>
              <w:bottom w:val="single" w:sz="4" w:space="0" w:color="000000"/>
              <w:right w:val="single" w:sz="4" w:space="0" w:color="auto"/>
            </w:tcBorders>
            <w:vAlign w:val="center"/>
          </w:tcPr>
          <w:p w:rsidR="00211CD2" w:rsidRPr="0052359C" w:rsidRDefault="00211CD2" w:rsidP="0077567B">
            <w:pPr>
              <w:rPr>
                <w:rFonts w:cs="Arial"/>
                <w:i w:val="0"/>
                <w:sz w:val="14"/>
                <w:szCs w:val="14"/>
              </w:rPr>
            </w:pPr>
          </w:p>
        </w:tc>
        <w:tc>
          <w:tcPr>
            <w:tcW w:w="1181" w:type="dxa"/>
            <w:vMerge/>
            <w:tcBorders>
              <w:top w:val="nil"/>
              <w:left w:val="single" w:sz="4" w:space="0" w:color="auto"/>
              <w:bottom w:val="single" w:sz="4" w:space="0" w:color="000000"/>
              <w:right w:val="single" w:sz="4" w:space="0" w:color="auto"/>
            </w:tcBorders>
            <w:vAlign w:val="center"/>
          </w:tcPr>
          <w:p w:rsidR="00211CD2" w:rsidRPr="0052359C" w:rsidRDefault="00211CD2" w:rsidP="0077567B">
            <w:pPr>
              <w:rPr>
                <w:rFonts w:cs="Arial"/>
                <w:i w:val="0"/>
                <w:sz w:val="14"/>
                <w:szCs w:val="14"/>
              </w:rPr>
            </w:pPr>
          </w:p>
        </w:tc>
        <w:tc>
          <w:tcPr>
            <w:tcW w:w="1752" w:type="dxa"/>
            <w:vMerge/>
            <w:tcBorders>
              <w:top w:val="nil"/>
              <w:left w:val="single" w:sz="4" w:space="0" w:color="auto"/>
              <w:bottom w:val="single" w:sz="4" w:space="0" w:color="auto"/>
              <w:right w:val="single" w:sz="4" w:space="0" w:color="auto"/>
            </w:tcBorders>
            <w:vAlign w:val="center"/>
          </w:tcPr>
          <w:p w:rsidR="00211CD2" w:rsidRPr="0052359C" w:rsidRDefault="00211CD2" w:rsidP="0077567B">
            <w:pPr>
              <w:rPr>
                <w:rFonts w:cs="Arial"/>
                <w:i w:val="0"/>
                <w:sz w:val="14"/>
                <w:szCs w:val="14"/>
              </w:rPr>
            </w:pPr>
          </w:p>
        </w:tc>
      </w:tr>
      <w:tr w:rsidR="00211CD2" w:rsidRPr="00614FB3" w:rsidTr="00614FB3">
        <w:trPr>
          <w:trHeight w:val="233"/>
        </w:trPr>
        <w:tc>
          <w:tcPr>
            <w:tcW w:w="7194" w:type="dxa"/>
            <w:gridSpan w:val="6"/>
            <w:tcBorders>
              <w:top w:val="single" w:sz="4" w:space="0" w:color="auto"/>
              <w:left w:val="single" w:sz="4" w:space="0" w:color="auto"/>
              <w:bottom w:val="single" w:sz="4" w:space="0" w:color="auto"/>
              <w:right w:val="single" w:sz="4" w:space="0" w:color="auto"/>
            </w:tcBorders>
            <w:vAlign w:val="center"/>
          </w:tcPr>
          <w:p w:rsidR="00211CD2" w:rsidRPr="0052359C" w:rsidRDefault="00211CD2" w:rsidP="0077567B">
            <w:pPr>
              <w:jc w:val="right"/>
              <w:rPr>
                <w:rFonts w:cs="Arial"/>
                <w:b/>
                <w:bCs/>
                <w:i w:val="0"/>
                <w:sz w:val="14"/>
                <w:szCs w:val="14"/>
              </w:rPr>
            </w:pPr>
            <w:r w:rsidRPr="0052359C">
              <w:rPr>
                <w:rFonts w:cs="Arial"/>
                <w:b/>
                <w:bCs/>
                <w:i w:val="0"/>
                <w:sz w:val="14"/>
                <w:szCs w:val="14"/>
              </w:rPr>
              <w:t xml:space="preserve">TOTAL </w:t>
            </w:r>
          </w:p>
          <w:p w:rsidR="00211CD2" w:rsidRPr="0052359C" w:rsidRDefault="00211CD2" w:rsidP="0077567B">
            <w:pPr>
              <w:jc w:val="center"/>
              <w:rPr>
                <w:rFonts w:cs="Arial"/>
                <w:b/>
                <w:bCs/>
                <w:i w:val="0"/>
                <w:sz w:val="14"/>
                <w:szCs w:val="14"/>
              </w:rPr>
            </w:pPr>
          </w:p>
        </w:tc>
        <w:tc>
          <w:tcPr>
            <w:tcW w:w="1752" w:type="dxa"/>
            <w:tcBorders>
              <w:top w:val="nil"/>
              <w:left w:val="nil"/>
              <w:bottom w:val="single" w:sz="4" w:space="0" w:color="auto"/>
              <w:right w:val="single" w:sz="4" w:space="0" w:color="auto"/>
            </w:tcBorders>
            <w:vAlign w:val="center"/>
          </w:tcPr>
          <w:p w:rsidR="00211CD2" w:rsidRPr="0052359C" w:rsidRDefault="00211CD2" w:rsidP="0077567B">
            <w:pPr>
              <w:jc w:val="center"/>
              <w:rPr>
                <w:rFonts w:cs="Arial"/>
                <w:b/>
                <w:bCs/>
                <w:i w:val="0"/>
                <w:sz w:val="14"/>
                <w:szCs w:val="14"/>
              </w:rPr>
            </w:pPr>
            <w:r w:rsidRPr="0052359C">
              <w:rPr>
                <w:rFonts w:cs="Arial"/>
                <w:b/>
                <w:bCs/>
                <w:i w:val="0"/>
                <w:sz w:val="14"/>
                <w:szCs w:val="14"/>
              </w:rPr>
              <w:t>130,152.48</w:t>
            </w:r>
          </w:p>
        </w:tc>
      </w:tr>
    </w:tbl>
    <w:p w:rsidR="00211CD2" w:rsidRPr="00614FB3" w:rsidRDefault="00211CD2" w:rsidP="004E09DE">
      <w:pPr>
        <w:spacing w:line="360" w:lineRule="auto"/>
        <w:jc w:val="both"/>
        <w:rPr>
          <w:rFonts w:cs="Calibri"/>
          <w:i w:val="0"/>
          <w:sz w:val="21"/>
          <w:szCs w:val="21"/>
          <w:lang w:val="es-ES_tradnl"/>
        </w:rPr>
      </w:pPr>
    </w:p>
    <w:p w:rsidR="00211CD2" w:rsidRPr="00E651F9" w:rsidRDefault="00211CD2" w:rsidP="00BD43C7">
      <w:pPr>
        <w:pStyle w:val="Head21"/>
        <w:suppressAutoHyphens w:val="0"/>
        <w:spacing w:line="360" w:lineRule="auto"/>
        <w:jc w:val="both"/>
        <w:rPr>
          <w:rFonts w:ascii="Bookman Old Style" w:hAnsi="Bookman Old Style" w:cs="Calibri"/>
          <w:sz w:val="20"/>
        </w:rPr>
      </w:pPr>
      <w:r w:rsidRPr="00E651F9">
        <w:rPr>
          <w:rFonts w:ascii="Bookman Old Style" w:hAnsi="Bookman Old Style" w:cs="Calibri"/>
          <w:b w:val="0"/>
          <w:sz w:val="20"/>
        </w:rPr>
        <w:t xml:space="preserve">Los servicios de seguros para automotores y fianzas de fidelidad serán prestados por LA CONTRATISTA durante el plazo y en la forma establecida en el presente contrato. A efecto de garantizar el cumplimiento del presente contrato, EL CONTRATANTE podrá realizar todas las gestiones de control en los aspectos material, técnico financiero, legal y contable que razonablemente considere necesarias a efecto de salvaguardar los intereses que persigue. </w:t>
      </w:r>
      <w:r w:rsidRPr="00E651F9">
        <w:rPr>
          <w:rFonts w:ascii="Bookman Old Style" w:hAnsi="Bookman Old Style" w:cs="Calibri"/>
          <w:sz w:val="20"/>
        </w:rPr>
        <w:t>II. PRECIO Y FORMA DE PAGO</w:t>
      </w:r>
      <w:r w:rsidRPr="00E651F9">
        <w:rPr>
          <w:rFonts w:ascii="Bookman Old Style" w:hAnsi="Bookman Old Style" w:cs="Calibri"/>
          <w:b w:val="0"/>
          <w:sz w:val="20"/>
        </w:rPr>
        <w:t xml:space="preserve">. El precio total por los servicios objeto del presente contrato será de </w:t>
      </w:r>
      <w:r w:rsidRPr="00E651F9">
        <w:rPr>
          <w:rFonts w:ascii="Bookman Old Style" w:hAnsi="Bookman Old Style" w:cs="Calibri"/>
          <w:sz w:val="20"/>
        </w:rPr>
        <w:t xml:space="preserve">CIENTO TREINTA MIL CIENTO CINCUENTA Y DOS DÓLARES DE LOS ESTADOS UNIDOS DE AMERICA CON CUARENTA Y OCHO CENTAVOS </w:t>
      </w:r>
      <w:r w:rsidRPr="00E651F9">
        <w:rPr>
          <w:rFonts w:ascii="Bookman Old Style" w:hAnsi="Bookman Old Style" w:cs="Calibri"/>
          <w:sz w:val="20"/>
          <w:lang w:val="es-MX"/>
        </w:rPr>
        <w:t>(US$130,152.48)</w:t>
      </w:r>
      <w:r w:rsidRPr="00E651F9">
        <w:rPr>
          <w:rFonts w:ascii="Bookman Old Style" w:hAnsi="Bookman Old Style" w:cs="Calibri"/>
          <w:b w:val="0"/>
          <w:color w:val="FF0000"/>
          <w:sz w:val="20"/>
          <w:lang w:val="es-MX"/>
        </w:rPr>
        <w:t xml:space="preserve"> </w:t>
      </w:r>
      <w:r w:rsidRPr="00E651F9">
        <w:rPr>
          <w:rFonts w:ascii="Bookman Old Style" w:hAnsi="Bookman Old Style"/>
          <w:b w:val="0"/>
          <w:sz w:val="20"/>
        </w:rPr>
        <w:t xml:space="preserve">el cual incluye el Impuesto a la Transferencia de Bienes Muebles y a la Prestación de Servicios IVA. EL MAG pagará a </w:t>
      </w:r>
      <w:r>
        <w:rPr>
          <w:rFonts w:ascii="Bookman Old Style" w:hAnsi="Bookman Old Style"/>
          <w:b w:val="0"/>
          <w:sz w:val="20"/>
        </w:rPr>
        <w:t>LA CONTRATISTA</w:t>
      </w:r>
      <w:r w:rsidRPr="00E651F9">
        <w:rPr>
          <w:rFonts w:ascii="Bookman Old Style" w:hAnsi="Bookman Old Style"/>
          <w:b w:val="0"/>
          <w:sz w:val="20"/>
        </w:rPr>
        <w:t xml:space="preserve"> los servicios objeto del presente contrato mediante cuotas trimestrales de la siguiente manera: </w:t>
      </w:r>
      <w:r w:rsidRPr="00E651F9">
        <w:rPr>
          <w:rFonts w:ascii="Bookman Old Style" w:hAnsi="Bookman Old Style"/>
          <w:sz w:val="20"/>
        </w:rPr>
        <w:t>a)</w:t>
      </w:r>
      <w:r w:rsidRPr="00E651F9">
        <w:rPr>
          <w:rFonts w:ascii="Bookman Old Style" w:hAnsi="Bookman Old Style"/>
          <w:b w:val="0"/>
          <w:sz w:val="20"/>
        </w:rPr>
        <w:t xml:space="preserve"> Para los tres primeros trimestres correspondientes a los seguros para automotores del período de enero a septiembre del presente año, serán cancelados así: Tres cuotas de </w:t>
      </w:r>
      <w:r w:rsidRPr="00E651F9">
        <w:rPr>
          <w:rFonts w:ascii="Bookman Old Style" w:hAnsi="Bookman Old Style"/>
          <w:sz w:val="20"/>
        </w:rPr>
        <w:t>TREINTA MIL QUINIENTOS SETENTA Y DOS DÓLARES DE LOS ESTADOS UNIDOS DE AMERICA CON TREINTA Y OCHO CENTAVOS (US$30,572.38)</w:t>
      </w:r>
      <w:r w:rsidRPr="00E651F9">
        <w:rPr>
          <w:rFonts w:ascii="Bookman Old Style" w:hAnsi="Bookman Old Style"/>
          <w:b w:val="0"/>
          <w:sz w:val="20"/>
        </w:rPr>
        <w:t xml:space="preserve">, el cual incluye el Impuesto a la Transferencia de Bienes Muebles y a la Prestación de Servicios (IVA), que será pagado por la Dirección General de Sanidad Vegetal y Animal, contra la presentación del Comprobante de Crédito Fiscal a nombre de Pagaduría Auxiliar Fondo de Actividades Especiales Dirección General de Sanidad Vegetal y Animal (DGSVA), y un pago para el último trimestre correspondiente a los seguros para automotores del período de octubre a diciembre de dos mil diecisiete, de </w:t>
      </w:r>
      <w:r w:rsidRPr="00E651F9">
        <w:rPr>
          <w:rFonts w:ascii="Bookman Old Style" w:hAnsi="Bookman Old Style"/>
          <w:sz w:val="20"/>
        </w:rPr>
        <w:t xml:space="preserve">TREINTA MIL QUINIENTOS SETENTA Y DOS DÓLARES DE LOS ESTADOS UNIDOS DE AMERICA CON TREINTA Y </w:t>
      </w:r>
      <w:r w:rsidRPr="00E651F9">
        <w:rPr>
          <w:rFonts w:ascii="Bookman Old Style" w:hAnsi="Bookman Old Style"/>
          <w:sz w:val="20"/>
        </w:rPr>
        <w:lastRenderedPageBreak/>
        <w:t>OCHO CENTAVOS (US$30,572.38)</w:t>
      </w:r>
      <w:r w:rsidRPr="00E651F9">
        <w:rPr>
          <w:rFonts w:ascii="Bookman Old Style" w:hAnsi="Bookman Old Style"/>
          <w:b w:val="0"/>
          <w:sz w:val="20"/>
        </w:rPr>
        <w:t xml:space="preserve">, el cual incluye el Impuesto a la Transferencia de Bienes Muebles y a la Prestación de Servicios (IVA), que será pagada por MAG/Secretaría de Estado, contra la presentación de Factura de Consumidor Final a nombre de SECRETARÍA DE ESTADO-MAG, y </w:t>
      </w:r>
      <w:r w:rsidRPr="00E651F9">
        <w:rPr>
          <w:rFonts w:ascii="Bookman Old Style" w:hAnsi="Bookman Old Style"/>
          <w:sz w:val="20"/>
        </w:rPr>
        <w:t xml:space="preserve">b) </w:t>
      </w:r>
      <w:r w:rsidRPr="00E651F9">
        <w:rPr>
          <w:rFonts w:ascii="Bookman Old Style" w:hAnsi="Bookman Old Style"/>
          <w:b w:val="0"/>
          <w:sz w:val="20"/>
        </w:rPr>
        <w:t xml:space="preserve">Lo correspondiente a los seguros de fianzas de fidelidad para los cuatro trimestres correspondientes al período de enero a diciembre del presente año, serán cancelados así: Cuatro pagos por un monto de </w:t>
      </w:r>
      <w:r w:rsidRPr="00E651F9">
        <w:rPr>
          <w:rFonts w:ascii="Bookman Old Style" w:hAnsi="Bookman Old Style"/>
          <w:sz w:val="20"/>
        </w:rPr>
        <w:t>UN MIL NOVECIENTOS SESENTA Y CINCO DÓLARES DE LOS ESTADOS UNIDOS DE AMERICA CON SETENTA Y CUATRO CENTAVOS (US$1,965.74),</w:t>
      </w:r>
      <w:r w:rsidRPr="00E651F9">
        <w:rPr>
          <w:rFonts w:ascii="Bookman Old Style" w:hAnsi="Bookman Old Style"/>
          <w:b w:val="0"/>
          <w:sz w:val="20"/>
        </w:rPr>
        <w:t xml:space="preserve"> el cual incluye el Impuesto a la Transferencia de Bienes Muebles y a la Prestación de Servicios (IVA), que serán pagados por la Dirección General de Sanidad Vegetal y Animal, contra la presentación de los Comprobantes de Crédito Fiscal a nombre de Pagaduría Auxiliar Fondo de Actividades Especiales Dirección General de Sanidad Vegetal y Animal (DGSVA); EL CONTRATANTE podrá efectuar los pagos arriba detallados dentro de un plazo máximo de treinta días hábiles contados a partir de la fecha de presentación de la factura de consumidor final y/o comprobantes de crédito fiscal correspondientes, y las actas de recepción respectivas, documentos que deberán estar firmadas por el administrador del contrato, haciendo constar que se recibió a satisfacción el servicio; y por ser las Direcciones solicitantes Agentes de Retención, de dicho pago se retendrá el uno por ciento en concepto de anticipo del Impuesto a la Transferencia de Bienes Muebles y a la Prestación de Servicios IVA, según Resoluciones emitidas por el Ministerio de Hacienda número doce mil trescientos uno–NEX–dos mil ciento treinta y seis–dos mil siete, al Ministerio de Agricultura y Ganadería y doce mil trescientos uno–NEX–dos mil ciento sesenta y tres–dos mil siete, a la Dirección General de Sanidad Vegetal y Animal. El pago será realizado mediante el Sistema de Cuenta Única del Tesoro Público por la Dirección General de Tesorería del Ministerio de Hacienda a la cuenta designada por la sociedad SEGUROS E INVERSIONES, SOCIEDAD ANÓNIMA, siguiente: número de la cuenta: </w:t>
      </w:r>
      <w:r w:rsidR="00A46398">
        <w:rPr>
          <w:rFonts w:ascii="Bookman Old Style" w:hAnsi="Bookman Old Style"/>
          <w:b w:val="0"/>
          <w:caps/>
          <w:sz w:val="20"/>
          <w:highlight w:val="black"/>
        </w:rPr>
        <w:t>***********************************************************************************</w:t>
      </w:r>
      <w:r w:rsidRPr="00DA40A3">
        <w:rPr>
          <w:rFonts w:ascii="Bookman Old Style" w:hAnsi="Bookman Old Style"/>
          <w:b w:val="0"/>
          <w:sz w:val="20"/>
          <w:highlight w:val="black"/>
        </w:rPr>
        <w:t>A</w:t>
      </w:r>
      <w:r w:rsidRPr="00E651F9">
        <w:rPr>
          <w:rFonts w:ascii="Bookman Old Style" w:hAnsi="Bookman Old Style"/>
          <w:b w:val="0"/>
          <w:sz w:val="20"/>
        </w:rPr>
        <w:t>. cuyo titular es LA CONTRATISTA,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E651F9">
        <w:rPr>
          <w:rFonts w:ascii="Bookman Old Style" w:hAnsi="Bookman Old Style" w:cs="Calibri"/>
          <w:b w:val="0"/>
          <w:sz w:val="20"/>
        </w:rPr>
        <w:t xml:space="preserve">. </w:t>
      </w:r>
      <w:r w:rsidRPr="00E651F9">
        <w:rPr>
          <w:rFonts w:ascii="Bookman Old Style" w:hAnsi="Bookman Old Style" w:cs="Calibri"/>
          <w:sz w:val="20"/>
        </w:rPr>
        <w:t>III. VIGENCIA DEL CONTRATO</w:t>
      </w:r>
      <w:r w:rsidRPr="00E651F9">
        <w:rPr>
          <w:rFonts w:ascii="Bookman Old Style" w:hAnsi="Bookman Old Style" w:cs="Calibri"/>
          <w:b w:val="0"/>
          <w:sz w:val="20"/>
        </w:rPr>
        <w:t>. La vigencia del presente contrato será de TRESCIENTOS SESENTA Y CINCO DÍAS CALENDARIO, contados a partir de las cero horas del día uno de enero de dos mil diecisiete hasta las veinticuatro horas del día treinta y uno de diciembre de dos mil diecisiete</w:t>
      </w:r>
      <w:r w:rsidRPr="00E651F9">
        <w:rPr>
          <w:rFonts w:ascii="Bookman Old Style" w:hAnsi="Bookman Old Style" w:cs="Calibri"/>
          <w:b w:val="0"/>
          <w:sz w:val="20"/>
          <w:lang w:val="es-MX"/>
        </w:rPr>
        <w:t xml:space="preserve">. Se podrá prorrogar el plazo del contrato de conformidad con la LACAP y su Reglamento. </w:t>
      </w:r>
      <w:r w:rsidRPr="00E651F9">
        <w:rPr>
          <w:rFonts w:ascii="Bookman Old Style" w:hAnsi="Bookman Old Style" w:cs="Calibri"/>
          <w:sz w:val="20"/>
        </w:rPr>
        <w:t>IV. FORMA Y LUGAR DE PRESENTACIÓN DE LOS SERVICIOS</w:t>
      </w:r>
      <w:r w:rsidRPr="00E651F9">
        <w:rPr>
          <w:rFonts w:ascii="Bookman Old Style" w:hAnsi="Bookman Old Style" w:cs="Calibri"/>
          <w:b w:val="0"/>
          <w:sz w:val="20"/>
        </w:rPr>
        <w:t xml:space="preserve">. </w:t>
      </w:r>
      <w:r w:rsidRPr="00E651F9">
        <w:rPr>
          <w:rFonts w:ascii="Bookman Old Style" w:hAnsi="Bookman Old Style"/>
          <w:b w:val="0"/>
          <w:sz w:val="20"/>
        </w:rPr>
        <w:t xml:space="preserve">De conformidad con el artículo cuarenta y cuatro letra j) de la Ley de Adquisiciones y Contrataciones de la </w:t>
      </w:r>
      <w:r w:rsidRPr="00E651F9">
        <w:rPr>
          <w:rFonts w:ascii="Bookman Old Style" w:hAnsi="Bookman Old Style"/>
          <w:b w:val="0"/>
          <w:sz w:val="20"/>
        </w:rPr>
        <w:lastRenderedPageBreak/>
        <w:t xml:space="preserve">Administración Pública y con los Términos de Referencia </w:t>
      </w:r>
      <w:r w:rsidRPr="00E651F9">
        <w:rPr>
          <w:rFonts w:ascii="Bookman Old Style" w:hAnsi="Bookman Old Style"/>
          <w:b w:val="0"/>
          <w:sz w:val="20"/>
          <w:lang w:eastAsia="es-SV"/>
        </w:rPr>
        <w:t xml:space="preserve">establecidos en el proceso de la </w:t>
      </w:r>
      <w:r w:rsidRPr="00E651F9">
        <w:rPr>
          <w:rFonts w:ascii="Bookman Old Style" w:hAnsi="Bookman Old Style"/>
          <w:b w:val="0"/>
          <w:bCs/>
          <w:noProof/>
          <w:sz w:val="20"/>
          <w:lang w:eastAsia="es-SV"/>
        </w:rPr>
        <w:t>Licitación Abierta DR–CAFTA–LA número CERO CERO CUATRO/DOS MIL DIECISIETE–MAG denominado</w:t>
      </w:r>
      <w:r w:rsidRPr="00E651F9">
        <w:rPr>
          <w:rFonts w:ascii="Bookman Old Style" w:hAnsi="Bookman Old Style"/>
          <w:b w:val="0"/>
          <w:bCs/>
          <w:sz w:val="20"/>
          <w:lang w:eastAsia="es-SV"/>
        </w:rPr>
        <w:t xml:space="preserve"> “</w:t>
      </w:r>
      <w:r w:rsidRPr="00E651F9">
        <w:rPr>
          <w:rFonts w:ascii="Bookman Old Style" w:hAnsi="Bookman Old Style"/>
          <w:b w:val="0"/>
          <w:sz w:val="20"/>
        </w:rPr>
        <w:t>SEGUROS PARA AUTOMOTORES PROPIEDAD DEL MAG Y FIANZAS DE FIDELIDAD PARA FUNCIONARIOS Y EMPLEADOS DEL MAG</w:t>
      </w:r>
      <w:r w:rsidRPr="00E651F9">
        <w:rPr>
          <w:rFonts w:ascii="Bookman Old Style" w:hAnsi="Bookman Old Style"/>
          <w:b w:val="0"/>
          <w:bCs/>
          <w:sz w:val="20"/>
          <w:lang w:eastAsia="es-SV"/>
        </w:rPr>
        <w:t>”</w:t>
      </w:r>
      <w:r w:rsidRPr="00E651F9">
        <w:rPr>
          <w:rFonts w:ascii="Bookman Old Style" w:hAnsi="Bookman Old Style"/>
          <w:b w:val="0"/>
          <w:sz w:val="20"/>
        </w:rPr>
        <w:t xml:space="preserve">, </w:t>
      </w:r>
      <w:r w:rsidRPr="00E651F9">
        <w:rPr>
          <w:rFonts w:ascii="Bookman Old Style" w:hAnsi="Bookman Old Style" w:cs="Tahoma"/>
          <w:b w:val="0"/>
          <w:sz w:val="20"/>
        </w:rPr>
        <w:t xml:space="preserve">los servicios objeto del presente contrato serán prestados de conformidad con lo ofertado por </w:t>
      </w:r>
      <w:r>
        <w:rPr>
          <w:rFonts w:ascii="Bookman Old Style" w:hAnsi="Bookman Old Style" w:cs="Tahoma"/>
          <w:b w:val="0"/>
          <w:sz w:val="20"/>
        </w:rPr>
        <w:t>LA CONTRATISTA</w:t>
      </w:r>
      <w:r w:rsidRPr="00E651F9">
        <w:rPr>
          <w:rFonts w:ascii="Bookman Old Style" w:hAnsi="Bookman Old Style" w:cs="Tahoma"/>
          <w:b w:val="0"/>
          <w:sz w:val="20"/>
        </w:rPr>
        <w:t xml:space="preserve"> a satisfacción de EL MAG, de acuerdo a lo estipulado en este contrato, los términos de referencia y a la oferta presentada por </w:t>
      </w:r>
      <w:r>
        <w:rPr>
          <w:rFonts w:ascii="Bookman Old Style" w:hAnsi="Bookman Old Style" w:cs="Tahoma"/>
          <w:b w:val="0"/>
          <w:sz w:val="20"/>
        </w:rPr>
        <w:t>LA CONTRATISTA</w:t>
      </w:r>
      <w:r w:rsidRPr="00E651F9">
        <w:rPr>
          <w:rFonts w:ascii="Bookman Old Style" w:hAnsi="Bookman Old Style" w:cs="Tahoma"/>
          <w:b w:val="0"/>
          <w:sz w:val="20"/>
        </w:rPr>
        <w:t xml:space="preserve"> el día quince de diciembre de dos mil dieciséis,</w:t>
      </w:r>
      <w:r w:rsidRPr="00E651F9">
        <w:rPr>
          <w:rFonts w:ascii="Bookman Old Style" w:hAnsi="Bookman Old Style" w:cs="Tahoma"/>
          <w:b w:val="0"/>
          <w:sz w:val="20"/>
          <w:lang w:val="es-MX"/>
        </w:rPr>
        <w:t xml:space="preserve"> los servicios objeto del presente contrato serán prestados de conformidad con lo ofertado a satisfacción del Administrador del Contrato.</w:t>
      </w:r>
      <w:r w:rsidRPr="00E651F9">
        <w:rPr>
          <w:rFonts w:ascii="Bookman Old Style" w:hAnsi="Bookman Old Style" w:cs="Tahoma"/>
          <w:b w:val="0"/>
          <w:sz w:val="20"/>
        </w:rPr>
        <w:t xml:space="preserve"> </w:t>
      </w:r>
      <w:r w:rsidRPr="00E651F9">
        <w:rPr>
          <w:rFonts w:ascii="Bookman Old Style" w:hAnsi="Bookman Old Style" w:cs="Tahoma"/>
          <w:b w:val="0"/>
          <w:sz w:val="20"/>
          <w:lang w:val="es-MX"/>
        </w:rPr>
        <w:t>La recepción de los servicios a que se refiere el objeto de este contrato se efectuará conforme a la legislación vigente</w:t>
      </w:r>
      <w:r w:rsidRPr="00E651F9">
        <w:rPr>
          <w:rFonts w:ascii="Bookman Old Style" w:hAnsi="Bookman Old Style"/>
          <w:b w:val="0"/>
          <w:sz w:val="20"/>
          <w:lang w:val="es-MX"/>
        </w:rPr>
        <w:t>.</w:t>
      </w:r>
      <w:r w:rsidRPr="00E651F9">
        <w:rPr>
          <w:rFonts w:ascii="Bookman Old Style" w:hAnsi="Bookman Old Style"/>
          <w:sz w:val="20"/>
          <w:lang w:val="es-MX"/>
        </w:rPr>
        <w:t xml:space="preserve"> </w:t>
      </w:r>
      <w:r w:rsidRPr="00E651F9">
        <w:rPr>
          <w:rFonts w:ascii="Bookman Old Style" w:hAnsi="Bookman Old Style"/>
          <w:sz w:val="20"/>
        </w:rPr>
        <w:t>V. OBLIGACIONES DEL CONTRATANTE</w:t>
      </w:r>
      <w:r w:rsidRPr="00E651F9">
        <w:rPr>
          <w:rFonts w:ascii="Bookman Old Style" w:hAnsi="Bookman Old Style"/>
          <w:b w:val="0"/>
          <w:sz w:val="20"/>
        </w:rPr>
        <w:t xml:space="preserve">. EL CONTRATANTE deberá hacer el pago por los servicios detallados en la Cláusula I del presente contrato con Fondos de Actividades Especiales/Dirección General de Sanidad Vegetal y Animal y </w:t>
      </w:r>
      <w:r w:rsidRPr="00E651F9">
        <w:rPr>
          <w:rFonts w:ascii="Bookman Old Style" w:hAnsi="Bookman Old Style"/>
          <w:b w:val="0"/>
          <w:noProof/>
          <w:sz w:val="20"/>
        </w:rPr>
        <w:t>Fondo General</w:t>
      </w:r>
      <w:r w:rsidRPr="00E651F9">
        <w:rPr>
          <w:rFonts w:ascii="Bookman Old Style" w:hAnsi="Bookman Old Style"/>
          <w:b w:val="0"/>
          <w:sz w:val="20"/>
        </w:rPr>
        <w:t>–</w:t>
      </w:r>
      <w:r w:rsidRPr="00E651F9">
        <w:rPr>
          <w:rFonts w:ascii="Bookman Old Style" w:hAnsi="Bookman Old Style"/>
          <w:b w:val="0"/>
          <w:noProof/>
          <w:sz w:val="20"/>
        </w:rPr>
        <w:t>Secretaria de Estado</w:t>
      </w:r>
      <w:r w:rsidRPr="00E651F9">
        <w:rPr>
          <w:rFonts w:ascii="Bookman Old Style" w:hAnsi="Bookman Old Style"/>
          <w:b w:val="0"/>
          <w:sz w:val="20"/>
        </w:rPr>
        <w:t xml:space="preserve">. </w:t>
      </w:r>
      <w:r w:rsidRPr="00E651F9">
        <w:rPr>
          <w:rFonts w:ascii="Bookman Old Style" w:hAnsi="Bookman Old Style" w:cs="Calibri"/>
          <w:sz w:val="20"/>
          <w:lang w:val="es-SV"/>
        </w:rPr>
        <w:t>VI. ADMINISTRACIÓN DEL CONTRATO</w:t>
      </w:r>
      <w:r w:rsidRPr="00E651F9">
        <w:rPr>
          <w:rFonts w:ascii="Bookman Old Style" w:hAnsi="Bookman Old Style" w:cs="Calibri"/>
          <w:b w:val="0"/>
          <w:sz w:val="20"/>
          <w:lang w:val="es-SV"/>
        </w:rPr>
        <w:t xml:space="preserve">. </w:t>
      </w:r>
      <w:r w:rsidRPr="00E651F9">
        <w:rPr>
          <w:rFonts w:ascii="Bookman Old Style" w:hAnsi="Bookman Old Style"/>
          <w:b w:val="0"/>
          <w:bCs/>
          <w:iCs/>
          <w:sz w:val="20"/>
          <w:lang w:val="es-SV"/>
        </w:rPr>
        <w:t>El delegado del Titular del MAG, mediante Acuerdo Ejecutivo en el Ramo de Agricultura y Ganadería número</w:t>
      </w:r>
      <w:r w:rsidRPr="00E651F9">
        <w:rPr>
          <w:rFonts w:ascii="Bookman Old Style" w:hAnsi="Bookman Old Style"/>
          <w:b w:val="0"/>
          <w:bCs/>
          <w:iCs/>
          <w:noProof/>
          <w:sz w:val="20"/>
          <w:lang w:val="es-SV"/>
        </w:rPr>
        <w:t xml:space="preserve"> seiscientos noventa y dos </w:t>
      </w:r>
      <w:r w:rsidRPr="00E651F9">
        <w:rPr>
          <w:rFonts w:ascii="Bookman Old Style" w:hAnsi="Bookman Old Style"/>
          <w:b w:val="0"/>
          <w:bCs/>
          <w:iCs/>
          <w:sz w:val="20"/>
          <w:lang w:val="es-SV"/>
        </w:rPr>
        <w:t xml:space="preserve">de fecha catorce de diciembre </w:t>
      </w:r>
      <w:r w:rsidRPr="00E651F9">
        <w:rPr>
          <w:rFonts w:ascii="Bookman Old Style" w:hAnsi="Bookman Old Style"/>
          <w:b w:val="0"/>
          <w:bCs/>
          <w:iCs/>
          <w:noProof/>
          <w:sz w:val="20"/>
          <w:lang w:val="es-SV"/>
        </w:rPr>
        <w:t>de dos mil dieciséis</w:t>
      </w:r>
      <w:r w:rsidRPr="00E651F9">
        <w:rPr>
          <w:rFonts w:ascii="Bookman Old Style" w:hAnsi="Bookman Old Style"/>
          <w:b w:val="0"/>
          <w:bCs/>
          <w:iCs/>
          <w:sz w:val="20"/>
          <w:lang w:val="es-SV"/>
        </w:rPr>
        <w:t xml:space="preserve">, </w:t>
      </w:r>
      <w:r w:rsidRPr="00E651F9">
        <w:rPr>
          <w:rFonts w:ascii="Bookman Old Style" w:hAnsi="Bookman Old Style"/>
          <w:b w:val="0"/>
          <w:bCs/>
          <w:iCs/>
          <w:sz w:val="20"/>
        </w:rPr>
        <w:t xml:space="preserve">nombró como Administrador del presente contrato </w:t>
      </w:r>
      <w:r w:rsidRPr="00E651F9">
        <w:rPr>
          <w:rFonts w:ascii="Bookman Old Style" w:hAnsi="Bookman Old Style"/>
          <w:b w:val="0"/>
          <w:sz w:val="20"/>
          <w:lang w:val="es-SV"/>
        </w:rPr>
        <w:t>al ingeniero Elmer Eduardo López Bonilla, Jefe de la División de Logística de la Oficina General de Administración</w:t>
      </w:r>
      <w:r w:rsidRPr="00E651F9">
        <w:rPr>
          <w:rFonts w:ascii="Bookman Old Style" w:hAnsi="Bookman Old Style"/>
          <w:b w:val="0"/>
          <w:bCs/>
          <w:noProof/>
          <w:sz w:val="20"/>
        </w:rPr>
        <w:t xml:space="preserve">; </w:t>
      </w:r>
      <w:r w:rsidRPr="00E651F9">
        <w:rPr>
          <w:rFonts w:ascii="Bookman Old Style" w:hAnsi="Bookman Old Style" w:cs="Calibri"/>
          <w:b w:val="0"/>
          <w:bCs/>
          <w:noProof/>
          <w:sz w:val="20"/>
        </w:rPr>
        <w:t>a fin de dar continuidad a la ejecución del contrato</w:t>
      </w:r>
      <w:r w:rsidRPr="00E651F9">
        <w:rPr>
          <w:rFonts w:ascii="Bookman Old Style" w:hAnsi="Bookman Old Style" w:cs="Calibri"/>
          <w:b w:val="0"/>
          <w:bCs/>
          <w:iCs/>
          <w:sz w:val="20"/>
          <w:lang w:val="es-SV"/>
        </w:rPr>
        <w:t>.</w:t>
      </w:r>
      <w:r w:rsidRPr="00E651F9">
        <w:rPr>
          <w:rFonts w:ascii="Bookman Old Style" w:hAnsi="Bookman Old Style" w:cs="Calibri"/>
          <w:b w:val="0"/>
          <w:bCs/>
          <w:sz w:val="20"/>
        </w:rPr>
        <w:t xml:space="preserve"> Serán funciones del administrador del contrato las siguientes:</w:t>
      </w:r>
      <w:r w:rsidRPr="00E651F9">
        <w:rPr>
          <w:rFonts w:ascii="Bookman Old Style" w:hAnsi="Bookman Old Style" w:cs="Calibri"/>
          <w:b w:val="0"/>
          <w:sz w:val="20"/>
        </w:rPr>
        <w:t xml:space="preserve"> </w:t>
      </w:r>
      <w:r w:rsidRPr="00E651F9">
        <w:rPr>
          <w:rFonts w:ascii="Bookman Old Style" w:hAnsi="Bookman Old Style" w:cs="Calibri"/>
          <w:sz w:val="20"/>
        </w:rPr>
        <w:t>a)</w:t>
      </w:r>
      <w:r w:rsidRPr="00E651F9">
        <w:rPr>
          <w:rFonts w:ascii="Bookman Old Style" w:hAnsi="Bookman Old Style" w:cs="Calibri"/>
          <w:b w:val="0"/>
          <w:sz w:val="20"/>
        </w:rPr>
        <w:t xml:space="preserve"> ser el representante del Ministerio en el desarrollo y ejecución del contrato; </w:t>
      </w:r>
      <w:r w:rsidRPr="00E651F9">
        <w:rPr>
          <w:rFonts w:ascii="Bookman Old Style" w:hAnsi="Bookman Old Style" w:cs="Calibri"/>
          <w:sz w:val="20"/>
        </w:rPr>
        <w:t xml:space="preserve">b) </w:t>
      </w:r>
      <w:r w:rsidRPr="00E651F9">
        <w:rPr>
          <w:rFonts w:ascii="Bookman Old Style" w:hAnsi="Bookman Old Style" w:cs="Calibri"/>
          <w:b w:val="0"/>
          <w:bCs/>
          <w:sz w:val="20"/>
        </w:rPr>
        <w:t xml:space="preserve">Gestionar ante la Compañía Aseguradora, a través de la corredora de seguros, si en la ejecución del contrato surge la necesidad de incluir o excluir vehículos o personas en la póliza; </w:t>
      </w:r>
      <w:r w:rsidRPr="00E651F9">
        <w:rPr>
          <w:rFonts w:ascii="Bookman Old Style" w:hAnsi="Bookman Old Style" w:cs="Calibri"/>
          <w:sz w:val="20"/>
        </w:rPr>
        <w:t>c)</w:t>
      </w:r>
      <w:r w:rsidRPr="00E651F9">
        <w:rPr>
          <w:rFonts w:ascii="Bookman Old Style" w:hAnsi="Bookman Old Style" w:cs="Calibri"/>
          <w:b w:val="0"/>
          <w:sz w:val="20"/>
        </w:rPr>
        <w:t xml:space="preserve"> dar seguimiento a la ejecución del contrato y efectuar directamente los reclamos por </w:t>
      </w:r>
      <w:r w:rsidRPr="00E651F9">
        <w:rPr>
          <w:rFonts w:ascii="Bookman Old Style" w:hAnsi="Bookman Old Style" w:cs="Calibri"/>
          <w:b w:val="0"/>
          <w:bCs/>
          <w:sz w:val="20"/>
        </w:rPr>
        <w:t xml:space="preserve">escrito a </w:t>
      </w:r>
      <w:r>
        <w:rPr>
          <w:rFonts w:ascii="Bookman Old Style" w:hAnsi="Bookman Old Style" w:cs="Calibri"/>
          <w:b w:val="0"/>
          <w:bCs/>
          <w:sz w:val="20"/>
        </w:rPr>
        <w:t>LA CONTRATISTA</w:t>
      </w:r>
      <w:r w:rsidRPr="00E651F9">
        <w:rPr>
          <w:rFonts w:ascii="Bookman Old Style" w:hAnsi="Bookman Old Style" w:cs="Calibri"/>
          <w:b w:val="0"/>
          <w:color w:val="0000FF"/>
          <w:sz w:val="20"/>
        </w:rPr>
        <w:t xml:space="preserve"> </w:t>
      </w:r>
      <w:r w:rsidRPr="00E651F9">
        <w:rPr>
          <w:rFonts w:ascii="Bookman Old Style" w:hAnsi="Bookman Old Style" w:cs="Calibri"/>
          <w:b w:val="0"/>
          <w:sz w:val="20"/>
        </w:rPr>
        <w:t xml:space="preserve">en caso de incumplimiento contractual; </w:t>
      </w:r>
      <w:r w:rsidRPr="00E651F9">
        <w:rPr>
          <w:rFonts w:ascii="Bookman Old Style" w:hAnsi="Bookman Old Style" w:cs="Calibri"/>
          <w:sz w:val="20"/>
        </w:rPr>
        <w:t>d)</w:t>
      </w:r>
      <w:r w:rsidRPr="00E651F9">
        <w:rPr>
          <w:rFonts w:ascii="Bookman Old Style" w:hAnsi="Bookman Old Style" w:cs="Calibri"/>
          <w:b w:val="0"/>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 </w:t>
      </w:r>
      <w:r w:rsidRPr="00E651F9">
        <w:rPr>
          <w:rFonts w:ascii="Bookman Old Style" w:hAnsi="Bookman Old Style" w:cs="Calibri"/>
          <w:sz w:val="20"/>
        </w:rPr>
        <w:t>e)</w:t>
      </w:r>
      <w:r w:rsidRPr="00E651F9">
        <w:rPr>
          <w:rFonts w:ascii="Bookman Old Style" w:hAnsi="Bookman Old Style" w:cs="Calibri"/>
          <w:b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E651F9">
        <w:rPr>
          <w:rFonts w:ascii="Bookman Old Style" w:hAnsi="Bookman Old Style" w:cs="Calibri"/>
          <w:sz w:val="20"/>
        </w:rPr>
        <w:t>f)</w:t>
      </w:r>
      <w:r w:rsidRPr="00E651F9">
        <w:rPr>
          <w:rFonts w:ascii="Bookman Old Style" w:hAnsi="Bookman Old Style" w:cs="Calibri"/>
          <w:b w:val="0"/>
          <w:sz w:val="20"/>
        </w:rPr>
        <w:t xml:space="preserve"> la elaboración del acta de recepción respectiva, de conformidad a lo estipulado en el artículo setenta y siete RELACAP; </w:t>
      </w:r>
      <w:r w:rsidRPr="00E651F9">
        <w:rPr>
          <w:rFonts w:ascii="Bookman Old Style" w:hAnsi="Bookman Old Style" w:cs="Calibri"/>
          <w:sz w:val="20"/>
        </w:rPr>
        <w:t>g)</w:t>
      </w:r>
      <w:r w:rsidRPr="00E651F9">
        <w:rPr>
          <w:rFonts w:ascii="Bookman Old Style" w:hAnsi="Bookman Old Style" w:cs="Calibri"/>
          <w:b w:val="0"/>
          <w:sz w:val="20"/>
        </w:rPr>
        <w:t xml:space="preserve"> remitir a la OACI copia del acta de recepción, a más tardar tres días hábiles posteriores a la recepción; </w:t>
      </w:r>
      <w:r w:rsidRPr="00E651F9">
        <w:rPr>
          <w:rFonts w:ascii="Bookman Old Style" w:hAnsi="Bookman Old Style" w:cs="Calibri"/>
          <w:sz w:val="20"/>
        </w:rPr>
        <w:t>h)</w:t>
      </w:r>
      <w:r w:rsidRPr="00E651F9">
        <w:rPr>
          <w:rFonts w:ascii="Bookman Old Style" w:hAnsi="Bookman Old Style" w:cs="Calibri"/>
          <w:b w:val="0"/>
          <w:sz w:val="20"/>
        </w:rPr>
        <w:t xml:space="preserve"> evaluar el desempeño de LA CONTRATISTA, mediante el formulario respectivo, en un plazo máximo de ocho días hábiles a la emisión del acta de recepción total o definitiva, evaluación que deberá ser enviada a la OACI en un tiempo máximo de </w:t>
      </w:r>
      <w:r w:rsidRPr="00E651F9">
        <w:rPr>
          <w:rFonts w:ascii="Bookman Old Style" w:hAnsi="Bookman Old Style" w:cs="Calibri"/>
          <w:b w:val="0"/>
          <w:sz w:val="20"/>
        </w:rPr>
        <w:lastRenderedPageBreak/>
        <w:t xml:space="preserve">dos días hábiles posteriores a la fecha de la evaluación; </w:t>
      </w:r>
      <w:r w:rsidRPr="00E651F9">
        <w:rPr>
          <w:rFonts w:ascii="Bookman Old Style" w:hAnsi="Bookman Old Style" w:cs="Calibri"/>
          <w:sz w:val="20"/>
        </w:rPr>
        <w:t>i)</w:t>
      </w:r>
      <w:r w:rsidRPr="00E651F9">
        <w:rPr>
          <w:rFonts w:ascii="Bookman Old Style" w:hAnsi="Bookman Old Style" w:cs="Calibri"/>
          <w:b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sidRPr="00E651F9">
        <w:rPr>
          <w:rFonts w:ascii="Bookman Old Style" w:hAnsi="Bookman Old Style" w:cs="Calibri"/>
          <w:sz w:val="20"/>
        </w:rPr>
        <w:t>j)</w:t>
      </w:r>
      <w:r w:rsidRPr="00E651F9">
        <w:rPr>
          <w:rFonts w:ascii="Bookman Old Style" w:hAnsi="Bookman Old Style" w:cs="Calibri"/>
          <w:b w:val="0"/>
          <w:sz w:val="20"/>
        </w:rPr>
        <w:t xml:space="preserve"> remitir copia a la OACI de toda gestión que realice en el ejercicio de sus funciones como administrador de contrato conforme al artículo cuarenta y dos inciso tres del RELACAP; y </w:t>
      </w:r>
      <w:r w:rsidRPr="00E651F9">
        <w:rPr>
          <w:rFonts w:ascii="Bookman Old Style" w:hAnsi="Bookman Old Style" w:cs="Calibri"/>
          <w:sz w:val="20"/>
        </w:rPr>
        <w:t>k)</w:t>
      </w:r>
      <w:r w:rsidRPr="00E651F9">
        <w:rPr>
          <w:rFonts w:ascii="Bookman Old Style" w:hAnsi="Bookman Old Style" w:cs="Calibri"/>
          <w:b w:val="0"/>
          <w:sz w:val="20"/>
        </w:rPr>
        <w:t xml:space="preserve">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E651F9">
        <w:rPr>
          <w:rFonts w:ascii="Bookman Old Style" w:hAnsi="Bookman Old Style" w:cs="Calibri"/>
          <w:sz w:val="20"/>
        </w:rPr>
        <w:t>VII. CESIÓN</w:t>
      </w:r>
      <w:r w:rsidRPr="00E651F9">
        <w:rPr>
          <w:rFonts w:ascii="Bookman Old Style" w:hAnsi="Bookman Old Style" w:cs="Calibri"/>
          <w:b w:val="0"/>
          <w:sz w:val="20"/>
        </w:rPr>
        <w:t>. Queda expresamente prohibido a LA CONTRATISTA traspasar o ceder a cualquier título los derechos y obligaciones que emanan del presente contrato</w:t>
      </w:r>
      <w:r w:rsidRPr="00E651F9">
        <w:rPr>
          <w:rFonts w:ascii="Bookman Old Style" w:hAnsi="Bookman Old Style" w:cs="Calibri"/>
          <w:sz w:val="20"/>
        </w:rPr>
        <w:t xml:space="preserve">. </w:t>
      </w:r>
      <w:r w:rsidRPr="00E651F9">
        <w:rPr>
          <w:rFonts w:ascii="Bookman Old Style" w:hAnsi="Bookman Old Style" w:cs="Calibri"/>
          <w:b w:val="0"/>
          <w:sz w:val="20"/>
        </w:rPr>
        <w:t xml:space="preserve">La transgresión de esta disposición dará lugar a la caducidad del contrato, procediéndose además a hacer efectiva la garantía de cumplimiento de contrato. </w:t>
      </w:r>
      <w:r w:rsidRPr="00E651F9">
        <w:rPr>
          <w:rFonts w:ascii="Bookman Old Style" w:hAnsi="Bookman Old Style" w:cs="Calibri"/>
          <w:sz w:val="20"/>
        </w:rPr>
        <w:t>VIII. GARANTÍA</w:t>
      </w:r>
      <w:r w:rsidRPr="00E651F9">
        <w:rPr>
          <w:rFonts w:ascii="Bookman Old Style" w:hAnsi="Bookman Old Style" w:cs="Calibri"/>
          <w:b w:val="0"/>
          <w:sz w:val="20"/>
        </w:rPr>
        <w:t xml:space="preserve">. </w:t>
      </w:r>
      <w:r w:rsidRPr="00E651F9">
        <w:rPr>
          <w:rFonts w:ascii="Bookman Old Style" w:hAnsi="Bookman Old Style" w:cs="Tahoma"/>
          <w:b w:val="0"/>
          <w:sz w:val="20"/>
        </w:rPr>
        <w:t xml:space="preserve">Para garantizar el cumplimiento de las obligaciones emanadas del presente contrato, </w:t>
      </w:r>
      <w:r>
        <w:rPr>
          <w:rFonts w:ascii="Bookman Old Style" w:hAnsi="Bookman Old Style" w:cs="Tahoma"/>
          <w:b w:val="0"/>
          <w:sz w:val="20"/>
        </w:rPr>
        <w:t>LA CONTRATISTA</w:t>
      </w:r>
      <w:r w:rsidRPr="00E651F9">
        <w:rPr>
          <w:rFonts w:ascii="Bookman Old Style" w:hAnsi="Bookman Old Style" w:cs="Tahoma"/>
          <w:b w:val="0"/>
          <w:sz w:val="20"/>
        </w:rPr>
        <w:t xml:space="preserve"> se obliga a presentar a EL CONTRATANTE en un plazo no mayor de diez días hábiles contados a partir de la fecha en que reciba el presente contrato debidamente legalizado, una Garantía de Cumplimiento de Contrato por un valor de </w:t>
      </w:r>
      <w:r w:rsidRPr="00E651F9">
        <w:rPr>
          <w:rFonts w:ascii="Bookman Old Style" w:hAnsi="Bookman Old Style" w:cs="Tahoma"/>
          <w:sz w:val="20"/>
          <w:lang w:val="es-MX"/>
        </w:rPr>
        <w:t>TRECE MIL QUINCE DÓLARES DE LOS ESTADOS UNIDOS DE AMERICA CON VEINTICINCO CENTAVOS,</w:t>
      </w:r>
      <w:r w:rsidRPr="00E651F9">
        <w:rPr>
          <w:rFonts w:ascii="Bookman Old Style" w:hAnsi="Bookman Old Style" w:cs="Tahoma"/>
          <w:b w:val="0"/>
          <w:sz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exceder en sesenta días el plazo de vigencia del contrato. Si no se presentare tal garantía en el plazo establecido se tendrá por caducado el presente contrato y se entenderá que </w:t>
      </w:r>
      <w:r>
        <w:rPr>
          <w:rFonts w:ascii="Bookman Old Style" w:hAnsi="Bookman Old Style" w:cs="Tahoma"/>
          <w:b w:val="0"/>
          <w:sz w:val="20"/>
        </w:rPr>
        <w:t>LA CONTRATISTA</w:t>
      </w:r>
      <w:r w:rsidRPr="00E651F9">
        <w:rPr>
          <w:rFonts w:ascii="Bookman Old Style" w:hAnsi="Bookman Old Style" w:cs="Tahoma"/>
          <w:b w:val="0"/>
          <w:color w:val="0000FF"/>
          <w:sz w:val="20"/>
        </w:rPr>
        <w:t xml:space="preserve"> </w:t>
      </w:r>
      <w:r w:rsidRPr="00E651F9">
        <w:rPr>
          <w:rFonts w:ascii="Bookman Old Style" w:hAnsi="Bookman Old Style" w:cs="Tahoma"/>
          <w:b w:val="0"/>
          <w:sz w:val="20"/>
        </w:rPr>
        <w:t xml:space="preserve">ha desistido de su oferta. </w:t>
      </w:r>
      <w:r w:rsidRPr="00E651F9">
        <w:rPr>
          <w:rFonts w:ascii="Bookman Old Style" w:hAnsi="Bookman Old Style" w:cs="Calibri"/>
          <w:sz w:val="20"/>
        </w:rPr>
        <w:t>IX. INCUMPLIMIENTO</w:t>
      </w:r>
      <w:r w:rsidRPr="00E651F9">
        <w:rPr>
          <w:rFonts w:ascii="Bookman Old Style" w:hAnsi="Bookman Old Style" w:cs="Calibri"/>
          <w:b w:val="0"/>
          <w:sz w:val="20"/>
        </w:rPr>
        <w:t xml:space="preserve">. En caso de mora de </w:t>
      </w:r>
      <w:r w:rsidRPr="00E651F9">
        <w:rPr>
          <w:rFonts w:ascii="Bookman Old Style" w:hAnsi="Bookman Old Style" w:cs="Calibri"/>
          <w:b w:val="0"/>
          <w:noProof/>
          <w:sz w:val="20"/>
        </w:rPr>
        <w:t>LA CONTRATISTA</w:t>
      </w:r>
      <w:r w:rsidRPr="00E651F9">
        <w:rPr>
          <w:rFonts w:ascii="Bookman Old Style" w:hAnsi="Bookman Old Style" w:cs="Calibri"/>
          <w:b w:val="0"/>
          <w:sz w:val="20"/>
        </w:rPr>
        <w:t xml:space="preserve"> en el cumplimiento de las obligaciones emanadas del presente contrato se le aplicarán las multas establecidas en el artículo ochenta y cinco de la Ley de Adquisiciones y Contrataciones de la Administración Pública. </w:t>
      </w:r>
      <w:r w:rsidRPr="00E651F9">
        <w:rPr>
          <w:rFonts w:ascii="Bookman Old Style" w:hAnsi="Bookman Old Style" w:cs="Calibri"/>
          <w:sz w:val="20"/>
        </w:rPr>
        <w:t>X. CADUCIDAD</w:t>
      </w:r>
      <w:r w:rsidRPr="00E651F9">
        <w:rPr>
          <w:rFonts w:ascii="Bookman Old Style" w:hAnsi="Bookman Old Style" w:cs="Calibri"/>
          <w:b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sidRPr="00E651F9">
        <w:rPr>
          <w:rFonts w:ascii="Bookman Old Style" w:hAnsi="Bookman Old Style" w:cs="Calibri"/>
          <w:sz w:val="20"/>
        </w:rPr>
        <w:t xml:space="preserve">a) </w:t>
      </w:r>
      <w:r w:rsidRPr="00E651F9">
        <w:rPr>
          <w:rFonts w:ascii="Bookman Old Style" w:hAnsi="Bookman Old Style" w:cs="Calibri"/>
          <w:b w:val="0"/>
          <w:sz w:val="20"/>
        </w:rPr>
        <w:t xml:space="preserve">Entregue servicios en diferentes condiciones de lo ofertado; y, </w:t>
      </w:r>
      <w:r w:rsidRPr="00E651F9">
        <w:rPr>
          <w:rFonts w:ascii="Bookman Old Style" w:hAnsi="Bookman Old Style" w:cs="Calibri"/>
          <w:sz w:val="20"/>
        </w:rPr>
        <w:t xml:space="preserve">b) </w:t>
      </w:r>
      <w:r w:rsidRPr="00E651F9">
        <w:rPr>
          <w:rFonts w:ascii="Bookman Old Style" w:hAnsi="Bookman Old Style" w:cs="Calibri"/>
          <w:b w:val="0"/>
          <w:sz w:val="20"/>
        </w:rPr>
        <w:t xml:space="preserve">Traspase o ceda a cualquier título los derechos y obligaciones que emanan del presente contrato. </w:t>
      </w:r>
      <w:r w:rsidRPr="00E651F9">
        <w:rPr>
          <w:rFonts w:ascii="Bookman Old Style" w:hAnsi="Bookman Old Style" w:cs="Calibri"/>
          <w:bCs/>
          <w:sz w:val="20"/>
        </w:rPr>
        <w:t>XI. PLAZO DE RECLAMOS</w:t>
      </w:r>
      <w:r w:rsidRPr="00E651F9">
        <w:rPr>
          <w:rFonts w:ascii="Bookman Old Style" w:hAnsi="Bookman Old Style" w:cs="Calibri"/>
          <w:b w:val="0"/>
          <w:sz w:val="20"/>
        </w:rPr>
        <w:t xml:space="preserve">. A partir de la recepción formal de los servicios objeto de este contrato, </w:t>
      </w:r>
      <w:r w:rsidRPr="00E651F9">
        <w:rPr>
          <w:rFonts w:ascii="Bookman Old Style" w:hAnsi="Bookman Old Style" w:cs="Calibri"/>
          <w:b w:val="0"/>
          <w:bCs/>
          <w:sz w:val="20"/>
        </w:rPr>
        <w:lastRenderedPageBreak/>
        <w:t>EL MAG podrá efectuar cualquier reclamo relacionado a incumplimientos contractuales.</w:t>
      </w:r>
      <w:r w:rsidRPr="00E651F9">
        <w:rPr>
          <w:rFonts w:ascii="Bookman Old Style" w:hAnsi="Bookman Old Style" w:cs="Calibri"/>
          <w:b w:val="0"/>
          <w:sz w:val="20"/>
        </w:rPr>
        <w:t xml:space="preserve"> LA CONTRATISTA deberá subsanar lo procedente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Pr="00E651F9">
        <w:rPr>
          <w:rFonts w:ascii="Bookman Old Style" w:hAnsi="Bookman Old Style" w:cs="Tahoma"/>
          <w:sz w:val="20"/>
        </w:rPr>
        <w:t xml:space="preserve">XII. </w:t>
      </w:r>
      <w:r w:rsidRPr="00E651F9">
        <w:rPr>
          <w:rFonts w:ascii="Bookman Old Style" w:hAnsi="Bookman Old Style" w:cs="Tahoma"/>
          <w:bCs/>
          <w:sz w:val="20"/>
        </w:rPr>
        <w:t>MODIFICACIONES, PRORROGAS Y PROHIBICIONES EN EL CONTRATO. “EL MAG”</w:t>
      </w:r>
      <w:r w:rsidRPr="00E651F9">
        <w:rPr>
          <w:rFonts w:ascii="Bookman Old Style" w:hAnsi="Bookman Old Style" w:cs="Tahoma"/>
          <w:b w:val="0"/>
          <w:bCs/>
          <w:sz w:val="20"/>
        </w:rPr>
        <w:t xml:space="preserve">, podrá modificar el contrato en ejecución, de común acuerdo entre las partes, respecto monto y plazo del mismo, siguiendo el procedimiento establecido en la LACAP. Para ello “EL MAG” autorizará la Modificación mediante resolución razonada; la correspondiente Modificativa que se genere será firmada por el MAG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servicio,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también por el MAG y por “La Contratista”, de conformidad a lo establecido en los artículos ochenta y seis y noventa y dos inciso segundo de la LACAP, así como los artículos setenta y seis y ochenta y tres del RELACAP. El contrato podrá prorrogarse una sola vez, por un periodo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MAG y por “La Contratista”; </w:t>
      </w:r>
      <w:r w:rsidRPr="00E651F9">
        <w:rPr>
          <w:rFonts w:ascii="Bookman Old Style" w:hAnsi="Bookman Old Style" w:cs="Calibri"/>
          <w:sz w:val="20"/>
        </w:rPr>
        <w:t>XIII. DOCUMENTOS CONTRACTUALES</w:t>
      </w:r>
      <w:r w:rsidRPr="00E651F9">
        <w:rPr>
          <w:rFonts w:ascii="Bookman Old Style" w:hAnsi="Bookman Old Style" w:cs="Calibri"/>
          <w:b w:val="0"/>
          <w:sz w:val="20"/>
        </w:rPr>
        <w:t xml:space="preserve">. </w:t>
      </w:r>
      <w:r w:rsidRPr="00E651F9">
        <w:rPr>
          <w:rFonts w:ascii="Bookman Old Style" w:hAnsi="Bookman Old Style" w:cs="Tahoma"/>
          <w:b w:val="0"/>
          <w:sz w:val="20"/>
        </w:rPr>
        <w:t xml:space="preserve">Forman parte integrante del presente contrato los siguientes documentos: </w:t>
      </w:r>
      <w:r w:rsidRPr="00E651F9">
        <w:rPr>
          <w:rFonts w:ascii="Bookman Old Style" w:hAnsi="Bookman Old Style" w:cs="Tahoma"/>
          <w:sz w:val="20"/>
        </w:rPr>
        <w:t>a)</w:t>
      </w:r>
      <w:r w:rsidRPr="00E651F9">
        <w:rPr>
          <w:rFonts w:ascii="Bookman Old Style" w:hAnsi="Bookman Old Style" w:cs="Tahoma"/>
          <w:b w:val="0"/>
          <w:sz w:val="20"/>
        </w:rPr>
        <w:t xml:space="preserve"> Las Bases del proceso de la Licitación Abierta DR-CAFTA-LA No. 004/2017-MAG;</w:t>
      </w:r>
      <w:r w:rsidRPr="00E651F9">
        <w:rPr>
          <w:rFonts w:ascii="Bookman Old Style" w:hAnsi="Bookman Old Style" w:cs="Tahoma"/>
          <w:sz w:val="20"/>
        </w:rPr>
        <w:t xml:space="preserve"> b)</w:t>
      </w:r>
      <w:r w:rsidRPr="00E651F9">
        <w:rPr>
          <w:rFonts w:ascii="Bookman Old Style" w:hAnsi="Bookman Old Style" w:cs="Tahoma"/>
          <w:b w:val="0"/>
          <w:sz w:val="20"/>
        </w:rPr>
        <w:t xml:space="preserve"> Oferta presentada el día </w:t>
      </w:r>
      <w:r w:rsidR="004D6350" w:rsidRPr="00E651F9">
        <w:rPr>
          <w:rFonts w:ascii="Bookman Old Style" w:hAnsi="Bookman Old Style" w:cs="Tahoma"/>
          <w:b w:val="0"/>
          <w:sz w:val="20"/>
        </w:rPr>
        <w:fldChar w:fldCharType="begin"/>
      </w:r>
      <w:r w:rsidRPr="00E651F9">
        <w:rPr>
          <w:rFonts w:ascii="Bookman Old Style" w:hAnsi="Bookman Old Style" w:cs="Tahoma"/>
          <w:b w:val="0"/>
          <w:sz w:val="20"/>
        </w:rPr>
        <w:instrText xml:space="preserve"> MERGEFIELD "Fecha_de_la_Oferta" </w:instrText>
      </w:r>
      <w:r w:rsidR="004D6350" w:rsidRPr="00E651F9">
        <w:rPr>
          <w:rFonts w:ascii="Bookman Old Style" w:hAnsi="Bookman Old Style" w:cs="Tahoma"/>
          <w:b w:val="0"/>
          <w:sz w:val="20"/>
        </w:rPr>
        <w:fldChar w:fldCharType="separate"/>
      </w:r>
      <w:r w:rsidRPr="00E651F9">
        <w:rPr>
          <w:rFonts w:ascii="Bookman Old Style" w:hAnsi="Bookman Old Style" w:cs="Tahoma"/>
          <w:b w:val="0"/>
          <w:noProof/>
          <w:sz w:val="20"/>
        </w:rPr>
        <w:t xml:space="preserve">quince de diciembre de dos mil </w:t>
      </w:r>
      <w:r w:rsidR="004D6350" w:rsidRPr="00E651F9">
        <w:rPr>
          <w:rFonts w:ascii="Bookman Old Style" w:hAnsi="Bookman Old Style" w:cs="Tahoma"/>
          <w:b w:val="0"/>
          <w:sz w:val="20"/>
        </w:rPr>
        <w:fldChar w:fldCharType="end"/>
      </w:r>
      <w:r w:rsidRPr="00E651F9">
        <w:rPr>
          <w:rFonts w:ascii="Bookman Old Style" w:hAnsi="Bookman Old Style" w:cs="Tahoma"/>
          <w:b w:val="0"/>
          <w:sz w:val="20"/>
        </w:rPr>
        <w:t xml:space="preserve">dieciséis; </w:t>
      </w:r>
      <w:r w:rsidRPr="00E651F9">
        <w:rPr>
          <w:rFonts w:ascii="Bookman Old Style" w:hAnsi="Bookman Old Style" w:cs="Tahoma"/>
          <w:sz w:val="20"/>
        </w:rPr>
        <w:t>c)</w:t>
      </w:r>
      <w:r w:rsidRPr="00E651F9">
        <w:rPr>
          <w:rFonts w:ascii="Bookman Old Style" w:hAnsi="Bookman Old Style" w:cs="Tahoma"/>
          <w:b w:val="0"/>
          <w:sz w:val="20"/>
        </w:rPr>
        <w:t xml:space="preserve"> Resolución de adjudicación; </w:t>
      </w:r>
      <w:r w:rsidRPr="00E651F9">
        <w:rPr>
          <w:rFonts w:ascii="Bookman Old Style" w:hAnsi="Bookman Old Style" w:cs="Tahoma"/>
          <w:sz w:val="20"/>
        </w:rPr>
        <w:t>d)</w:t>
      </w:r>
      <w:r w:rsidRPr="00E651F9">
        <w:rPr>
          <w:rFonts w:ascii="Bookman Old Style" w:hAnsi="Bookman Old Style" w:cs="Tahoma"/>
          <w:b w:val="0"/>
          <w:sz w:val="20"/>
        </w:rPr>
        <w:t xml:space="preserve"> Garantías; </w:t>
      </w:r>
      <w:r w:rsidRPr="00E651F9">
        <w:rPr>
          <w:rFonts w:ascii="Bookman Old Style" w:hAnsi="Bookman Old Style" w:cs="Tahoma"/>
          <w:sz w:val="20"/>
        </w:rPr>
        <w:t>e)</w:t>
      </w:r>
      <w:r w:rsidRPr="00E651F9">
        <w:rPr>
          <w:rFonts w:ascii="Bookman Old Style" w:hAnsi="Bookman Old Style" w:cs="Tahoma"/>
          <w:b w:val="0"/>
          <w:sz w:val="20"/>
        </w:rPr>
        <w:t xml:space="preserve"> Resoluciones de Modificación, y, </w:t>
      </w:r>
      <w:r w:rsidRPr="00E651F9">
        <w:rPr>
          <w:rFonts w:ascii="Bookman Old Style" w:hAnsi="Bookman Old Style" w:cs="Tahoma"/>
          <w:sz w:val="20"/>
        </w:rPr>
        <w:t>f)</w:t>
      </w:r>
      <w:r w:rsidRPr="00E651F9">
        <w:rPr>
          <w:rFonts w:ascii="Bookman Old Style" w:hAnsi="Bookman Old Style" w:cs="Tahoma"/>
          <w:b w:val="0"/>
          <w:sz w:val="20"/>
        </w:rPr>
        <w:t xml:space="preserve"> Otros documentos que emanaren del presente contrato los cuales son complementarios entre si y se interpretaran en forma conjunta.</w:t>
      </w:r>
      <w:r w:rsidRPr="00E651F9">
        <w:rPr>
          <w:rFonts w:ascii="Bookman Old Style" w:hAnsi="Bookman Old Style"/>
          <w:sz w:val="20"/>
        </w:rPr>
        <w:t xml:space="preserve"> </w:t>
      </w:r>
      <w:r w:rsidRPr="00E651F9">
        <w:rPr>
          <w:rFonts w:ascii="Bookman Old Style" w:hAnsi="Bookman Old Style" w:cs="Tahoma"/>
          <w:b w:val="0"/>
          <w:sz w:val="20"/>
        </w:rPr>
        <w:t xml:space="preserve">En caso de controversia entre estos documentos y el contrato, prevalecerá este último. </w:t>
      </w:r>
      <w:r w:rsidRPr="00E651F9">
        <w:rPr>
          <w:rFonts w:ascii="Bookman Old Style" w:hAnsi="Bookman Old Style" w:cs="Calibri"/>
          <w:sz w:val="20"/>
        </w:rPr>
        <w:t>XIV. INTERPRETACIÓN DEL CONTRATO</w:t>
      </w:r>
      <w:r w:rsidRPr="00E651F9">
        <w:rPr>
          <w:rFonts w:ascii="Bookman Old Style" w:hAnsi="Bookman Old Style" w:cs="Calibri"/>
          <w:b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w:t>
      </w:r>
      <w:r w:rsidRPr="00E651F9">
        <w:rPr>
          <w:rFonts w:ascii="Bookman Old Style" w:hAnsi="Bookman Old Style" w:cs="Calibri"/>
          <w:b w:val="0"/>
          <w:sz w:val="20"/>
        </w:rPr>
        <w:lastRenderedPageBreak/>
        <w:t>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los servicios objeto del presente instrumento, pudiendo en tal caso girar las instrucciones por escrito que al respecto considere convenientes, las cuales le serán comunicadas por medio del administrador del contrato</w:t>
      </w:r>
      <w:r w:rsidRPr="00E651F9">
        <w:rPr>
          <w:rFonts w:ascii="Bookman Old Style" w:hAnsi="Bookman Old Style" w:cs="Tahoma"/>
          <w:b w:val="0"/>
          <w:sz w:val="20"/>
        </w:rPr>
        <w:t xml:space="preserve">. </w:t>
      </w:r>
      <w:r w:rsidRPr="00E651F9">
        <w:rPr>
          <w:rFonts w:ascii="Bookman Old Style" w:hAnsi="Bookman Old Style" w:cs="Calibri"/>
          <w:sz w:val="20"/>
        </w:rPr>
        <w:t xml:space="preserve">XV. FUERZA MAYOR O CASO FORTUITO. </w:t>
      </w:r>
      <w:r w:rsidRPr="00E651F9">
        <w:rPr>
          <w:rFonts w:ascii="Bookman Old Style" w:hAnsi="Bookman Old Style" w:cs="Calibri"/>
          <w:b w:val="0"/>
          <w:sz w:val="20"/>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651F9">
        <w:rPr>
          <w:rFonts w:ascii="Bookman Old Style" w:hAnsi="Bookman Old Style" w:cs="Calibri"/>
          <w:sz w:val="20"/>
        </w:rPr>
        <w:t>XVI. SOLUCIÓN DE CONFLICTOS.</w:t>
      </w:r>
      <w:r w:rsidRPr="00E651F9">
        <w:rPr>
          <w:rFonts w:ascii="Bookman Old Style" w:hAnsi="Bookman Old Style" w:cs="Calibri"/>
          <w:b w:val="0"/>
          <w:sz w:val="20"/>
        </w:rPr>
        <w:t xml:space="preserve"> Para resolver las diferencias o conflictos que surgieren durante la ejecución del contrato, se acudirá a sede judicial. </w:t>
      </w:r>
      <w:r w:rsidRPr="00E651F9">
        <w:rPr>
          <w:rFonts w:ascii="Bookman Old Style" w:hAnsi="Bookman Old Style" w:cs="Calibri"/>
          <w:sz w:val="20"/>
        </w:rPr>
        <w:t>XVII. TERMINACIÓN BILATERAL</w:t>
      </w:r>
      <w:r w:rsidRPr="00E651F9">
        <w:rPr>
          <w:rFonts w:ascii="Bookman Old Style" w:hAnsi="Bookman Old Style" w:cs="Calibri"/>
          <w:b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651F9">
        <w:rPr>
          <w:rFonts w:ascii="Bookman Old Style" w:hAnsi="Bookman Old Style" w:cs="Calibri"/>
          <w:sz w:val="20"/>
        </w:rPr>
        <w:t>XVIII.</w:t>
      </w:r>
      <w:r w:rsidRPr="00E651F9">
        <w:rPr>
          <w:rFonts w:ascii="Bookman Old Style" w:hAnsi="Bookman Old Style" w:cs="Tahoma"/>
          <w:sz w:val="20"/>
        </w:rPr>
        <w:t xml:space="preserve"> CUMPLIMIENTO POR PARTE DE LA CONTRATISTA CON LA NORMATIVA QUE PROHÍBE EL TRABAJO INFANTIL Y PROTECCIÓN DE LA PERSONA ADOLESCENTE TRABAJADORA. </w:t>
      </w:r>
      <w:r w:rsidRPr="00E651F9">
        <w:rPr>
          <w:rFonts w:ascii="Bookman Old Style" w:hAnsi="Bookman Old Style" w:cs="Tahoma"/>
          <w:b w:val="0"/>
          <w:sz w:val="20"/>
        </w:rPr>
        <w:t>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w:t>
      </w:r>
      <w:r>
        <w:rPr>
          <w:rFonts w:ascii="Bookman Old Style" w:hAnsi="Bookman Old Style" w:cs="Tahoma"/>
          <w:b w:val="0"/>
          <w:sz w:val="20"/>
        </w:rPr>
        <w:t>jo, si durante el trámite de re</w:t>
      </w:r>
      <w:r w:rsidRPr="00E651F9">
        <w:rPr>
          <w:rFonts w:ascii="Bookman Old Style" w:hAnsi="Bookman Old Style" w:cs="Tahoma"/>
          <w:b w:val="0"/>
          <w:sz w:val="20"/>
        </w:rPr>
        <w:t xml:space="preserve">inspección se determina que hubo subsanación por haber cometido una infracción, o por el contrario se remitiere a procedimiento sancionatorio, y en éste último caso deberá finalizar el procedimiento para conocer la resolución final. </w:t>
      </w:r>
      <w:r w:rsidRPr="00E651F9">
        <w:rPr>
          <w:rFonts w:ascii="Bookman Old Style" w:hAnsi="Bookman Old Style" w:cs="Calibri"/>
          <w:sz w:val="20"/>
        </w:rPr>
        <w:t>XIX. DOMICILIO ESPECIAL</w:t>
      </w:r>
      <w:r w:rsidRPr="00E651F9">
        <w:rPr>
          <w:rFonts w:ascii="Bookman Old Style" w:hAnsi="Bookman Old Style" w:cs="Calibri"/>
          <w:b w:val="0"/>
          <w:sz w:val="20"/>
        </w:rPr>
        <w:t xml:space="preserve">. Para los efectos jurisdiccionales de este contrato, los contratantes señalan como domicilio especial la ciudad de Santa Tecla, departamento de La Libertad, a la competencia de cuyos tribunales se someten. </w:t>
      </w:r>
      <w:r w:rsidRPr="00E651F9">
        <w:rPr>
          <w:rFonts w:ascii="Bookman Old Style" w:hAnsi="Bookman Old Style" w:cs="Calibri"/>
          <w:sz w:val="20"/>
        </w:rPr>
        <w:t>XX. NOTIFICACIONES</w:t>
      </w:r>
      <w:r w:rsidRPr="00E651F9">
        <w:rPr>
          <w:rFonts w:ascii="Bookman Old Style" w:hAnsi="Bookman Old Style" w:cs="Calibri"/>
          <w:b w:val="0"/>
          <w:sz w:val="20"/>
        </w:rPr>
        <w:t xml:space="preserve">. Todas las notificaciones referentes a la ejecución de este </w:t>
      </w:r>
      <w:r w:rsidRPr="00E651F9">
        <w:rPr>
          <w:rFonts w:ascii="Bookman Old Style" w:hAnsi="Bookman Old Style" w:cs="Calibri"/>
          <w:b w:val="0"/>
          <w:sz w:val="20"/>
        </w:rPr>
        <w:lastRenderedPageBreak/>
        <w:t xml:space="preserve">contrato, serán válidas solamente cuando sean hechas por escrito a EL CONTRATANTE a través del administrador del contrato, en la oficina del MAG/SEDE ubicada en Final Primera Avenida Norte y trece calle Oriente, Avenida Manuel Gallardo, Santa Tecla, departamento de La Libertad y a LA CONTRATISTA a través de señor Rigoberto Antonio Conde Gonzalez, </w:t>
      </w:r>
      <w:r w:rsidR="00A46398">
        <w:rPr>
          <w:rFonts w:ascii="Bookman Old Style" w:hAnsi="Bookman Old Style" w:cs="Calibri"/>
          <w:b w:val="0"/>
          <w:sz w:val="20"/>
          <w:highlight w:val="black"/>
        </w:rPr>
        <w:t>***************************************************************************</w:t>
      </w:r>
      <w:r w:rsidRPr="00DA40A3">
        <w:rPr>
          <w:rFonts w:ascii="Bookman Old Style" w:hAnsi="Bookman Old Style" w:cs="Calibri"/>
          <w:b w:val="0"/>
          <w:sz w:val="20"/>
          <w:highlight w:val="black"/>
        </w:rPr>
        <w:t>d</w:t>
      </w:r>
      <w:r w:rsidRPr="00E651F9">
        <w:rPr>
          <w:rFonts w:ascii="Bookman Old Style" w:hAnsi="Bookman Old Style" w:cs="Calibri"/>
          <w:b w:val="0"/>
          <w:sz w:val="20"/>
        </w:rPr>
        <w:t>.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seis días del mes de enero de dos mil diecisiete</w:t>
      </w:r>
      <w:r w:rsidRPr="00E651F9">
        <w:rPr>
          <w:rFonts w:ascii="Bookman Old Style" w:hAnsi="Bookman Old Style" w:cs="Calibri"/>
          <w:b w:val="0"/>
          <w:color w:val="0000FF"/>
          <w:sz w:val="20"/>
        </w:rPr>
        <w:t>.</w:t>
      </w:r>
    </w:p>
    <w:p w:rsidR="00211CD2" w:rsidRPr="00E651F9" w:rsidRDefault="00211CD2" w:rsidP="00D66F43">
      <w:pPr>
        <w:spacing w:line="360" w:lineRule="auto"/>
        <w:jc w:val="both"/>
        <w:rPr>
          <w:rFonts w:cs="Calibri"/>
          <w:i w:val="0"/>
          <w:sz w:val="20"/>
        </w:rPr>
      </w:pPr>
    </w:p>
    <w:p w:rsidR="00211CD2" w:rsidRPr="0052359C" w:rsidRDefault="00211CD2" w:rsidP="00D66F43">
      <w:pPr>
        <w:spacing w:line="360" w:lineRule="auto"/>
        <w:jc w:val="both"/>
        <w:rPr>
          <w:rFonts w:cs="Calibri"/>
          <w:i w:val="0"/>
          <w:sz w:val="20"/>
        </w:rPr>
      </w:pPr>
    </w:p>
    <w:p w:rsidR="00211CD2" w:rsidRDefault="00211CD2" w:rsidP="00D66F43">
      <w:pPr>
        <w:spacing w:line="360" w:lineRule="auto"/>
        <w:jc w:val="both"/>
        <w:rPr>
          <w:rFonts w:cs="Calibri"/>
          <w:i w:val="0"/>
          <w:sz w:val="21"/>
          <w:szCs w:val="21"/>
        </w:rPr>
      </w:pPr>
    </w:p>
    <w:p w:rsidR="00211CD2" w:rsidRPr="00614FB3" w:rsidRDefault="00211CD2" w:rsidP="00D66F43">
      <w:pPr>
        <w:spacing w:line="360" w:lineRule="auto"/>
        <w:jc w:val="both"/>
        <w:rPr>
          <w:rFonts w:cs="Calibri"/>
          <w:i w:val="0"/>
          <w:sz w:val="21"/>
          <w:szCs w:val="21"/>
        </w:rPr>
      </w:pPr>
    </w:p>
    <w:p w:rsidR="00211CD2" w:rsidRPr="00614FB3" w:rsidRDefault="00211CD2" w:rsidP="00D66F43">
      <w:pPr>
        <w:spacing w:line="360" w:lineRule="auto"/>
        <w:jc w:val="both"/>
        <w:rPr>
          <w:rFonts w:cs="Calibri"/>
          <w:i w:val="0"/>
          <w:sz w:val="21"/>
          <w:szCs w:val="21"/>
        </w:rPr>
      </w:pPr>
    </w:p>
    <w:p w:rsidR="00211CD2" w:rsidRPr="00614FB3" w:rsidRDefault="00211CD2" w:rsidP="00D66F43">
      <w:pPr>
        <w:spacing w:line="360" w:lineRule="auto"/>
        <w:jc w:val="both"/>
        <w:rPr>
          <w:rFonts w:cs="Calibri"/>
          <w:i w:val="0"/>
          <w:sz w:val="21"/>
          <w:szCs w:val="21"/>
        </w:rPr>
      </w:pPr>
    </w:p>
    <w:p w:rsidR="00211CD2" w:rsidRPr="00614FB3" w:rsidRDefault="00211CD2" w:rsidP="002656F0">
      <w:pPr>
        <w:jc w:val="both"/>
        <w:rPr>
          <w:rFonts w:cs="Calibri"/>
          <w:i w:val="0"/>
          <w:sz w:val="16"/>
          <w:szCs w:val="16"/>
        </w:rPr>
      </w:pPr>
      <w:r w:rsidRPr="00614FB3">
        <w:rPr>
          <w:rFonts w:cs="Calibri"/>
          <w:i w:val="0"/>
          <w:sz w:val="16"/>
          <w:szCs w:val="16"/>
        </w:rPr>
        <w:t>_________________________________</w:t>
      </w:r>
      <w:r>
        <w:rPr>
          <w:rFonts w:cs="Calibri"/>
          <w:i w:val="0"/>
          <w:sz w:val="16"/>
          <w:szCs w:val="16"/>
        </w:rPr>
        <w:t>_</w:t>
      </w:r>
      <w:r w:rsidRPr="00614FB3">
        <w:rPr>
          <w:rFonts w:cs="Calibri"/>
          <w:i w:val="0"/>
          <w:sz w:val="16"/>
          <w:szCs w:val="16"/>
        </w:rPr>
        <w:t>_________</w:t>
      </w:r>
      <w:r>
        <w:rPr>
          <w:rFonts w:cs="Calibri"/>
          <w:i w:val="0"/>
          <w:sz w:val="16"/>
          <w:szCs w:val="16"/>
        </w:rPr>
        <w:t>_____</w:t>
      </w:r>
      <w:r w:rsidRPr="00614FB3">
        <w:rPr>
          <w:rFonts w:cs="Calibri"/>
          <w:i w:val="0"/>
          <w:sz w:val="16"/>
          <w:szCs w:val="16"/>
        </w:rPr>
        <w:t xml:space="preserve">                            __________________________________________</w:t>
      </w:r>
    </w:p>
    <w:p w:rsidR="00211CD2" w:rsidRPr="00614FB3" w:rsidRDefault="00211CD2" w:rsidP="00C17214">
      <w:pPr>
        <w:keepNext/>
        <w:spacing w:line="276" w:lineRule="auto"/>
        <w:ind w:left="708" w:right="-21" w:hanging="708"/>
        <w:rPr>
          <w:rFonts w:cs="Calibri"/>
          <w:b/>
          <w:i w:val="0"/>
          <w:sz w:val="12"/>
          <w:szCs w:val="12"/>
        </w:rPr>
      </w:pPr>
      <w:r w:rsidRPr="00614FB3">
        <w:rPr>
          <w:rFonts w:cs="Calibri"/>
          <w:b/>
          <w:i w:val="0"/>
          <w:sz w:val="12"/>
          <w:szCs w:val="12"/>
        </w:rPr>
        <w:t xml:space="preserve">             WALTER ULISES MENJÍVAR DÍAZ                       </w:t>
      </w:r>
      <w:r w:rsidRPr="00614FB3">
        <w:rPr>
          <w:rFonts w:cs="Calibri"/>
          <w:b/>
          <w:i w:val="0"/>
          <w:sz w:val="12"/>
          <w:szCs w:val="12"/>
        </w:rPr>
        <w:tab/>
      </w:r>
      <w:r w:rsidRPr="00614FB3">
        <w:rPr>
          <w:rFonts w:cs="Calibri"/>
          <w:b/>
          <w:i w:val="0"/>
          <w:sz w:val="12"/>
          <w:szCs w:val="12"/>
        </w:rPr>
        <w:tab/>
        <w:t xml:space="preserve">                  </w:t>
      </w:r>
      <w:r>
        <w:rPr>
          <w:rFonts w:cs="Calibri"/>
          <w:b/>
          <w:i w:val="0"/>
          <w:sz w:val="12"/>
          <w:szCs w:val="12"/>
        </w:rPr>
        <w:t xml:space="preserve"> </w:t>
      </w:r>
      <w:r w:rsidRPr="00614FB3">
        <w:rPr>
          <w:rFonts w:cs="Calibri"/>
          <w:b/>
          <w:i w:val="0"/>
          <w:sz w:val="12"/>
          <w:szCs w:val="12"/>
        </w:rPr>
        <w:t xml:space="preserve">  RIGOBERTO ANTONIO CONDE GONZALEZ                                </w:t>
      </w:r>
    </w:p>
    <w:p w:rsidR="00211CD2" w:rsidRPr="00614FB3" w:rsidRDefault="00211CD2" w:rsidP="00C17214">
      <w:pPr>
        <w:keepNext/>
        <w:spacing w:line="276" w:lineRule="auto"/>
        <w:ind w:left="708" w:right="-642" w:hanging="708"/>
        <w:rPr>
          <w:rFonts w:cs="Calibri"/>
          <w:b/>
          <w:i w:val="0"/>
          <w:sz w:val="12"/>
          <w:szCs w:val="12"/>
        </w:rPr>
      </w:pPr>
      <w:r w:rsidRPr="00614FB3">
        <w:rPr>
          <w:rFonts w:cs="Calibri"/>
          <w:b/>
          <w:i w:val="0"/>
          <w:sz w:val="12"/>
          <w:szCs w:val="12"/>
          <w:lang w:val="es-SV"/>
        </w:rPr>
        <w:t xml:space="preserve">  Autorizado por acuerdo ejecutivo en el ramo de Agricultura                                             </w:t>
      </w:r>
      <w:r>
        <w:rPr>
          <w:rFonts w:cs="Calibri"/>
          <w:b/>
          <w:i w:val="0"/>
          <w:sz w:val="12"/>
          <w:szCs w:val="12"/>
          <w:lang w:val="es-SV"/>
        </w:rPr>
        <w:t xml:space="preserve"> </w:t>
      </w:r>
      <w:r w:rsidRPr="00614FB3">
        <w:rPr>
          <w:rFonts w:cs="Calibri"/>
          <w:b/>
          <w:i w:val="0"/>
          <w:sz w:val="12"/>
          <w:szCs w:val="12"/>
          <w:lang w:val="es-SV"/>
        </w:rPr>
        <w:t xml:space="preserve">   </w:t>
      </w:r>
      <w:r>
        <w:rPr>
          <w:rFonts w:cs="Calibri"/>
          <w:b/>
          <w:i w:val="0"/>
          <w:sz w:val="12"/>
          <w:szCs w:val="12"/>
          <w:lang w:val="es-SV"/>
        </w:rPr>
        <w:t>APODERADO GENERAL ADMINISTRATIVO</w:t>
      </w:r>
    </w:p>
    <w:p w:rsidR="00211CD2" w:rsidRPr="00614FB3" w:rsidRDefault="00211CD2" w:rsidP="00C17214">
      <w:pPr>
        <w:spacing w:line="276" w:lineRule="auto"/>
        <w:jc w:val="both"/>
        <w:outlineLvl w:val="0"/>
        <w:rPr>
          <w:rFonts w:cs="Calibri"/>
          <w:b/>
          <w:i w:val="0"/>
          <w:sz w:val="12"/>
          <w:szCs w:val="12"/>
        </w:rPr>
      </w:pPr>
      <w:r w:rsidRPr="00614FB3">
        <w:rPr>
          <w:rFonts w:cs="Calibri"/>
          <w:b/>
          <w:i w:val="0"/>
          <w:sz w:val="12"/>
          <w:szCs w:val="12"/>
        </w:rPr>
        <w:t xml:space="preserve">    </w:t>
      </w:r>
      <w:r w:rsidRPr="00614FB3">
        <w:rPr>
          <w:rFonts w:cs="Calibri"/>
          <w:b/>
          <w:i w:val="0"/>
          <w:sz w:val="12"/>
          <w:szCs w:val="12"/>
          <w:lang w:val="es-SV"/>
        </w:rPr>
        <w:t xml:space="preserve">y Ganadería Nº 605, de fecha 3 de septiembre de 2015 </w:t>
      </w:r>
      <w:r w:rsidRPr="00614FB3">
        <w:rPr>
          <w:rFonts w:cs="Calibri"/>
          <w:b/>
          <w:i w:val="0"/>
          <w:sz w:val="12"/>
          <w:szCs w:val="12"/>
          <w:lang w:val="es-SV"/>
        </w:rPr>
        <w:tab/>
        <w:t xml:space="preserve">                                          </w:t>
      </w:r>
      <w:r>
        <w:rPr>
          <w:rFonts w:cs="Calibri"/>
          <w:b/>
          <w:i w:val="0"/>
          <w:sz w:val="12"/>
          <w:szCs w:val="12"/>
          <w:lang w:val="es-SV"/>
        </w:rPr>
        <w:t xml:space="preserve">        </w:t>
      </w:r>
      <w:r w:rsidRPr="00614FB3">
        <w:rPr>
          <w:rFonts w:cs="Calibri"/>
          <w:b/>
          <w:i w:val="0"/>
          <w:sz w:val="12"/>
          <w:szCs w:val="12"/>
          <w:lang w:val="es-SV"/>
        </w:rPr>
        <w:t xml:space="preserve"> </w:t>
      </w:r>
      <w:r>
        <w:rPr>
          <w:rFonts w:cs="Calibri"/>
          <w:b/>
          <w:i w:val="0"/>
          <w:sz w:val="12"/>
          <w:szCs w:val="12"/>
          <w:lang w:val="es-SV"/>
        </w:rPr>
        <w:t>LA CONTRATISTA</w:t>
      </w:r>
    </w:p>
    <w:p w:rsidR="00211CD2" w:rsidRDefault="00211CD2" w:rsidP="00C17214">
      <w:pPr>
        <w:spacing w:line="360" w:lineRule="auto"/>
        <w:jc w:val="both"/>
        <w:rPr>
          <w:rFonts w:cs="Calibri"/>
          <w:i w:val="0"/>
          <w:color w:val="0000FF"/>
          <w:sz w:val="12"/>
          <w:szCs w:val="12"/>
        </w:rPr>
      </w:pPr>
    </w:p>
    <w:p w:rsidR="00211CD2" w:rsidRDefault="00211CD2" w:rsidP="00C17214">
      <w:pPr>
        <w:spacing w:line="360" w:lineRule="auto"/>
        <w:jc w:val="both"/>
        <w:rPr>
          <w:rFonts w:cs="Calibri"/>
          <w:i w:val="0"/>
          <w:color w:val="0000FF"/>
          <w:sz w:val="12"/>
          <w:szCs w:val="12"/>
        </w:rPr>
      </w:pPr>
    </w:p>
    <w:p w:rsidR="00211CD2" w:rsidRDefault="00211CD2" w:rsidP="002F33F9">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11CD2" w:rsidRDefault="00211CD2" w:rsidP="002F33F9">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211CD2" w:rsidRPr="00614FB3" w:rsidRDefault="00211CD2" w:rsidP="002F33F9">
      <w:pPr>
        <w:spacing w:line="360" w:lineRule="auto"/>
        <w:jc w:val="center"/>
        <w:rPr>
          <w:rFonts w:cs="Calibri"/>
          <w:i w:val="0"/>
          <w:color w:val="0000FF"/>
          <w:sz w:val="12"/>
          <w:szCs w:val="12"/>
        </w:rPr>
      </w:pPr>
    </w:p>
    <w:sectPr w:rsidR="00211CD2" w:rsidRPr="00614FB3" w:rsidSect="00E64B96">
      <w:headerReference w:type="default" r:id="rId6"/>
      <w:footerReference w:type="even" r:id="rId7"/>
      <w:footerReference w:type="default" r:id="rId8"/>
      <w:pgSz w:w="12240" w:h="15840" w:code="1"/>
      <w:pgMar w:top="1139"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E54" w:rsidRDefault="00166E54">
      <w:r>
        <w:separator/>
      </w:r>
    </w:p>
  </w:endnote>
  <w:endnote w:type="continuationSeparator" w:id="1">
    <w:p w:rsidR="00166E54" w:rsidRDefault="00166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D2" w:rsidRDefault="004D6350" w:rsidP="00177CDB">
    <w:pPr>
      <w:pStyle w:val="Piedepgina"/>
      <w:framePr w:wrap="around" w:vAnchor="text" w:hAnchor="margin" w:xAlign="right" w:y="1"/>
      <w:rPr>
        <w:rStyle w:val="Nmerodepgina"/>
      </w:rPr>
    </w:pPr>
    <w:r>
      <w:rPr>
        <w:rStyle w:val="Nmerodepgina"/>
      </w:rPr>
      <w:fldChar w:fldCharType="begin"/>
    </w:r>
    <w:r w:rsidR="00211CD2">
      <w:rPr>
        <w:rStyle w:val="Nmerodepgina"/>
      </w:rPr>
      <w:instrText xml:space="preserve">PAGE  </w:instrText>
    </w:r>
    <w:r>
      <w:rPr>
        <w:rStyle w:val="Nmerodepgina"/>
      </w:rPr>
      <w:fldChar w:fldCharType="separate"/>
    </w:r>
    <w:r w:rsidR="00211CD2">
      <w:rPr>
        <w:rStyle w:val="Nmerodepgina"/>
        <w:noProof/>
      </w:rPr>
      <w:t>8</w:t>
    </w:r>
    <w:r>
      <w:rPr>
        <w:rStyle w:val="Nmerodepgina"/>
      </w:rPr>
      <w:fldChar w:fldCharType="end"/>
    </w:r>
  </w:p>
  <w:p w:rsidR="00211CD2" w:rsidRDefault="00211CD2"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D2" w:rsidRPr="009F35A5" w:rsidRDefault="004D6350">
    <w:pPr>
      <w:pStyle w:val="Piedepgina"/>
      <w:jc w:val="right"/>
      <w:rPr>
        <w:rFonts w:ascii="Amazone BT" w:hAnsi="Amazone BT"/>
        <w:sz w:val="16"/>
        <w:szCs w:val="16"/>
      </w:rPr>
    </w:pPr>
    <w:r w:rsidRPr="009F35A5">
      <w:rPr>
        <w:rFonts w:ascii="Amazone BT" w:hAnsi="Amazone BT"/>
        <w:sz w:val="16"/>
        <w:szCs w:val="16"/>
      </w:rPr>
      <w:fldChar w:fldCharType="begin"/>
    </w:r>
    <w:r w:rsidR="00211CD2" w:rsidRPr="009F35A5">
      <w:rPr>
        <w:rFonts w:ascii="Amazone BT" w:hAnsi="Amazone BT"/>
        <w:sz w:val="16"/>
        <w:szCs w:val="16"/>
      </w:rPr>
      <w:instrText>PAGE   \* MERGEFORMAT</w:instrText>
    </w:r>
    <w:r w:rsidRPr="009F35A5">
      <w:rPr>
        <w:rFonts w:ascii="Amazone BT" w:hAnsi="Amazone BT"/>
        <w:sz w:val="16"/>
        <w:szCs w:val="16"/>
      </w:rPr>
      <w:fldChar w:fldCharType="separate"/>
    </w:r>
    <w:r w:rsidR="00A46398">
      <w:rPr>
        <w:rFonts w:ascii="Amazone BT" w:hAnsi="Amazone BT"/>
        <w:noProof/>
        <w:sz w:val="16"/>
        <w:szCs w:val="16"/>
      </w:rPr>
      <w:t>8</w:t>
    </w:r>
    <w:r w:rsidRPr="009F35A5">
      <w:rPr>
        <w:rFonts w:ascii="Amazone BT" w:hAnsi="Amazone BT"/>
        <w:sz w:val="16"/>
        <w:szCs w:val="16"/>
      </w:rPr>
      <w:fldChar w:fldCharType="end"/>
    </w:r>
  </w:p>
  <w:p w:rsidR="00211CD2" w:rsidRDefault="00211CD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E54" w:rsidRDefault="00166E54">
      <w:r>
        <w:separator/>
      </w:r>
    </w:p>
  </w:footnote>
  <w:footnote w:type="continuationSeparator" w:id="1">
    <w:p w:rsidR="00166E54" w:rsidRDefault="00166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D2" w:rsidRDefault="00211CD2">
    <w:pPr>
      <w:pStyle w:val="Encabezado"/>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61A"/>
    <w:rsid w:val="00005A7A"/>
    <w:rsid w:val="00012C5D"/>
    <w:rsid w:val="00015EDE"/>
    <w:rsid w:val="00017E76"/>
    <w:rsid w:val="00021470"/>
    <w:rsid w:val="000245D8"/>
    <w:rsid w:val="000330C3"/>
    <w:rsid w:val="00036036"/>
    <w:rsid w:val="00036D91"/>
    <w:rsid w:val="00036EF9"/>
    <w:rsid w:val="00040877"/>
    <w:rsid w:val="000466C1"/>
    <w:rsid w:val="0004778F"/>
    <w:rsid w:val="00051038"/>
    <w:rsid w:val="00052D27"/>
    <w:rsid w:val="0005573B"/>
    <w:rsid w:val="00057BE6"/>
    <w:rsid w:val="00057FD4"/>
    <w:rsid w:val="000613AB"/>
    <w:rsid w:val="00072538"/>
    <w:rsid w:val="00074872"/>
    <w:rsid w:val="00082D9B"/>
    <w:rsid w:val="000840BC"/>
    <w:rsid w:val="00085520"/>
    <w:rsid w:val="00086C4A"/>
    <w:rsid w:val="0008719D"/>
    <w:rsid w:val="0009440C"/>
    <w:rsid w:val="00095CBC"/>
    <w:rsid w:val="000A310E"/>
    <w:rsid w:val="000A58A9"/>
    <w:rsid w:val="000B2838"/>
    <w:rsid w:val="000B5E69"/>
    <w:rsid w:val="000B6A15"/>
    <w:rsid w:val="000C3F62"/>
    <w:rsid w:val="000C62EB"/>
    <w:rsid w:val="000C6678"/>
    <w:rsid w:val="000C73FA"/>
    <w:rsid w:val="000D2A30"/>
    <w:rsid w:val="000E1FAA"/>
    <w:rsid w:val="000E201D"/>
    <w:rsid w:val="000E3697"/>
    <w:rsid w:val="000E70F1"/>
    <w:rsid w:val="000F1F4B"/>
    <w:rsid w:val="000F316E"/>
    <w:rsid w:val="000F716A"/>
    <w:rsid w:val="00103CFF"/>
    <w:rsid w:val="001045E9"/>
    <w:rsid w:val="00104799"/>
    <w:rsid w:val="00106682"/>
    <w:rsid w:val="001160C4"/>
    <w:rsid w:val="00127343"/>
    <w:rsid w:val="00130A61"/>
    <w:rsid w:val="00130A90"/>
    <w:rsid w:val="00132006"/>
    <w:rsid w:val="001410A9"/>
    <w:rsid w:val="0014168D"/>
    <w:rsid w:val="00144A38"/>
    <w:rsid w:val="001516CF"/>
    <w:rsid w:val="001539A7"/>
    <w:rsid w:val="00156A05"/>
    <w:rsid w:val="00156A1F"/>
    <w:rsid w:val="00161947"/>
    <w:rsid w:val="0016325E"/>
    <w:rsid w:val="00166E54"/>
    <w:rsid w:val="0017053B"/>
    <w:rsid w:val="00170A38"/>
    <w:rsid w:val="00175FB6"/>
    <w:rsid w:val="001765CE"/>
    <w:rsid w:val="0017788D"/>
    <w:rsid w:val="0017793B"/>
    <w:rsid w:val="00177C69"/>
    <w:rsid w:val="00177CDB"/>
    <w:rsid w:val="001845EA"/>
    <w:rsid w:val="001867B2"/>
    <w:rsid w:val="00190FD7"/>
    <w:rsid w:val="00191683"/>
    <w:rsid w:val="00192CEB"/>
    <w:rsid w:val="00196991"/>
    <w:rsid w:val="00197AAA"/>
    <w:rsid w:val="001A1AF2"/>
    <w:rsid w:val="001A3E64"/>
    <w:rsid w:val="001A64B9"/>
    <w:rsid w:val="001B2674"/>
    <w:rsid w:val="001B33C5"/>
    <w:rsid w:val="001B4FF1"/>
    <w:rsid w:val="001B5E72"/>
    <w:rsid w:val="001C7B6D"/>
    <w:rsid w:val="001D1736"/>
    <w:rsid w:val="001D1CBF"/>
    <w:rsid w:val="001D71B3"/>
    <w:rsid w:val="001E319F"/>
    <w:rsid w:val="001E3F4F"/>
    <w:rsid w:val="001E5AFF"/>
    <w:rsid w:val="001F2E06"/>
    <w:rsid w:val="001F7A85"/>
    <w:rsid w:val="00201D7B"/>
    <w:rsid w:val="00201EAD"/>
    <w:rsid w:val="0020443B"/>
    <w:rsid w:val="0021073B"/>
    <w:rsid w:val="00211B95"/>
    <w:rsid w:val="00211CD2"/>
    <w:rsid w:val="002143E0"/>
    <w:rsid w:val="002162EB"/>
    <w:rsid w:val="0022412D"/>
    <w:rsid w:val="00226287"/>
    <w:rsid w:val="0023031A"/>
    <w:rsid w:val="00233A86"/>
    <w:rsid w:val="0023440A"/>
    <w:rsid w:val="002349A9"/>
    <w:rsid w:val="00243525"/>
    <w:rsid w:val="00244E58"/>
    <w:rsid w:val="0024622F"/>
    <w:rsid w:val="00247478"/>
    <w:rsid w:val="00252214"/>
    <w:rsid w:val="0025658F"/>
    <w:rsid w:val="002648C9"/>
    <w:rsid w:val="00264DF6"/>
    <w:rsid w:val="0026552A"/>
    <w:rsid w:val="002656F0"/>
    <w:rsid w:val="00265AA4"/>
    <w:rsid w:val="00267051"/>
    <w:rsid w:val="002718CE"/>
    <w:rsid w:val="002724CB"/>
    <w:rsid w:val="002767B3"/>
    <w:rsid w:val="0027793D"/>
    <w:rsid w:val="0028102C"/>
    <w:rsid w:val="002835A9"/>
    <w:rsid w:val="00284267"/>
    <w:rsid w:val="00286733"/>
    <w:rsid w:val="00286A3A"/>
    <w:rsid w:val="00290561"/>
    <w:rsid w:val="002970EA"/>
    <w:rsid w:val="002A09ED"/>
    <w:rsid w:val="002B121C"/>
    <w:rsid w:val="002B6BED"/>
    <w:rsid w:val="002B6E8D"/>
    <w:rsid w:val="002B7B6F"/>
    <w:rsid w:val="002C130F"/>
    <w:rsid w:val="002D136B"/>
    <w:rsid w:val="002D24AD"/>
    <w:rsid w:val="002D2D52"/>
    <w:rsid w:val="002D3B2D"/>
    <w:rsid w:val="002D538D"/>
    <w:rsid w:val="002D59A6"/>
    <w:rsid w:val="002E293F"/>
    <w:rsid w:val="002E35AE"/>
    <w:rsid w:val="002F33F9"/>
    <w:rsid w:val="002F42C9"/>
    <w:rsid w:val="003039C3"/>
    <w:rsid w:val="00303DC1"/>
    <w:rsid w:val="0030701D"/>
    <w:rsid w:val="00307C9E"/>
    <w:rsid w:val="00313EF6"/>
    <w:rsid w:val="00320138"/>
    <w:rsid w:val="00326805"/>
    <w:rsid w:val="00326F2C"/>
    <w:rsid w:val="0032755D"/>
    <w:rsid w:val="003330F1"/>
    <w:rsid w:val="00342DC2"/>
    <w:rsid w:val="00346DE8"/>
    <w:rsid w:val="0035063F"/>
    <w:rsid w:val="0035207A"/>
    <w:rsid w:val="00372C11"/>
    <w:rsid w:val="00374DB8"/>
    <w:rsid w:val="00380FD2"/>
    <w:rsid w:val="0038207D"/>
    <w:rsid w:val="003821BA"/>
    <w:rsid w:val="003864E8"/>
    <w:rsid w:val="00386F98"/>
    <w:rsid w:val="003A168F"/>
    <w:rsid w:val="003A4E76"/>
    <w:rsid w:val="003A7C0B"/>
    <w:rsid w:val="003B0164"/>
    <w:rsid w:val="003B0A18"/>
    <w:rsid w:val="003B300E"/>
    <w:rsid w:val="003B3DC9"/>
    <w:rsid w:val="003C2BBE"/>
    <w:rsid w:val="003C66DA"/>
    <w:rsid w:val="003C69AE"/>
    <w:rsid w:val="003C6D89"/>
    <w:rsid w:val="003D2A0C"/>
    <w:rsid w:val="003D3D47"/>
    <w:rsid w:val="003D5AAC"/>
    <w:rsid w:val="003E1D05"/>
    <w:rsid w:val="003E32F9"/>
    <w:rsid w:val="003E54CD"/>
    <w:rsid w:val="003F045F"/>
    <w:rsid w:val="003F0C01"/>
    <w:rsid w:val="003F1CA3"/>
    <w:rsid w:val="004008D4"/>
    <w:rsid w:val="00400B6F"/>
    <w:rsid w:val="00404EA2"/>
    <w:rsid w:val="00405260"/>
    <w:rsid w:val="00415545"/>
    <w:rsid w:val="00415E97"/>
    <w:rsid w:val="00421E81"/>
    <w:rsid w:val="0042281A"/>
    <w:rsid w:val="00422AC4"/>
    <w:rsid w:val="00425D86"/>
    <w:rsid w:val="00427589"/>
    <w:rsid w:val="00440AC0"/>
    <w:rsid w:val="00444C88"/>
    <w:rsid w:val="00451925"/>
    <w:rsid w:val="00452414"/>
    <w:rsid w:val="004565DE"/>
    <w:rsid w:val="004570A7"/>
    <w:rsid w:val="004733CA"/>
    <w:rsid w:val="00477AC5"/>
    <w:rsid w:val="004839A6"/>
    <w:rsid w:val="00484826"/>
    <w:rsid w:val="00485A08"/>
    <w:rsid w:val="00492BF1"/>
    <w:rsid w:val="00493B9F"/>
    <w:rsid w:val="00493F6F"/>
    <w:rsid w:val="0049604E"/>
    <w:rsid w:val="004A1B99"/>
    <w:rsid w:val="004A2E93"/>
    <w:rsid w:val="004A3694"/>
    <w:rsid w:val="004A3E00"/>
    <w:rsid w:val="004A6361"/>
    <w:rsid w:val="004A7C1F"/>
    <w:rsid w:val="004B1626"/>
    <w:rsid w:val="004B3361"/>
    <w:rsid w:val="004C2F5E"/>
    <w:rsid w:val="004C56D9"/>
    <w:rsid w:val="004C6E01"/>
    <w:rsid w:val="004C6F95"/>
    <w:rsid w:val="004D16E5"/>
    <w:rsid w:val="004D1980"/>
    <w:rsid w:val="004D2F07"/>
    <w:rsid w:val="004D5DD6"/>
    <w:rsid w:val="004D6350"/>
    <w:rsid w:val="004E09DE"/>
    <w:rsid w:val="004E1CDA"/>
    <w:rsid w:val="004E2A5B"/>
    <w:rsid w:val="004E7595"/>
    <w:rsid w:val="004F1EBB"/>
    <w:rsid w:val="004F24C7"/>
    <w:rsid w:val="004F30A9"/>
    <w:rsid w:val="004F49CC"/>
    <w:rsid w:val="004F629B"/>
    <w:rsid w:val="004F7033"/>
    <w:rsid w:val="004F7FA0"/>
    <w:rsid w:val="00500699"/>
    <w:rsid w:val="00500E36"/>
    <w:rsid w:val="00503C40"/>
    <w:rsid w:val="005109F5"/>
    <w:rsid w:val="00517C7F"/>
    <w:rsid w:val="00520BCD"/>
    <w:rsid w:val="0052139D"/>
    <w:rsid w:val="0052359C"/>
    <w:rsid w:val="0052490F"/>
    <w:rsid w:val="0052681D"/>
    <w:rsid w:val="005270C1"/>
    <w:rsid w:val="0053213E"/>
    <w:rsid w:val="00535A16"/>
    <w:rsid w:val="00536626"/>
    <w:rsid w:val="00536C3F"/>
    <w:rsid w:val="00544E25"/>
    <w:rsid w:val="00562BF5"/>
    <w:rsid w:val="005632A3"/>
    <w:rsid w:val="005634D2"/>
    <w:rsid w:val="00563758"/>
    <w:rsid w:val="00564D8E"/>
    <w:rsid w:val="00565C4F"/>
    <w:rsid w:val="0056722E"/>
    <w:rsid w:val="0057042C"/>
    <w:rsid w:val="00571073"/>
    <w:rsid w:val="005730A0"/>
    <w:rsid w:val="00574F66"/>
    <w:rsid w:val="00577903"/>
    <w:rsid w:val="00581C5A"/>
    <w:rsid w:val="0058550A"/>
    <w:rsid w:val="00590ED8"/>
    <w:rsid w:val="005913EA"/>
    <w:rsid w:val="00593587"/>
    <w:rsid w:val="00594C3E"/>
    <w:rsid w:val="005960DB"/>
    <w:rsid w:val="0059665B"/>
    <w:rsid w:val="0059685A"/>
    <w:rsid w:val="00596C5C"/>
    <w:rsid w:val="005A06F9"/>
    <w:rsid w:val="005A0DD6"/>
    <w:rsid w:val="005A1DEA"/>
    <w:rsid w:val="005A5794"/>
    <w:rsid w:val="005A5E9C"/>
    <w:rsid w:val="005A6A34"/>
    <w:rsid w:val="005B27F4"/>
    <w:rsid w:val="005B443F"/>
    <w:rsid w:val="005B68D3"/>
    <w:rsid w:val="005D200A"/>
    <w:rsid w:val="005D4503"/>
    <w:rsid w:val="005D5AA8"/>
    <w:rsid w:val="005D6456"/>
    <w:rsid w:val="005D6469"/>
    <w:rsid w:val="005D671F"/>
    <w:rsid w:val="005D7983"/>
    <w:rsid w:val="005E0D93"/>
    <w:rsid w:val="005E2FBC"/>
    <w:rsid w:val="005E32CE"/>
    <w:rsid w:val="005E3A36"/>
    <w:rsid w:val="005F14F0"/>
    <w:rsid w:val="005F1EAF"/>
    <w:rsid w:val="005F2942"/>
    <w:rsid w:val="005F5EF1"/>
    <w:rsid w:val="005F797D"/>
    <w:rsid w:val="00600B98"/>
    <w:rsid w:val="00602491"/>
    <w:rsid w:val="00604F2F"/>
    <w:rsid w:val="00607768"/>
    <w:rsid w:val="00612964"/>
    <w:rsid w:val="00614801"/>
    <w:rsid w:val="00614FB3"/>
    <w:rsid w:val="00617071"/>
    <w:rsid w:val="00617863"/>
    <w:rsid w:val="006179FC"/>
    <w:rsid w:val="00621F7E"/>
    <w:rsid w:val="00622632"/>
    <w:rsid w:val="0062416C"/>
    <w:rsid w:val="00627C7D"/>
    <w:rsid w:val="006362FD"/>
    <w:rsid w:val="00637900"/>
    <w:rsid w:val="0064275A"/>
    <w:rsid w:val="00644596"/>
    <w:rsid w:val="00645F7D"/>
    <w:rsid w:val="006461BF"/>
    <w:rsid w:val="0065154D"/>
    <w:rsid w:val="00653BBE"/>
    <w:rsid w:val="006650AB"/>
    <w:rsid w:val="00676F40"/>
    <w:rsid w:val="00676F65"/>
    <w:rsid w:val="00677263"/>
    <w:rsid w:val="00680374"/>
    <w:rsid w:val="00680E87"/>
    <w:rsid w:val="00681985"/>
    <w:rsid w:val="00681BD4"/>
    <w:rsid w:val="00683D89"/>
    <w:rsid w:val="00685783"/>
    <w:rsid w:val="00693C56"/>
    <w:rsid w:val="006A0F71"/>
    <w:rsid w:val="006A1C40"/>
    <w:rsid w:val="006A3021"/>
    <w:rsid w:val="006B1024"/>
    <w:rsid w:val="006B1AF0"/>
    <w:rsid w:val="006B1E62"/>
    <w:rsid w:val="006B3ED6"/>
    <w:rsid w:val="006B4DDC"/>
    <w:rsid w:val="006B6A42"/>
    <w:rsid w:val="006C18AA"/>
    <w:rsid w:val="006C2DA5"/>
    <w:rsid w:val="006C5060"/>
    <w:rsid w:val="006D106A"/>
    <w:rsid w:val="006D2125"/>
    <w:rsid w:val="006D26A9"/>
    <w:rsid w:val="006D4A75"/>
    <w:rsid w:val="006D7267"/>
    <w:rsid w:val="006E21B6"/>
    <w:rsid w:val="006E61A5"/>
    <w:rsid w:val="006E73BC"/>
    <w:rsid w:val="006F08E4"/>
    <w:rsid w:val="006F3605"/>
    <w:rsid w:val="00700E25"/>
    <w:rsid w:val="007118E1"/>
    <w:rsid w:val="00712DF1"/>
    <w:rsid w:val="0071653E"/>
    <w:rsid w:val="00724381"/>
    <w:rsid w:val="00725FB8"/>
    <w:rsid w:val="00730B07"/>
    <w:rsid w:val="007314F9"/>
    <w:rsid w:val="00734CAA"/>
    <w:rsid w:val="00735090"/>
    <w:rsid w:val="007357DA"/>
    <w:rsid w:val="00740364"/>
    <w:rsid w:val="00741CFA"/>
    <w:rsid w:val="00742089"/>
    <w:rsid w:val="00744B27"/>
    <w:rsid w:val="007565A5"/>
    <w:rsid w:val="00757F30"/>
    <w:rsid w:val="0076281A"/>
    <w:rsid w:val="007643D9"/>
    <w:rsid w:val="007661AD"/>
    <w:rsid w:val="0076760D"/>
    <w:rsid w:val="0077127F"/>
    <w:rsid w:val="00774DAF"/>
    <w:rsid w:val="0077567B"/>
    <w:rsid w:val="00777439"/>
    <w:rsid w:val="007815C1"/>
    <w:rsid w:val="00783F82"/>
    <w:rsid w:val="007947EA"/>
    <w:rsid w:val="00795C8A"/>
    <w:rsid w:val="0079632D"/>
    <w:rsid w:val="00797B69"/>
    <w:rsid w:val="007A11EC"/>
    <w:rsid w:val="007A771B"/>
    <w:rsid w:val="007C08A7"/>
    <w:rsid w:val="007C08C9"/>
    <w:rsid w:val="007C23C6"/>
    <w:rsid w:val="007C3F8B"/>
    <w:rsid w:val="007D17B3"/>
    <w:rsid w:val="007D1FBD"/>
    <w:rsid w:val="007D2456"/>
    <w:rsid w:val="007D2D9E"/>
    <w:rsid w:val="007D3EB3"/>
    <w:rsid w:val="007D518C"/>
    <w:rsid w:val="007D73A0"/>
    <w:rsid w:val="007E032F"/>
    <w:rsid w:val="007E0A0A"/>
    <w:rsid w:val="007E2763"/>
    <w:rsid w:val="007F37A3"/>
    <w:rsid w:val="007F3F1F"/>
    <w:rsid w:val="007F5994"/>
    <w:rsid w:val="007F7DEB"/>
    <w:rsid w:val="008053B5"/>
    <w:rsid w:val="00812F92"/>
    <w:rsid w:val="00815E37"/>
    <w:rsid w:val="00821109"/>
    <w:rsid w:val="008249E5"/>
    <w:rsid w:val="00825D6F"/>
    <w:rsid w:val="0083028C"/>
    <w:rsid w:val="00830C2C"/>
    <w:rsid w:val="00835ECD"/>
    <w:rsid w:val="00843513"/>
    <w:rsid w:val="00843F96"/>
    <w:rsid w:val="00844927"/>
    <w:rsid w:val="008477E7"/>
    <w:rsid w:val="008529C4"/>
    <w:rsid w:val="00853392"/>
    <w:rsid w:val="00853A60"/>
    <w:rsid w:val="00854445"/>
    <w:rsid w:val="00855278"/>
    <w:rsid w:val="00863335"/>
    <w:rsid w:val="00872625"/>
    <w:rsid w:val="008735CA"/>
    <w:rsid w:val="00873F67"/>
    <w:rsid w:val="008746A8"/>
    <w:rsid w:val="00883031"/>
    <w:rsid w:val="00890409"/>
    <w:rsid w:val="008964A6"/>
    <w:rsid w:val="008A508B"/>
    <w:rsid w:val="008A674F"/>
    <w:rsid w:val="008B15BD"/>
    <w:rsid w:val="008B2C3F"/>
    <w:rsid w:val="008B63B5"/>
    <w:rsid w:val="008C0928"/>
    <w:rsid w:val="008C1382"/>
    <w:rsid w:val="008C22D3"/>
    <w:rsid w:val="008C33B5"/>
    <w:rsid w:val="008D05FD"/>
    <w:rsid w:val="008D57A4"/>
    <w:rsid w:val="008D6A53"/>
    <w:rsid w:val="008D7665"/>
    <w:rsid w:val="008E1780"/>
    <w:rsid w:val="008E319B"/>
    <w:rsid w:val="008E630A"/>
    <w:rsid w:val="008E77BB"/>
    <w:rsid w:val="008F5B4E"/>
    <w:rsid w:val="008F6E2F"/>
    <w:rsid w:val="00900F76"/>
    <w:rsid w:val="0090329C"/>
    <w:rsid w:val="0090380E"/>
    <w:rsid w:val="00904825"/>
    <w:rsid w:val="00906955"/>
    <w:rsid w:val="00911100"/>
    <w:rsid w:val="00912DC8"/>
    <w:rsid w:val="009164DD"/>
    <w:rsid w:val="00917DBB"/>
    <w:rsid w:val="00921781"/>
    <w:rsid w:val="00921842"/>
    <w:rsid w:val="00926CB8"/>
    <w:rsid w:val="00932067"/>
    <w:rsid w:val="009345B6"/>
    <w:rsid w:val="0093505C"/>
    <w:rsid w:val="00940C45"/>
    <w:rsid w:val="009428C5"/>
    <w:rsid w:val="00943255"/>
    <w:rsid w:val="00944747"/>
    <w:rsid w:val="00945A84"/>
    <w:rsid w:val="009477A2"/>
    <w:rsid w:val="009551AA"/>
    <w:rsid w:val="0095536A"/>
    <w:rsid w:val="009553F0"/>
    <w:rsid w:val="00965D3D"/>
    <w:rsid w:val="00967E77"/>
    <w:rsid w:val="00976CCD"/>
    <w:rsid w:val="0098424C"/>
    <w:rsid w:val="00984E54"/>
    <w:rsid w:val="00986F1F"/>
    <w:rsid w:val="00987825"/>
    <w:rsid w:val="00992030"/>
    <w:rsid w:val="0099416B"/>
    <w:rsid w:val="00994697"/>
    <w:rsid w:val="00995874"/>
    <w:rsid w:val="009A2936"/>
    <w:rsid w:val="009A77FD"/>
    <w:rsid w:val="009B3206"/>
    <w:rsid w:val="009B55BC"/>
    <w:rsid w:val="009B6EDA"/>
    <w:rsid w:val="009C06A5"/>
    <w:rsid w:val="009C0AC0"/>
    <w:rsid w:val="009C5ED4"/>
    <w:rsid w:val="009C6443"/>
    <w:rsid w:val="009C7626"/>
    <w:rsid w:val="009C7A36"/>
    <w:rsid w:val="009D02E2"/>
    <w:rsid w:val="009D0416"/>
    <w:rsid w:val="009D27B4"/>
    <w:rsid w:val="009D49F8"/>
    <w:rsid w:val="009E111C"/>
    <w:rsid w:val="009E59AD"/>
    <w:rsid w:val="009F35A5"/>
    <w:rsid w:val="009F46AA"/>
    <w:rsid w:val="009F620E"/>
    <w:rsid w:val="009F79EC"/>
    <w:rsid w:val="00A02EB3"/>
    <w:rsid w:val="00A04192"/>
    <w:rsid w:val="00A04EAF"/>
    <w:rsid w:val="00A1432D"/>
    <w:rsid w:val="00A25D53"/>
    <w:rsid w:val="00A27F0D"/>
    <w:rsid w:val="00A30546"/>
    <w:rsid w:val="00A30D46"/>
    <w:rsid w:val="00A34AEF"/>
    <w:rsid w:val="00A352BF"/>
    <w:rsid w:val="00A367CE"/>
    <w:rsid w:val="00A45397"/>
    <w:rsid w:val="00A46398"/>
    <w:rsid w:val="00A569D1"/>
    <w:rsid w:val="00A60C77"/>
    <w:rsid w:val="00A617F8"/>
    <w:rsid w:val="00A61C8B"/>
    <w:rsid w:val="00A61CC3"/>
    <w:rsid w:val="00A624DE"/>
    <w:rsid w:val="00A865E9"/>
    <w:rsid w:val="00A86B9B"/>
    <w:rsid w:val="00A87B69"/>
    <w:rsid w:val="00AB3395"/>
    <w:rsid w:val="00AB3755"/>
    <w:rsid w:val="00AB5BBC"/>
    <w:rsid w:val="00AB611B"/>
    <w:rsid w:val="00AB647D"/>
    <w:rsid w:val="00AC1473"/>
    <w:rsid w:val="00AC68FD"/>
    <w:rsid w:val="00AC6FA6"/>
    <w:rsid w:val="00AD2618"/>
    <w:rsid w:val="00AD46EB"/>
    <w:rsid w:val="00AD552D"/>
    <w:rsid w:val="00AE32A5"/>
    <w:rsid w:val="00AF290B"/>
    <w:rsid w:val="00AF655E"/>
    <w:rsid w:val="00B052E1"/>
    <w:rsid w:val="00B1109E"/>
    <w:rsid w:val="00B12E60"/>
    <w:rsid w:val="00B16A24"/>
    <w:rsid w:val="00B16B73"/>
    <w:rsid w:val="00B22179"/>
    <w:rsid w:val="00B22D00"/>
    <w:rsid w:val="00B338B2"/>
    <w:rsid w:val="00B41531"/>
    <w:rsid w:val="00B44E82"/>
    <w:rsid w:val="00B46179"/>
    <w:rsid w:val="00B5767E"/>
    <w:rsid w:val="00B646D3"/>
    <w:rsid w:val="00B6620E"/>
    <w:rsid w:val="00B70EF5"/>
    <w:rsid w:val="00B74381"/>
    <w:rsid w:val="00B760BA"/>
    <w:rsid w:val="00B76E0C"/>
    <w:rsid w:val="00B77809"/>
    <w:rsid w:val="00B77C44"/>
    <w:rsid w:val="00B804B5"/>
    <w:rsid w:val="00B85945"/>
    <w:rsid w:val="00B8611B"/>
    <w:rsid w:val="00B87523"/>
    <w:rsid w:val="00B91FA0"/>
    <w:rsid w:val="00B9278B"/>
    <w:rsid w:val="00B928F0"/>
    <w:rsid w:val="00B9661F"/>
    <w:rsid w:val="00BA09BA"/>
    <w:rsid w:val="00BA2B2F"/>
    <w:rsid w:val="00BA5EB1"/>
    <w:rsid w:val="00BA66D7"/>
    <w:rsid w:val="00BB7C1C"/>
    <w:rsid w:val="00BB7ECB"/>
    <w:rsid w:val="00BC2AA9"/>
    <w:rsid w:val="00BC2D95"/>
    <w:rsid w:val="00BC34B0"/>
    <w:rsid w:val="00BC43D9"/>
    <w:rsid w:val="00BD2D41"/>
    <w:rsid w:val="00BD43C7"/>
    <w:rsid w:val="00BD635E"/>
    <w:rsid w:val="00BE68C0"/>
    <w:rsid w:val="00BF10DB"/>
    <w:rsid w:val="00BF4478"/>
    <w:rsid w:val="00BF53D7"/>
    <w:rsid w:val="00BF6E12"/>
    <w:rsid w:val="00BF6F22"/>
    <w:rsid w:val="00BF7F33"/>
    <w:rsid w:val="00C07237"/>
    <w:rsid w:val="00C07A34"/>
    <w:rsid w:val="00C11B07"/>
    <w:rsid w:val="00C123A3"/>
    <w:rsid w:val="00C17214"/>
    <w:rsid w:val="00C215F7"/>
    <w:rsid w:val="00C24675"/>
    <w:rsid w:val="00C30644"/>
    <w:rsid w:val="00C33E59"/>
    <w:rsid w:val="00C33F47"/>
    <w:rsid w:val="00C34DEC"/>
    <w:rsid w:val="00C3515E"/>
    <w:rsid w:val="00C36F55"/>
    <w:rsid w:val="00C40FDB"/>
    <w:rsid w:val="00C42C03"/>
    <w:rsid w:val="00C446E1"/>
    <w:rsid w:val="00C45FD7"/>
    <w:rsid w:val="00C479C8"/>
    <w:rsid w:val="00C53296"/>
    <w:rsid w:val="00C54AA2"/>
    <w:rsid w:val="00C57542"/>
    <w:rsid w:val="00C60281"/>
    <w:rsid w:val="00C70FE2"/>
    <w:rsid w:val="00C71E1E"/>
    <w:rsid w:val="00C71F88"/>
    <w:rsid w:val="00C72C7C"/>
    <w:rsid w:val="00C74856"/>
    <w:rsid w:val="00C75438"/>
    <w:rsid w:val="00C75564"/>
    <w:rsid w:val="00C843E9"/>
    <w:rsid w:val="00C93D59"/>
    <w:rsid w:val="00C94CCE"/>
    <w:rsid w:val="00CA2117"/>
    <w:rsid w:val="00CA39B7"/>
    <w:rsid w:val="00CA787B"/>
    <w:rsid w:val="00CB02A4"/>
    <w:rsid w:val="00CB2ED0"/>
    <w:rsid w:val="00CB320C"/>
    <w:rsid w:val="00CB5539"/>
    <w:rsid w:val="00CB7666"/>
    <w:rsid w:val="00CC2C09"/>
    <w:rsid w:val="00CC3FBA"/>
    <w:rsid w:val="00CC4589"/>
    <w:rsid w:val="00CD39C1"/>
    <w:rsid w:val="00CD64FE"/>
    <w:rsid w:val="00CD6625"/>
    <w:rsid w:val="00CE1411"/>
    <w:rsid w:val="00CE1C19"/>
    <w:rsid w:val="00CE1E3F"/>
    <w:rsid w:val="00CE2402"/>
    <w:rsid w:val="00CE31C2"/>
    <w:rsid w:val="00CE33EA"/>
    <w:rsid w:val="00CE42A6"/>
    <w:rsid w:val="00CE49B3"/>
    <w:rsid w:val="00CE4C0B"/>
    <w:rsid w:val="00CE656A"/>
    <w:rsid w:val="00CE6DDB"/>
    <w:rsid w:val="00CE6FF0"/>
    <w:rsid w:val="00CE7899"/>
    <w:rsid w:val="00CF3E93"/>
    <w:rsid w:val="00CF550B"/>
    <w:rsid w:val="00CF6426"/>
    <w:rsid w:val="00D01EF1"/>
    <w:rsid w:val="00D054E7"/>
    <w:rsid w:val="00D14A05"/>
    <w:rsid w:val="00D20E17"/>
    <w:rsid w:val="00D24A40"/>
    <w:rsid w:val="00D27925"/>
    <w:rsid w:val="00D30512"/>
    <w:rsid w:val="00D35F9E"/>
    <w:rsid w:val="00D37DE3"/>
    <w:rsid w:val="00D421BD"/>
    <w:rsid w:val="00D43AD1"/>
    <w:rsid w:val="00D451CE"/>
    <w:rsid w:val="00D476DF"/>
    <w:rsid w:val="00D53115"/>
    <w:rsid w:val="00D54186"/>
    <w:rsid w:val="00D54F55"/>
    <w:rsid w:val="00D5582E"/>
    <w:rsid w:val="00D5658E"/>
    <w:rsid w:val="00D5757D"/>
    <w:rsid w:val="00D60BE5"/>
    <w:rsid w:val="00D6131F"/>
    <w:rsid w:val="00D62116"/>
    <w:rsid w:val="00D6247B"/>
    <w:rsid w:val="00D641E7"/>
    <w:rsid w:val="00D66F43"/>
    <w:rsid w:val="00D712E0"/>
    <w:rsid w:val="00D72555"/>
    <w:rsid w:val="00D82271"/>
    <w:rsid w:val="00D91338"/>
    <w:rsid w:val="00D91D28"/>
    <w:rsid w:val="00D9421C"/>
    <w:rsid w:val="00D96A39"/>
    <w:rsid w:val="00DA2EE6"/>
    <w:rsid w:val="00DA40A3"/>
    <w:rsid w:val="00DA6839"/>
    <w:rsid w:val="00DB0797"/>
    <w:rsid w:val="00DB3517"/>
    <w:rsid w:val="00DB507A"/>
    <w:rsid w:val="00DB53FD"/>
    <w:rsid w:val="00DB7F39"/>
    <w:rsid w:val="00DC4C3F"/>
    <w:rsid w:val="00DD08E2"/>
    <w:rsid w:val="00DD19A1"/>
    <w:rsid w:val="00DD1B66"/>
    <w:rsid w:val="00DD30EB"/>
    <w:rsid w:val="00DD6652"/>
    <w:rsid w:val="00DD7259"/>
    <w:rsid w:val="00DE23CF"/>
    <w:rsid w:val="00DE60E2"/>
    <w:rsid w:val="00DE7A8F"/>
    <w:rsid w:val="00DF081D"/>
    <w:rsid w:val="00DF4D89"/>
    <w:rsid w:val="00DF7310"/>
    <w:rsid w:val="00E038F3"/>
    <w:rsid w:val="00E0410D"/>
    <w:rsid w:val="00E07624"/>
    <w:rsid w:val="00E07C92"/>
    <w:rsid w:val="00E21BA1"/>
    <w:rsid w:val="00E24095"/>
    <w:rsid w:val="00E26229"/>
    <w:rsid w:val="00E31F0A"/>
    <w:rsid w:val="00E3342E"/>
    <w:rsid w:val="00E35159"/>
    <w:rsid w:val="00E37DB0"/>
    <w:rsid w:val="00E41544"/>
    <w:rsid w:val="00E4172D"/>
    <w:rsid w:val="00E5150E"/>
    <w:rsid w:val="00E51576"/>
    <w:rsid w:val="00E54F7A"/>
    <w:rsid w:val="00E56C72"/>
    <w:rsid w:val="00E61030"/>
    <w:rsid w:val="00E63507"/>
    <w:rsid w:val="00E64B96"/>
    <w:rsid w:val="00E651F9"/>
    <w:rsid w:val="00E658A5"/>
    <w:rsid w:val="00E705EB"/>
    <w:rsid w:val="00E73024"/>
    <w:rsid w:val="00E738D4"/>
    <w:rsid w:val="00E73BDE"/>
    <w:rsid w:val="00E76B52"/>
    <w:rsid w:val="00E8086D"/>
    <w:rsid w:val="00E8106B"/>
    <w:rsid w:val="00E81631"/>
    <w:rsid w:val="00E81E72"/>
    <w:rsid w:val="00E85140"/>
    <w:rsid w:val="00E92146"/>
    <w:rsid w:val="00EA0BAA"/>
    <w:rsid w:val="00EA12CE"/>
    <w:rsid w:val="00EA2DA1"/>
    <w:rsid w:val="00EA4117"/>
    <w:rsid w:val="00EB17AA"/>
    <w:rsid w:val="00EB1F08"/>
    <w:rsid w:val="00EC1E20"/>
    <w:rsid w:val="00EC2EB4"/>
    <w:rsid w:val="00EC3CBD"/>
    <w:rsid w:val="00EC46DE"/>
    <w:rsid w:val="00EC4B7D"/>
    <w:rsid w:val="00EC7843"/>
    <w:rsid w:val="00EC7D58"/>
    <w:rsid w:val="00ED11BD"/>
    <w:rsid w:val="00ED1F24"/>
    <w:rsid w:val="00ED56B8"/>
    <w:rsid w:val="00ED6938"/>
    <w:rsid w:val="00ED6A13"/>
    <w:rsid w:val="00EE2277"/>
    <w:rsid w:val="00EF0182"/>
    <w:rsid w:val="00EF0A5B"/>
    <w:rsid w:val="00EF10BB"/>
    <w:rsid w:val="00EF6D88"/>
    <w:rsid w:val="00F01EEB"/>
    <w:rsid w:val="00F02297"/>
    <w:rsid w:val="00F0302C"/>
    <w:rsid w:val="00F030AC"/>
    <w:rsid w:val="00F038A4"/>
    <w:rsid w:val="00F04EE3"/>
    <w:rsid w:val="00F16DE5"/>
    <w:rsid w:val="00F206B3"/>
    <w:rsid w:val="00F23682"/>
    <w:rsid w:val="00F24132"/>
    <w:rsid w:val="00F24AC5"/>
    <w:rsid w:val="00F27ED0"/>
    <w:rsid w:val="00F34A02"/>
    <w:rsid w:val="00F34B09"/>
    <w:rsid w:val="00F372DF"/>
    <w:rsid w:val="00F41CEC"/>
    <w:rsid w:val="00F43710"/>
    <w:rsid w:val="00F43968"/>
    <w:rsid w:val="00F50E29"/>
    <w:rsid w:val="00F526C0"/>
    <w:rsid w:val="00F53BB0"/>
    <w:rsid w:val="00F55A9E"/>
    <w:rsid w:val="00F610E8"/>
    <w:rsid w:val="00F644B2"/>
    <w:rsid w:val="00F64BFF"/>
    <w:rsid w:val="00F65ACA"/>
    <w:rsid w:val="00F6622A"/>
    <w:rsid w:val="00F730AC"/>
    <w:rsid w:val="00F76125"/>
    <w:rsid w:val="00F82122"/>
    <w:rsid w:val="00F832D4"/>
    <w:rsid w:val="00F8567B"/>
    <w:rsid w:val="00F85B19"/>
    <w:rsid w:val="00F87312"/>
    <w:rsid w:val="00F93DE3"/>
    <w:rsid w:val="00F9507D"/>
    <w:rsid w:val="00FA0CB6"/>
    <w:rsid w:val="00FA1C1C"/>
    <w:rsid w:val="00FA4280"/>
    <w:rsid w:val="00FA4D71"/>
    <w:rsid w:val="00FB07BD"/>
    <w:rsid w:val="00FB0D1F"/>
    <w:rsid w:val="00FB4D55"/>
    <w:rsid w:val="00FB52A8"/>
    <w:rsid w:val="00FB6CD4"/>
    <w:rsid w:val="00FC025B"/>
    <w:rsid w:val="00FC1D40"/>
    <w:rsid w:val="00FC4E1C"/>
    <w:rsid w:val="00FE1508"/>
    <w:rsid w:val="00FF0B97"/>
    <w:rsid w:val="00FF1285"/>
    <w:rsid w:val="00FF52C0"/>
    <w:rsid w:val="00FF6E87"/>
    <w:rsid w:val="00FF73D5"/>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locked/>
    <w:rsid w:val="006D4A75"/>
    <w:rPr>
      <w:rFonts w:cs="Times New Roman"/>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D27925"/>
    <w:rPr>
      <w:rFonts w:ascii="Arial" w:hAnsi="Arial" w:cs="Times New Roman"/>
      <w:b/>
      <w:sz w:val="2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4D6350"/>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4D6350"/>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6350"/>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4D6350"/>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4D6350"/>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4D6350"/>
    <w:rPr>
      <w:rFonts w:ascii="Bookman Old Style" w:hAnsi="Bookman Old Style" w:cs="Times New Roman"/>
      <w:i/>
      <w:sz w:val="20"/>
      <w:szCs w:val="20"/>
      <w:lang w:val="es-ES" w:eastAsia="es-ES"/>
    </w:rPr>
  </w:style>
  <w:style w:type="character" w:customStyle="1" w:styleId="object-active">
    <w:name w:val="object-active"/>
    <w:basedOn w:val="Fuentedeprrafopredeter"/>
    <w:uiPriority w:val="99"/>
    <w:rsid w:val="004F24C7"/>
    <w:rPr>
      <w:rFonts w:cs="Times New Roman"/>
    </w:rPr>
  </w:style>
</w:styles>
</file>

<file path=word/webSettings.xml><?xml version="1.0" encoding="utf-8"?>
<w:webSettings xmlns:r="http://schemas.openxmlformats.org/officeDocument/2006/relationships" xmlns:w="http://schemas.openxmlformats.org/wordprocessingml/2006/main">
  <w:divs>
    <w:div w:id="1941139318">
      <w:marLeft w:val="0"/>
      <w:marRight w:val="0"/>
      <w:marTop w:val="0"/>
      <w:marBottom w:val="0"/>
      <w:divBdr>
        <w:top w:val="none" w:sz="0" w:space="0" w:color="auto"/>
        <w:left w:val="none" w:sz="0" w:space="0" w:color="auto"/>
        <w:bottom w:val="none" w:sz="0" w:space="0" w:color="auto"/>
        <w:right w:val="none" w:sz="0" w:space="0" w:color="auto"/>
      </w:divBdr>
    </w:div>
    <w:div w:id="1941139319">
      <w:marLeft w:val="0"/>
      <w:marRight w:val="0"/>
      <w:marTop w:val="0"/>
      <w:marBottom w:val="0"/>
      <w:divBdr>
        <w:top w:val="none" w:sz="0" w:space="0" w:color="auto"/>
        <w:left w:val="none" w:sz="0" w:space="0" w:color="auto"/>
        <w:bottom w:val="none" w:sz="0" w:space="0" w:color="auto"/>
        <w:right w:val="none" w:sz="0" w:space="0" w:color="auto"/>
      </w:divBdr>
    </w:div>
    <w:div w:id="1941139320">
      <w:marLeft w:val="0"/>
      <w:marRight w:val="0"/>
      <w:marTop w:val="0"/>
      <w:marBottom w:val="0"/>
      <w:divBdr>
        <w:top w:val="none" w:sz="0" w:space="0" w:color="auto"/>
        <w:left w:val="none" w:sz="0" w:space="0" w:color="auto"/>
        <w:bottom w:val="none" w:sz="0" w:space="0" w:color="auto"/>
        <w:right w:val="none" w:sz="0" w:space="0" w:color="auto"/>
      </w:divBdr>
    </w:div>
    <w:div w:id="1941139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3420</Words>
  <Characters>18814</Characters>
  <Application>Microsoft Office Word</Application>
  <DocSecurity>0</DocSecurity>
  <Lines>156</Lines>
  <Paragraphs>44</Paragraphs>
  <ScaleCrop>false</ScaleCrop>
  <Company>mag</Company>
  <LinksUpToDate>false</LinksUpToDate>
  <CharactersWithSpaces>22190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2017-02-17T16:13:00Z</cp:lastPrinted>
  <dcterms:created xsi:type="dcterms:W3CDTF">2017-03-23T17:30:00Z</dcterms:created>
  <dcterms:modified xsi:type="dcterms:W3CDTF">2017-05-19T17:53:00Z</dcterms:modified>
</cp:coreProperties>
</file>