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033" w:rsidRPr="00B243E0" w:rsidRDefault="00AC0033" w:rsidP="00721EC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C0033" w:rsidRPr="000566A4" w:rsidRDefault="00AC0033" w:rsidP="00721EC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C0033" w:rsidRDefault="00AC0033" w:rsidP="00721ECE">
      <w:pPr>
        <w:pStyle w:val="Ttulo"/>
        <w:tabs>
          <w:tab w:val="left" w:pos="1968"/>
          <w:tab w:val="center" w:pos="4419"/>
          <w:tab w:val="left" w:pos="6641"/>
        </w:tabs>
        <w:outlineLvl w:val="0"/>
        <w:rPr>
          <w:rFonts w:ascii="Palatino Linotype" w:hAnsi="Palatino Linotype"/>
          <w:sz w:val="20"/>
        </w:rPr>
      </w:pPr>
    </w:p>
    <w:p w:rsidR="00AC0033" w:rsidRPr="00721ECE" w:rsidRDefault="00AC0033" w:rsidP="00CC058B">
      <w:pPr>
        <w:pStyle w:val="Ttulo3"/>
        <w:tabs>
          <w:tab w:val="left" w:pos="360"/>
        </w:tabs>
        <w:rPr>
          <w:rFonts w:ascii="Bookman Old Style" w:hAnsi="Bookman Old Style" w:cs="Arial"/>
          <w:sz w:val="21"/>
          <w:szCs w:val="21"/>
          <w:lang w:val="es-ES"/>
        </w:rPr>
      </w:pPr>
    </w:p>
    <w:p w:rsidR="00AC0033" w:rsidRPr="001F0E49" w:rsidRDefault="00AC0033" w:rsidP="00CC058B">
      <w:pPr>
        <w:pStyle w:val="Ttulo3"/>
        <w:tabs>
          <w:tab w:val="left" w:pos="360"/>
        </w:tabs>
        <w:rPr>
          <w:rFonts w:ascii="Bookman Old Style" w:hAnsi="Bookman Old Style" w:cs="Arial"/>
          <w:sz w:val="21"/>
          <w:szCs w:val="21"/>
          <w:lang w:val="es-ES_tradnl"/>
        </w:rPr>
      </w:pPr>
      <w:r w:rsidRPr="001F0E49">
        <w:rPr>
          <w:rFonts w:ascii="Bookman Old Style" w:hAnsi="Bookman Old Style" w:cs="Arial"/>
          <w:sz w:val="21"/>
          <w:szCs w:val="21"/>
          <w:lang w:val="es-ES_tradnl"/>
        </w:rPr>
        <w:t>CONTRATO MAG-No. 139/2016</w:t>
      </w:r>
    </w:p>
    <w:p w:rsidR="00AC0033" w:rsidRDefault="00AC0033" w:rsidP="00CC058B">
      <w:pPr>
        <w:pStyle w:val="Ttulo3"/>
        <w:tabs>
          <w:tab w:val="left" w:pos="360"/>
        </w:tabs>
        <w:rPr>
          <w:rFonts w:ascii="Bookman Old Style" w:hAnsi="Bookman Old Style" w:cs="Arial"/>
          <w:iCs/>
          <w:sz w:val="21"/>
          <w:szCs w:val="21"/>
          <w:lang w:val="es-ES_tradnl"/>
        </w:rPr>
      </w:pPr>
      <w:r w:rsidRPr="001F0E49">
        <w:rPr>
          <w:rFonts w:ascii="Bookman Old Style" w:hAnsi="Bookman Old Style" w:cs="Arial"/>
          <w:sz w:val="21"/>
          <w:szCs w:val="21"/>
          <w:lang w:val="es-ES_tradnl"/>
        </w:rPr>
        <w:t>“SUMINISTRO DE MAQUINARIA Y EQUIPO PARA EL MAG</w:t>
      </w:r>
      <w:r w:rsidRPr="001F0E49">
        <w:rPr>
          <w:rFonts w:ascii="Bookman Old Style" w:hAnsi="Bookman Old Style" w:cs="Arial"/>
          <w:iCs/>
          <w:sz w:val="21"/>
          <w:szCs w:val="21"/>
          <w:lang w:val="es-ES_tradnl"/>
        </w:rPr>
        <w:t>”</w:t>
      </w:r>
    </w:p>
    <w:p w:rsidR="00AC0033" w:rsidRPr="001F0E49" w:rsidRDefault="00AC0033" w:rsidP="001F0E49">
      <w:pPr>
        <w:rPr>
          <w:lang w:val="es-ES_tradnl"/>
        </w:rPr>
      </w:pPr>
    </w:p>
    <w:p w:rsidR="00AC0033" w:rsidRDefault="00AC0033" w:rsidP="00C7050B">
      <w:pPr>
        <w:tabs>
          <w:tab w:val="left" w:pos="360"/>
        </w:tabs>
        <w:spacing w:line="300" w:lineRule="auto"/>
        <w:jc w:val="both"/>
        <w:rPr>
          <w:rFonts w:ascii="Bookman Old Style" w:hAnsi="Bookman Old Style" w:cs="Tahoma"/>
          <w:sz w:val="21"/>
          <w:szCs w:val="21"/>
          <w:lang w:eastAsia="ar-SA"/>
        </w:rPr>
      </w:pPr>
      <w:r w:rsidRPr="001F0E49">
        <w:rPr>
          <w:rFonts w:ascii="Bookman Old Style" w:hAnsi="Bookman Old Style" w:cs="Tahoma"/>
          <w:sz w:val="21"/>
          <w:szCs w:val="21"/>
        </w:rPr>
        <w:t xml:space="preserve">Nosotros, </w:t>
      </w:r>
      <w:r w:rsidRPr="001F0E49">
        <w:rPr>
          <w:rFonts w:ascii="Bookman Old Style" w:hAnsi="Bookman Old Style" w:cs="Arial"/>
          <w:b/>
          <w:sz w:val="21"/>
          <w:szCs w:val="21"/>
        </w:rPr>
        <w:t>DOUGLAS ARQUIMIDES MELENDEZ RUIZ</w:t>
      </w:r>
      <w:r w:rsidRPr="001F0E49">
        <w:rPr>
          <w:rFonts w:ascii="Bookman Old Style" w:hAnsi="Bookman Old Style" w:cs="Arial"/>
          <w:sz w:val="21"/>
          <w:szCs w:val="21"/>
        </w:rPr>
        <w:t xml:space="preserve">, </w:t>
      </w:r>
      <w:r w:rsidR="00F52FC1" w:rsidRPr="00F52FC1">
        <w:rPr>
          <w:rFonts w:ascii="Bookman Old Style" w:hAnsi="Bookman Old Style" w:cs="Arial"/>
          <w:sz w:val="21"/>
          <w:szCs w:val="21"/>
          <w:highlight w:val="black"/>
        </w:rPr>
        <w:t>********************************************************************</w:t>
      </w:r>
      <w:r w:rsidRPr="001F0E49">
        <w:rPr>
          <w:rFonts w:ascii="Bookman Old Style" w:hAnsi="Bookman Old Style" w:cs="Arial"/>
          <w:sz w:val="21"/>
          <w:szCs w:val="21"/>
        </w:rPr>
        <w:t xml:space="preserve"> actuando en nombre y representación del Estado y Gobierno de El Salvador, </w:t>
      </w:r>
      <w:r w:rsidRPr="001F0E49">
        <w:rPr>
          <w:rFonts w:ascii="Bookman Old Style" w:hAnsi="Bookman Old Style"/>
          <w:sz w:val="21"/>
          <w:szCs w:val="21"/>
        </w:rPr>
        <w:t xml:space="preserve">específicamente </w:t>
      </w:r>
      <w:r w:rsidRPr="001F0E49">
        <w:rPr>
          <w:rFonts w:ascii="Bookman Old Style" w:hAnsi="Bookman Old Style"/>
          <w:sz w:val="21"/>
          <w:szCs w:val="21"/>
          <w:lang w:val="es-SV"/>
        </w:rPr>
        <w:t>del  Ministerio de Agricultura y Ganadería, Institución con Número de Identificación Tributaria cero seiscientos catorce- cero diez mil ciento treinta y uno- cero cero seis- nueve, en mi carácter de Fiscal General</w:t>
      </w:r>
      <w:r w:rsidRPr="001F0E49">
        <w:rPr>
          <w:rFonts w:ascii="Bookman Old Style" w:hAnsi="Bookman Old Style"/>
          <w:sz w:val="21"/>
          <w:szCs w:val="21"/>
        </w:rPr>
        <w:t xml:space="preserve"> de la República </w:t>
      </w:r>
      <w:r w:rsidRPr="001F0E49">
        <w:rPr>
          <w:rFonts w:ascii="Bookman Old Style" w:hAnsi="Bookman Old Style" w:cs="Tahoma"/>
          <w:sz w:val="21"/>
          <w:szCs w:val="21"/>
        </w:rPr>
        <w:t xml:space="preserve">y que en el transcurso de este instrumento me denominaré </w:t>
      </w:r>
      <w:r w:rsidRPr="001F0E49">
        <w:rPr>
          <w:rFonts w:ascii="Bookman Old Style" w:hAnsi="Bookman Old Style" w:cs="Tahoma"/>
          <w:b/>
          <w:sz w:val="21"/>
          <w:szCs w:val="21"/>
        </w:rPr>
        <w:t xml:space="preserve">“EL CONTRATANTE </w:t>
      </w:r>
      <w:r w:rsidRPr="001F0E49">
        <w:rPr>
          <w:rFonts w:ascii="Bookman Old Style" w:hAnsi="Bookman Old Style" w:cs="Tahoma"/>
          <w:sz w:val="21"/>
          <w:szCs w:val="21"/>
        </w:rPr>
        <w:t>ó</w:t>
      </w:r>
      <w:r w:rsidRPr="001F0E49">
        <w:rPr>
          <w:rFonts w:ascii="Bookman Old Style" w:hAnsi="Bookman Old Style" w:cs="Tahoma"/>
          <w:b/>
          <w:sz w:val="21"/>
          <w:szCs w:val="21"/>
        </w:rPr>
        <w:t xml:space="preserve"> EL MAG</w:t>
      </w:r>
      <w:r w:rsidRPr="00EC1F0E">
        <w:rPr>
          <w:rFonts w:ascii="Bookman Old Style" w:hAnsi="Bookman Old Style" w:cs="Tahoma"/>
          <w:b/>
          <w:sz w:val="21"/>
          <w:szCs w:val="21"/>
        </w:rPr>
        <w:t>”</w:t>
      </w:r>
      <w:r w:rsidRPr="00EC1F0E">
        <w:rPr>
          <w:rFonts w:ascii="Bookman Old Style" w:hAnsi="Bookman Old Style" w:cs="Tahoma"/>
          <w:sz w:val="21"/>
          <w:szCs w:val="21"/>
        </w:rPr>
        <w:t xml:space="preserve">,y por otra parte los señores </w:t>
      </w:r>
      <w:r w:rsidRPr="00EC1F0E">
        <w:rPr>
          <w:rFonts w:ascii="Bookman Old Style" w:hAnsi="Bookman Old Style" w:cs="Calibri"/>
          <w:b/>
          <w:noProof/>
          <w:sz w:val="21"/>
          <w:szCs w:val="21"/>
        </w:rPr>
        <w:t>MARIO CHRISTOPHER SELVA BREYEL</w:t>
      </w:r>
      <w:r w:rsidRPr="00EC1F0E">
        <w:rPr>
          <w:rFonts w:ascii="Bookman Old Style" w:hAnsi="Bookman Old Style" w:cs="Calibri"/>
          <w:sz w:val="21"/>
          <w:szCs w:val="21"/>
        </w:rPr>
        <w:t>,</w:t>
      </w:r>
      <w:r w:rsidR="00F52FC1" w:rsidRPr="00F52FC1">
        <w:rPr>
          <w:rFonts w:ascii="Bookman Old Style" w:hAnsi="Bookman Old Style" w:cs="Calibri"/>
          <w:sz w:val="21"/>
          <w:szCs w:val="21"/>
          <w:highlight w:val="black"/>
        </w:rPr>
        <w:t>***************************************************</w:t>
      </w:r>
      <w:r>
        <w:rPr>
          <w:rFonts w:ascii="Bookman Old Style" w:hAnsi="Bookman Old Style" w:cs="Calibri"/>
          <w:sz w:val="21"/>
          <w:szCs w:val="21"/>
          <w:lang w:val="es-ES_tradnl"/>
        </w:rPr>
        <w:t xml:space="preserve"> y </w:t>
      </w:r>
      <w:r w:rsidRPr="00EC1F0E">
        <w:rPr>
          <w:rFonts w:ascii="Bookman Old Style" w:hAnsi="Bookman Old Style" w:cs="Calibri"/>
          <w:b/>
          <w:sz w:val="21"/>
          <w:szCs w:val="21"/>
          <w:lang w:val="es-ES_tradnl"/>
        </w:rPr>
        <w:t>WALTER STANLEY BARRIOS LOPEZ</w:t>
      </w:r>
      <w:r>
        <w:rPr>
          <w:rFonts w:ascii="Bookman Old Style" w:hAnsi="Bookman Old Style" w:cs="Calibri"/>
          <w:sz w:val="21"/>
          <w:szCs w:val="21"/>
          <w:lang w:val="es-ES_tradnl"/>
        </w:rPr>
        <w:t xml:space="preserve">, </w:t>
      </w:r>
      <w:r w:rsidR="00F52FC1" w:rsidRPr="00F52FC1">
        <w:rPr>
          <w:rFonts w:ascii="Bookman Old Style" w:hAnsi="Bookman Old Style" w:cs="Calibri"/>
          <w:sz w:val="21"/>
          <w:szCs w:val="21"/>
          <w:highlight w:val="black"/>
          <w:lang w:val="es-ES_tradnl"/>
        </w:rPr>
        <w:t>***************************************************</w:t>
      </w:r>
      <w:r>
        <w:rPr>
          <w:rFonts w:ascii="Bookman Old Style" w:hAnsi="Bookman Old Style" w:cs="Calibri"/>
          <w:sz w:val="21"/>
          <w:szCs w:val="21"/>
          <w:lang w:val="es-ES_tradnl"/>
        </w:rPr>
        <w:t xml:space="preserve"> </w:t>
      </w:r>
      <w:r w:rsidRPr="00EC1F0E">
        <w:rPr>
          <w:rFonts w:ascii="Bookman Old Style" w:hAnsi="Bookman Old Style" w:cs="Calibri"/>
          <w:sz w:val="21"/>
          <w:szCs w:val="21"/>
          <w:lang w:val="es-ES_tradnl"/>
        </w:rPr>
        <w:t xml:space="preserve">actuando en carácter de </w:t>
      </w:r>
      <w:r>
        <w:rPr>
          <w:rFonts w:ascii="Bookman Old Style" w:hAnsi="Bookman Old Style" w:cs="Calibri"/>
          <w:sz w:val="21"/>
          <w:szCs w:val="21"/>
          <w:lang w:val="es-ES_tradnl"/>
        </w:rPr>
        <w:t>apoderados generales administrativos</w:t>
      </w:r>
      <w:r w:rsidRPr="00EC1F0E">
        <w:rPr>
          <w:rFonts w:ascii="Bookman Old Style" w:hAnsi="Bookman Old Style" w:cs="Calibri"/>
          <w:sz w:val="21"/>
          <w:szCs w:val="21"/>
          <w:lang w:val="es-ES_tradnl"/>
        </w:rPr>
        <w:t xml:space="preserve"> de la sociedad </w:t>
      </w:r>
      <w:r>
        <w:rPr>
          <w:rFonts w:ascii="Bookman Old Style" w:hAnsi="Bookman Old Style" w:cs="Calibri"/>
          <w:b/>
          <w:sz w:val="21"/>
          <w:szCs w:val="21"/>
          <w:lang w:val="es-ES_tradnl"/>
        </w:rPr>
        <w:t>COMPAÑÍA GENERAL DE EQUIPOS</w:t>
      </w:r>
      <w:r w:rsidRPr="00EC1F0E">
        <w:rPr>
          <w:rFonts w:ascii="Bookman Old Style" w:hAnsi="Bookman Old Style" w:cs="Calibri"/>
          <w:b/>
          <w:sz w:val="21"/>
          <w:szCs w:val="21"/>
          <w:lang w:val="es-ES_tradnl"/>
        </w:rPr>
        <w:t>, SOCIEDAD ANÓNIMA DE CAPITAL VARIABLE</w:t>
      </w:r>
      <w:r w:rsidRPr="00EC1F0E">
        <w:rPr>
          <w:rFonts w:ascii="Bookman Old Style" w:hAnsi="Bookman Old Style" w:cs="Calibri"/>
          <w:sz w:val="21"/>
          <w:szCs w:val="21"/>
          <w:lang w:val="es-ES_tradnl"/>
        </w:rPr>
        <w:t xml:space="preserve">, que puede abreviarse </w:t>
      </w:r>
      <w:r>
        <w:rPr>
          <w:rFonts w:ascii="Bookman Old Style" w:hAnsi="Bookman Old Style" w:cs="Calibri"/>
          <w:b/>
          <w:sz w:val="21"/>
          <w:szCs w:val="21"/>
          <w:lang w:val="es-ES_tradnl"/>
        </w:rPr>
        <w:t>COMPAÑÍA GENERAL DE EQUIPOS</w:t>
      </w:r>
      <w:r w:rsidRPr="00EC1F0E">
        <w:rPr>
          <w:rFonts w:ascii="Bookman Old Style" w:hAnsi="Bookman Old Style" w:cs="Calibri"/>
          <w:b/>
          <w:sz w:val="21"/>
          <w:szCs w:val="21"/>
          <w:lang w:val="es-ES_tradnl"/>
        </w:rPr>
        <w:t>, S.A. DE C.V.</w:t>
      </w:r>
      <w:r w:rsidRPr="00EC1F0E">
        <w:rPr>
          <w:rFonts w:ascii="Bookman Old Style" w:hAnsi="Bookman Old Style" w:cs="Calibri"/>
          <w:sz w:val="21"/>
          <w:szCs w:val="21"/>
          <w:lang w:val="es-ES_tradnl"/>
        </w:rPr>
        <w:t xml:space="preserve"> persona jurídica del domicilio de San Salvador, con número de identificación tributaria </w:t>
      </w:r>
      <w:r w:rsidR="00F52FC1" w:rsidRPr="00F52FC1">
        <w:rPr>
          <w:rFonts w:ascii="Bookman Old Style" w:hAnsi="Bookman Old Style" w:cs="Calibri"/>
          <w:sz w:val="21"/>
          <w:szCs w:val="21"/>
          <w:highlight w:val="black"/>
          <w:lang w:val="es-ES_tradnl"/>
        </w:rPr>
        <w:t>*******************************************************</w:t>
      </w:r>
      <w:r w:rsidRPr="001F0E49">
        <w:rPr>
          <w:rFonts w:ascii="Bookman Old Style" w:hAnsi="Bookman Old Style" w:cs="Tahoma"/>
          <w:sz w:val="21"/>
          <w:szCs w:val="21"/>
        </w:rPr>
        <w:t xml:space="preserve"> que en el transcurso del presente instrumento me denominaré </w:t>
      </w:r>
      <w:r w:rsidRPr="001F0E49">
        <w:rPr>
          <w:rFonts w:ascii="Bookman Old Style" w:hAnsi="Bookman Old Style" w:cs="Tahoma"/>
          <w:b/>
          <w:sz w:val="21"/>
          <w:szCs w:val="21"/>
        </w:rPr>
        <w:t xml:space="preserve">“LA CONTRATISTA”; </w:t>
      </w:r>
      <w:r w:rsidRPr="001F0E49">
        <w:rPr>
          <w:rFonts w:ascii="Bookman Old Style" w:hAnsi="Bookman Old Style" w:cs="Tahoma"/>
          <w:sz w:val="21"/>
          <w:szCs w:val="21"/>
        </w:rPr>
        <w:t xml:space="preserve">y </w:t>
      </w:r>
      <w:r w:rsidRPr="001F0E49">
        <w:rPr>
          <w:rFonts w:ascii="Bookman Old Style" w:hAnsi="Bookman Old Style" w:cs="Tahoma"/>
          <w:sz w:val="21"/>
          <w:szCs w:val="21"/>
          <w:lang w:eastAsia="ar-SA"/>
        </w:rPr>
        <w:t xml:space="preserve">en los caracteres dichos </w:t>
      </w:r>
      <w:r w:rsidRPr="001F0E49">
        <w:rPr>
          <w:rFonts w:ascii="Bookman Old Style" w:hAnsi="Bookman Old Style" w:cs="Tahoma"/>
          <w:b/>
          <w:sz w:val="21"/>
          <w:szCs w:val="21"/>
          <w:lang w:eastAsia="ar-SA"/>
        </w:rPr>
        <w:t>MANIFESTAMOS</w:t>
      </w:r>
      <w:r w:rsidRPr="001F0E49">
        <w:rPr>
          <w:rFonts w:ascii="Bookman Old Style" w:hAnsi="Bookman Old Style" w:cs="Tahoma"/>
          <w:sz w:val="21"/>
          <w:szCs w:val="21"/>
          <w:lang w:eastAsia="ar-SA"/>
        </w:rPr>
        <w:t xml:space="preserve">: Que hemos acordado otorgar el presente contrato proveniente del proceso de </w:t>
      </w:r>
      <w:r w:rsidRPr="001F0E49">
        <w:rPr>
          <w:rFonts w:ascii="Bookman Old Style" w:hAnsi="Bookman Old Style" w:cs="Tahoma"/>
          <w:b/>
          <w:sz w:val="21"/>
          <w:szCs w:val="21"/>
          <w:lang w:eastAsia="ar-SA"/>
        </w:rPr>
        <w:t xml:space="preserve">LICITACIÓN ABIERTA DR-CAFTA LA No. 015/2016-MAG </w:t>
      </w:r>
      <w:r w:rsidRPr="001F0E49">
        <w:rPr>
          <w:rFonts w:ascii="Bookman Old Style" w:hAnsi="Bookman Old Style" w:cs="Tahoma"/>
          <w:sz w:val="21"/>
          <w:szCs w:val="21"/>
          <w:lang w:eastAsia="ar-SA"/>
        </w:rPr>
        <w:t xml:space="preserve">denominada </w:t>
      </w:r>
      <w:r w:rsidRPr="001F0E49">
        <w:rPr>
          <w:rFonts w:ascii="Bookman Old Style" w:hAnsi="Bookman Old Style" w:cs="Tahoma"/>
          <w:b/>
          <w:sz w:val="21"/>
          <w:szCs w:val="21"/>
          <w:lang w:eastAsia="ar-SA"/>
        </w:rPr>
        <w:t xml:space="preserve">“SUMINISTRO DE MAQUINARIA Y EQUIPO PARA EL MAG”, </w:t>
      </w:r>
      <w:r w:rsidRPr="001F0E49">
        <w:rPr>
          <w:rFonts w:ascii="Bookman Old Style" w:hAnsi="Bookman Old Style" w:cs="Tahoma"/>
          <w:sz w:val="21"/>
          <w:szCs w:val="21"/>
          <w:lang w:eastAsia="ar-SA"/>
        </w:rPr>
        <w:t>a favor y a satisfacción del Ministerio de Agricultura y Ganadería, de conformidad con el Tratado de Libre Comercio entre los Estados Unidos de América- Centroamérica–República Dominicana (TLC-DR-CAFTA), la Ley de Adquisiciones y Contrataciones de la Administración Pública, LACAP y su Reglamento, y en especial con las obligaciones, condiciones y pactos siguientes</w:t>
      </w:r>
      <w:r w:rsidRPr="001F0E49">
        <w:rPr>
          <w:rFonts w:ascii="Bookman Old Style" w:hAnsi="Bookman Old Style" w:cs="Tahoma"/>
          <w:b/>
          <w:sz w:val="21"/>
          <w:szCs w:val="21"/>
          <w:lang w:eastAsia="ar-SA"/>
        </w:rPr>
        <w:t>: I.- OBJETO DEL CONTRATO</w:t>
      </w:r>
      <w:r w:rsidRPr="001F0E49">
        <w:rPr>
          <w:rFonts w:ascii="Bookman Old Style" w:hAnsi="Bookman Old Style" w:cs="Tahoma"/>
          <w:sz w:val="21"/>
          <w:szCs w:val="21"/>
          <w:lang w:eastAsia="ar-SA"/>
        </w:rPr>
        <w:t>. El objeto del presente contrato es el “</w:t>
      </w:r>
      <w:r w:rsidRPr="001F0E49">
        <w:rPr>
          <w:rFonts w:ascii="Bookman Old Style" w:hAnsi="Bookman Old Style" w:cs="Tahoma"/>
          <w:b/>
          <w:sz w:val="21"/>
          <w:szCs w:val="21"/>
          <w:lang w:eastAsia="ar-SA"/>
        </w:rPr>
        <w:t>SUMINISTRO DE MAQUINARIA Y EQUIPO PARA EL MAG”,</w:t>
      </w:r>
      <w:r w:rsidRPr="001F0E49">
        <w:rPr>
          <w:rFonts w:ascii="Bookman Old Style" w:hAnsi="Bookman Old Style" w:cs="Tahoma"/>
          <w:sz w:val="21"/>
          <w:szCs w:val="21"/>
          <w:lang w:eastAsia="ar-SA"/>
        </w:rPr>
        <w:t xml:space="preserve"> según el siguiente detalle:</w:t>
      </w:r>
    </w:p>
    <w:tbl>
      <w:tblPr>
        <w:tblW w:w="9769" w:type="dxa"/>
        <w:tblInd w:w="58" w:type="dxa"/>
        <w:tblLayout w:type="fixed"/>
        <w:tblCellMar>
          <w:left w:w="70" w:type="dxa"/>
          <w:right w:w="70" w:type="dxa"/>
        </w:tblCellMar>
        <w:tblLook w:val="00A0"/>
      </w:tblPr>
      <w:tblGrid>
        <w:gridCol w:w="438"/>
        <w:gridCol w:w="708"/>
        <w:gridCol w:w="3402"/>
        <w:gridCol w:w="567"/>
        <w:gridCol w:w="709"/>
        <w:gridCol w:w="729"/>
        <w:gridCol w:w="709"/>
        <w:gridCol w:w="20"/>
        <w:gridCol w:w="709"/>
        <w:gridCol w:w="847"/>
        <w:gridCol w:w="931"/>
      </w:tblGrid>
      <w:tr w:rsidR="00AC0033" w:rsidRPr="004B759E" w:rsidTr="00794880">
        <w:trPr>
          <w:gridAfter w:val="1"/>
          <w:wAfter w:w="931" w:type="dxa"/>
          <w:trHeight w:val="573"/>
          <w:tblHeader/>
        </w:trPr>
        <w:tc>
          <w:tcPr>
            <w:tcW w:w="438" w:type="dxa"/>
            <w:tcBorders>
              <w:top w:val="single" w:sz="4" w:space="0" w:color="auto"/>
              <w:left w:val="single" w:sz="8" w:space="0" w:color="auto"/>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N° de Lote</w:t>
            </w:r>
          </w:p>
        </w:tc>
        <w:tc>
          <w:tcPr>
            <w:tcW w:w="708" w:type="dxa"/>
            <w:tcBorders>
              <w:top w:val="single" w:sz="4" w:space="0" w:color="auto"/>
              <w:left w:val="single" w:sz="8" w:space="0" w:color="auto"/>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N° de Renglón</w:t>
            </w:r>
          </w:p>
        </w:tc>
        <w:tc>
          <w:tcPr>
            <w:tcW w:w="3402" w:type="dxa"/>
            <w:tcBorders>
              <w:top w:val="single" w:sz="4" w:space="0" w:color="auto"/>
              <w:left w:val="nil"/>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Descripción de los bienes</w:t>
            </w:r>
          </w:p>
        </w:tc>
        <w:tc>
          <w:tcPr>
            <w:tcW w:w="567" w:type="dxa"/>
            <w:tcBorders>
              <w:top w:val="single" w:sz="4" w:space="0" w:color="auto"/>
              <w:left w:val="nil"/>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Unidad Medida</w:t>
            </w:r>
          </w:p>
        </w:tc>
        <w:tc>
          <w:tcPr>
            <w:tcW w:w="709" w:type="dxa"/>
            <w:tcBorders>
              <w:top w:val="single" w:sz="4" w:space="0" w:color="auto"/>
              <w:left w:val="nil"/>
              <w:bottom w:val="single" w:sz="8" w:space="0" w:color="auto"/>
              <w:right w:val="single" w:sz="4"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Cantidad  a adjudicar</w:t>
            </w:r>
          </w:p>
        </w:tc>
        <w:tc>
          <w:tcPr>
            <w:tcW w:w="729" w:type="dxa"/>
            <w:tcBorders>
              <w:top w:val="single" w:sz="4" w:space="0" w:color="auto"/>
              <w:left w:val="single" w:sz="4" w:space="0" w:color="auto"/>
              <w:bottom w:val="single" w:sz="4" w:space="0" w:color="auto"/>
              <w:right w:val="single" w:sz="4" w:space="0" w:color="auto"/>
            </w:tcBorders>
            <w:shd w:val="clear" w:color="000000" w:fill="C0C0C0"/>
          </w:tcPr>
          <w:p w:rsidR="00AC0033" w:rsidRDefault="00AC0033" w:rsidP="00016102">
            <w:pPr>
              <w:jc w:val="center"/>
              <w:rPr>
                <w:rFonts w:ascii="Palatino Linotype" w:hAnsi="Palatino Linotype" w:cs="Arial"/>
                <w:b/>
                <w:bCs/>
                <w:sz w:val="12"/>
                <w:szCs w:val="12"/>
              </w:rPr>
            </w:pPr>
          </w:p>
          <w:p w:rsidR="00AC0033" w:rsidRPr="00AD2A84" w:rsidRDefault="00AC0033" w:rsidP="00016102">
            <w:pPr>
              <w:jc w:val="center"/>
              <w:rPr>
                <w:rFonts w:ascii="Palatino Linotype" w:hAnsi="Palatino Linotype" w:cs="Arial"/>
                <w:b/>
                <w:bCs/>
                <w:sz w:val="12"/>
                <w:szCs w:val="12"/>
              </w:rPr>
            </w:pPr>
            <w:r>
              <w:rPr>
                <w:rFonts w:ascii="Palatino Linotype" w:hAnsi="Palatino Linotype" w:cs="Arial"/>
                <w:b/>
                <w:bCs/>
                <w:sz w:val="12"/>
                <w:szCs w:val="12"/>
              </w:rPr>
              <w:t>Tiempo de Entrega</w:t>
            </w:r>
          </w:p>
        </w:tc>
        <w:tc>
          <w:tcPr>
            <w:tcW w:w="729" w:type="dxa"/>
            <w:gridSpan w:val="2"/>
            <w:tcBorders>
              <w:top w:val="single" w:sz="4" w:space="0" w:color="auto"/>
              <w:left w:val="single" w:sz="4" w:space="0" w:color="auto"/>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Marca</w:t>
            </w:r>
          </w:p>
        </w:tc>
        <w:tc>
          <w:tcPr>
            <w:tcW w:w="709" w:type="dxa"/>
            <w:tcBorders>
              <w:top w:val="single" w:sz="4" w:space="0" w:color="auto"/>
              <w:left w:val="nil"/>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2"/>
                <w:szCs w:val="12"/>
              </w:rPr>
            </w:pPr>
            <w:r w:rsidRPr="00AD2A84">
              <w:rPr>
                <w:rFonts w:ascii="Palatino Linotype" w:hAnsi="Palatino Linotype" w:cs="Arial"/>
                <w:b/>
                <w:bCs/>
                <w:sz w:val="12"/>
                <w:szCs w:val="12"/>
              </w:rPr>
              <w:t>Precio Unitario Ofertado (US$)</w:t>
            </w:r>
          </w:p>
        </w:tc>
        <w:tc>
          <w:tcPr>
            <w:tcW w:w="847" w:type="dxa"/>
            <w:tcBorders>
              <w:top w:val="single" w:sz="4" w:space="0" w:color="auto"/>
              <w:left w:val="nil"/>
              <w:bottom w:val="single" w:sz="8" w:space="0" w:color="auto"/>
              <w:right w:val="single" w:sz="8" w:space="0" w:color="auto"/>
            </w:tcBorders>
            <w:shd w:val="clear" w:color="000000" w:fill="C0C0C0"/>
            <w:vAlign w:val="center"/>
          </w:tcPr>
          <w:p w:rsidR="00AC0033" w:rsidRPr="00AD2A84" w:rsidRDefault="00AC0033" w:rsidP="00016102">
            <w:pPr>
              <w:jc w:val="center"/>
              <w:rPr>
                <w:rFonts w:ascii="Palatino Linotype" w:hAnsi="Palatino Linotype" w:cs="Arial"/>
                <w:b/>
                <w:bCs/>
                <w:sz w:val="13"/>
                <w:szCs w:val="13"/>
                <w:lang w:eastAsia="es-SV"/>
              </w:rPr>
            </w:pPr>
            <w:r w:rsidRPr="00AD2A84">
              <w:rPr>
                <w:rFonts w:ascii="Palatino Linotype" w:hAnsi="Palatino Linotype" w:cs="Arial"/>
                <w:b/>
                <w:bCs/>
                <w:sz w:val="13"/>
                <w:szCs w:val="13"/>
                <w:lang w:eastAsia="es-SV"/>
              </w:rPr>
              <w:t>Total (US$) IVA incluido</w:t>
            </w:r>
          </w:p>
        </w:tc>
      </w:tr>
      <w:tr w:rsidR="00AC0033" w:rsidRPr="004B759E" w:rsidTr="00794880">
        <w:trPr>
          <w:gridAfter w:val="1"/>
          <w:wAfter w:w="931" w:type="dxa"/>
          <w:trHeight w:val="430"/>
        </w:trPr>
        <w:tc>
          <w:tcPr>
            <w:tcW w:w="8838" w:type="dxa"/>
            <w:gridSpan w:val="10"/>
            <w:tcBorders>
              <w:top w:val="single" w:sz="4" w:space="0" w:color="auto"/>
              <w:left w:val="single" w:sz="4" w:space="0" w:color="auto"/>
              <w:bottom w:val="single" w:sz="4" w:space="0" w:color="auto"/>
              <w:right w:val="single" w:sz="4" w:space="0" w:color="auto"/>
            </w:tcBorders>
            <w:vAlign w:val="center"/>
          </w:tcPr>
          <w:p w:rsidR="00AC0033" w:rsidRPr="00794880" w:rsidRDefault="00AC0033" w:rsidP="00794880">
            <w:pPr>
              <w:tabs>
                <w:tab w:val="left" w:pos="360"/>
              </w:tabs>
              <w:spacing w:line="300" w:lineRule="auto"/>
              <w:rPr>
                <w:rFonts w:ascii="Palatino Linotype" w:hAnsi="Palatino Linotype" w:cs="Tahoma"/>
                <w:lang w:eastAsia="ar-SA"/>
              </w:rPr>
            </w:pPr>
            <w:r w:rsidRPr="00794880">
              <w:rPr>
                <w:rFonts w:ascii="Palatino Linotype" w:hAnsi="Palatino Linotype" w:cs="Arial"/>
                <w:bCs/>
                <w:sz w:val="14"/>
                <w:szCs w:val="14"/>
              </w:rPr>
              <w:t>DIRECCIÓN. GENERAL DE GANADERÍA/ FONDOS DONACIÓN GOBIERNO DE JAPÓN PROYECTO(5725)/FACTURA A NOMBRE DE COOPERACIÓN GOBIERNO DE JAPÓN CEDAF MORAZÁN (PROYECTO 5725)</w:t>
            </w:r>
          </w:p>
        </w:tc>
      </w:tr>
      <w:tr w:rsidR="00AC0033" w:rsidRPr="004B759E" w:rsidTr="00794880">
        <w:trPr>
          <w:gridAfter w:val="1"/>
          <w:wAfter w:w="931" w:type="dxa"/>
          <w:trHeight w:val="1824"/>
        </w:trPr>
        <w:tc>
          <w:tcPr>
            <w:tcW w:w="438" w:type="dxa"/>
            <w:vMerge w:val="restart"/>
            <w:tcBorders>
              <w:top w:val="single" w:sz="4" w:space="0" w:color="auto"/>
              <w:left w:val="single" w:sz="4" w:space="0" w:color="auto"/>
              <w:bottom w:val="single" w:sz="4" w:space="0" w:color="auto"/>
              <w:right w:val="single" w:sz="4" w:space="0" w:color="auto"/>
            </w:tcBorders>
            <w:vAlign w:val="center"/>
          </w:tcPr>
          <w:p w:rsidR="00AC0033" w:rsidRPr="00AD2A84" w:rsidRDefault="00AC0033" w:rsidP="00016102">
            <w:pPr>
              <w:jc w:val="center"/>
              <w:rPr>
                <w:rFonts w:ascii="Palatino Linotype" w:hAnsi="Palatino Linotype" w:cs="Arial"/>
                <w:bCs/>
                <w:sz w:val="14"/>
                <w:szCs w:val="14"/>
              </w:rPr>
            </w:pPr>
            <w:r w:rsidRPr="00AD2A84">
              <w:rPr>
                <w:rFonts w:ascii="Palatino Linotype" w:hAnsi="Palatino Linotype" w:cs="Arial"/>
                <w:bCs/>
                <w:sz w:val="14"/>
                <w:szCs w:val="14"/>
              </w:rPr>
              <w:lastRenderedPageBreak/>
              <w:t>2</w:t>
            </w:r>
          </w:p>
        </w:tc>
        <w:tc>
          <w:tcPr>
            <w:tcW w:w="708" w:type="dxa"/>
            <w:tcBorders>
              <w:top w:val="single" w:sz="4" w:space="0" w:color="000000"/>
              <w:left w:val="single" w:sz="4" w:space="0" w:color="auto"/>
              <w:bottom w:val="single" w:sz="4" w:space="0" w:color="000000"/>
              <w:right w:val="single" w:sz="4" w:space="0" w:color="000000"/>
            </w:tcBorders>
            <w:vAlign w:val="center"/>
          </w:tcPr>
          <w:p w:rsidR="00AC0033" w:rsidRPr="00AD2A84" w:rsidRDefault="00AC0033" w:rsidP="00016102">
            <w:pPr>
              <w:jc w:val="center"/>
              <w:rPr>
                <w:rFonts w:ascii="Palatino Linotype" w:hAnsi="Palatino Linotype" w:cs="Arial"/>
                <w:sz w:val="14"/>
                <w:szCs w:val="14"/>
              </w:rPr>
            </w:pPr>
            <w:r w:rsidRPr="00AD2A84">
              <w:rPr>
                <w:rFonts w:ascii="Palatino Linotype" w:hAnsi="Palatino Linotype" w:cs="Arial"/>
                <w:sz w:val="14"/>
                <w:szCs w:val="14"/>
              </w:rPr>
              <w:t>6</w:t>
            </w:r>
          </w:p>
        </w:tc>
        <w:tc>
          <w:tcPr>
            <w:tcW w:w="3402" w:type="dxa"/>
            <w:tcBorders>
              <w:top w:val="single" w:sz="4" w:space="0" w:color="auto"/>
              <w:left w:val="nil"/>
              <w:bottom w:val="single" w:sz="4" w:space="0" w:color="auto"/>
              <w:right w:val="single" w:sz="4" w:space="0" w:color="auto"/>
            </w:tcBorders>
            <w:noWrap/>
            <w:vAlign w:val="center"/>
          </w:tcPr>
          <w:p w:rsidR="00AC0033" w:rsidRDefault="00AC0033" w:rsidP="001F0E49">
            <w:pPr>
              <w:autoSpaceDE w:val="0"/>
              <w:autoSpaceDN w:val="0"/>
              <w:adjustRightInd w:val="0"/>
              <w:jc w:val="both"/>
              <w:rPr>
                <w:rFonts w:ascii="Palatino Linotype" w:hAnsi="Palatino Linotype" w:cs="Arial"/>
                <w:sz w:val="12"/>
                <w:szCs w:val="12"/>
              </w:rPr>
            </w:pPr>
            <w:r w:rsidRPr="00AD2A84">
              <w:rPr>
                <w:rFonts w:ascii="Palatino Linotype" w:hAnsi="Palatino Linotype" w:cs="Arial"/>
                <w:sz w:val="12"/>
                <w:szCs w:val="12"/>
              </w:rPr>
              <w:t xml:space="preserve">ARADO DE DISCO REVERSIBLE: Estructura robusta, con mecanismo ajustable de enfrentamiento de los discos, con limpiadores de disco, rueda guía de Acero ajustable; enganche 3 puntos; bastidor reforzado; diseñado para soportar cargas de trabajo; ancho de corte: </w:t>
            </w:r>
            <w:smartTag w:uri="urn:schemas-microsoft-com:office:smarttags" w:element="metricconverter">
              <w:smartTagPr>
                <w:attr w:name="ProductID" w:val="40”"/>
              </w:smartTagPr>
              <w:r w:rsidRPr="00AD2A84">
                <w:rPr>
                  <w:rFonts w:ascii="Palatino Linotype" w:hAnsi="Palatino Linotype" w:cs="Arial"/>
                  <w:sz w:val="12"/>
                  <w:szCs w:val="12"/>
                </w:rPr>
                <w:t>40”</w:t>
              </w:r>
            </w:smartTag>
            <w:r w:rsidRPr="00AD2A84">
              <w:rPr>
                <w:rFonts w:ascii="Palatino Linotype" w:hAnsi="Palatino Linotype" w:cs="Arial"/>
                <w:sz w:val="12"/>
                <w:szCs w:val="12"/>
              </w:rPr>
              <w:t xml:space="preserve"> (Pulgadas); profundidad de corte </w:t>
            </w:r>
            <w:smartTag w:uri="urn:schemas-microsoft-com:office:smarttags" w:element="metricconverter">
              <w:smartTagPr>
                <w:attr w:name="ProductID" w:val="14 Pulgadas"/>
              </w:smartTagPr>
              <w:r w:rsidRPr="00AD2A84">
                <w:rPr>
                  <w:rFonts w:ascii="Palatino Linotype" w:hAnsi="Palatino Linotype" w:cs="Arial"/>
                  <w:sz w:val="12"/>
                  <w:szCs w:val="12"/>
                </w:rPr>
                <w:t>14 Pulgadas</w:t>
              </w:r>
            </w:smartTag>
            <w:r w:rsidRPr="00AD2A84">
              <w:rPr>
                <w:rFonts w:ascii="Palatino Linotype" w:hAnsi="Palatino Linotype" w:cs="Arial"/>
                <w:sz w:val="12"/>
                <w:szCs w:val="12"/>
              </w:rPr>
              <w:t xml:space="preserve">; ajuste del enfrentamiento de los discos mediante pin; reversión por cilindro hidráulico de </w:t>
            </w:r>
            <w:smartTag w:uri="urn:schemas-microsoft-com:office:smarttags" w:element="metricconverter">
              <w:smartTagPr>
                <w:attr w:name="ProductID" w:val="3”"/>
              </w:smartTagPr>
              <w:r w:rsidRPr="00AD2A84">
                <w:rPr>
                  <w:rFonts w:ascii="Palatino Linotype" w:hAnsi="Palatino Linotype" w:cs="Arial"/>
                  <w:sz w:val="12"/>
                  <w:szCs w:val="12"/>
                </w:rPr>
                <w:t>3”</w:t>
              </w:r>
            </w:smartTag>
            <w:r w:rsidRPr="00AD2A84">
              <w:rPr>
                <w:rFonts w:ascii="Palatino Linotype" w:hAnsi="Palatino Linotype" w:cs="Arial"/>
                <w:sz w:val="12"/>
                <w:szCs w:val="12"/>
              </w:rPr>
              <w:t xml:space="preserve"> x </w:t>
            </w:r>
            <w:smartTag w:uri="urn:schemas-microsoft-com:office:smarttags" w:element="metricconverter">
              <w:smartTagPr>
                <w:attr w:name="ProductID" w:val="8”"/>
              </w:smartTagPr>
              <w:r w:rsidRPr="00AD2A84">
                <w:rPr>
                  <w:rFonts w:ascii="Palatino Linotype" w:hAnsi="Palatino Linotype" w:cs="Arial"/>
                  <w:sz w:val="12"/>
                  <w:szCs w:val="12"/>
                </w:rPr>
                <w:t>8”</w:t>
              </w:r>
            </w:smartTag>
            <w:r w:rsidRPr="00AD2A84">
              <w:rPr>
                <w:rFonts w:ascii="Palatino Linotype" w:hAnsi="Palatino Linotype" w:cs="Arial"/>
                <w:sz w:val="12"/>
                <w:szCs w:val="12"/>
              </w:rPr>
              <w:t>; 4 discos cón</w:t>
            </w:r>
            <w:r>
              <w:rPr>
                <w:rFonts w:ascii="Palatino Linotype" w:hAnsi="Palatino Linotype" w:cs="Arial"/>
                <w:sz w:val="12"/>
                <w:szCs w:val="12"/>
              </w:rPr>
              <w:t>+</w:t>
            </w:r>
          </w:p>
          <w:p w:rsidR="00AC0033" w:rsidRPr="00AD2A84" w:rsidRDefault="00AC0033" w:rsidP="001F0E49">
            <w:pPr>
              <w:autoSpaceDE w:val="0"/>
              <w:autoSpaceDN w:val="0"/>
              <w:adjustRightInd w:val="0"/>
              <w:jc w:val="both"/>
              <w:rPr>
                <w:rFonts w:ascii="Palatino Linotype" w:hAnsi="Palatino Linotype" w:cs="Arial"/>
                <w:sz w:val="12"/>
                <w:szCs w:val="12"/>
              </w:rPr>
            </w:pPr>
            <w:r w:rsidRPr="00AD2A84">
              <w:rPr>
                <w:rFonts w:ascii="Palatino Linotype" w:hAnsi="Palatino Linotype" w:cs="Arial"/>
                <w:sz w:val="12"/>
                <w:szCs w:val="12"/>
              </w:rPr>
              <w:t xml:space="preserve">avos lisos de </w:t>
            </w:r>
            <w:smartTag w:uri="urn:schemas-microsoft-com:office:smarttags" w:element="metricconverter">
              <w:smartTagPr>
                <w:attr w:name="ProductID" w:val="28”"/>
              </w:smartTagPr>
              <w:r w:rsidRPr="00AD2A84">
                <w:rPr>
                  <w:rFonts w:ascii="Palatino Linotype" w:hAnsi="Palatino Linotype" w:cs="Arial"/>
                  <w:sz w:val="12"/>
                  <w:szCs w:val="12"/>
                </w:rPr>
                <w:t>28”</w:t>
              </w:r>
            </w:smartTag>
            <w:r w:rsidRPr="00AD2A84">
              <w:rPr>
                <w:rFonts w:ascii="Palatino Linotype" w:hAnsi="Palatino Linotype" w:cs="Arial"/>
                <w:sz w:val="12"/>
                <w:szCs w:val="12"/>
              </w:rPr>
              <w:t xml:space="preserve"> x </w:t>
            </w:r>
            <w:smartTag w:uri="urn:schemas-microsoft-com:office:smarttags" w:element="metricconverter">
              <w:smartTagPr>
                <w:attr w:name="ProductID" w:val="0.180”"/>
              </w:smartTagPr>
              <w:r w:rsidRPr="00AD2A84">
                <w:rPr>
                  <w:rFonts w:ascii="Palatino Linotype" w:hAnsi="Palatino Linotype" w:cs="Arial"/>
                  <w:sz w:val="12"/>
                  <w:szCs w:val="12"/>
                </w:rPr>
                <w:t>0.180”</w:t>
              </w:r>
            </w:smartTag>
            <w:r w:rsidRPr="00AD2A84">
              <w:rPr>
                <w:rFonts w:ascii="Palatino Linotype" w:hAnsi="Palatino Linotype" w:cs="Arial"/>
                <w:sz w:val="12"/>
                <w:szCs w:val="12"/>
              </w:rPr>
              <w:t xml:space="preserve">; Potencia requerida: 70-75 HP a la TDF; peso: 642Kgs; Garantía: 12 meses por desperfectos de fabricación. </w:t>
            </w:r>
          </w:p>
        </w:tc>
        <w:tc>
          <w:tcPr>
            <w:tcW w:w="567" w:type="dxa"/>
            <w:tcBorders>
              <w:top w:val="single" w:sz="4" w:space="0" w:color="auto"/>
              <w:left w:val="nil"/>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sz w:val="12"/>
                <w:szCs w:val="12"/>
              </w:rPr>
            </w:pPr>
            <w:r w:rsidRPr="00AD2A84">
              <w:rPr>
                <w:rFonts w:ascii="Palatino Linotype" w:hAnsi="Palatino Linotype" w:cs="Arial"/>
                <w:sz w:val="12"/>
                <w:szCs w:val="12"/>
              </w:rPr>
              <w:t>Unidad</w:t>
            </w:r>
          </w:p>
        </w:tc>
        <w:tc>
          <w:tcPr>
            <w:tcW w:w="709" w:type="dxa"/>
            <w:tcBorders>
              <w:top w:val="single" w:sz="4" w:space="0" w:color="auto"/>
              <w:left w:val="nil"/>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sz w:val="12"/>
                <w:szCs w:val="12"/>
              </w:rPr>
            </w:pPr>
            <w:r w:rsidRPr="00AD2A84">
              <w:rPr>
                <w:rFonts w:ascii="Palatino Linotype" w:hAnsi="Palatino Linotype" w:cs="Arial"/>
                <w:sz w:val="12"/>
                <w:szCs w:val="12"/>
              </w:rPr>
              <w:t>1</w:t>
            </w:r>
          </w:p>
        </w:tc>
        <w:tc>
          <w:tcPr>
            <w:tcW w:w="729" w:type="dxa"/>
            <w:tcBorders>
              <w:top w:val="single" w:sz="4" w:space="0" w:color="auto"/>
              <w:left w:val="nil"/>
              <w:bottom w:val="single" w:sz="4" w:space="0" w:color="auto"/>
              <w:right w:val="single" w:sz="4" w:space="0" w:color="auto"/>
            </w:tcBorders>
          </w:tcPr>
          <w:p w:rsidR="00AC0033" w:rsidRDefault="00AC0033" w:rsidP="00016102">
            <w:pPr>
              <w:jc w:val="center"/>
              <w:rPr>
                <w:rFonts w:ascii="Palatino Linotype" w:hAnsi="Palatino Linotype" w:cs="Arial"/>
                <w:bCs/>
                <w:color w:val="0000FF"/>
                <w:sz w:val="12"/>
                <w:szCs w:val="12"/>
              </w:rPr>
            </w:pPr>
          </w:p>
          <w:p w:rsidR="00AC0033" w:rsidRDefault="00AC0033" w:rsidP="00016102">
            <w:pPr>
              <w:jc w:val="center"/>
              <w:rPr>
                <w:rFonts w:ascii="Palatino Linotype" w:hAnsi="Palatino Linotype" w:cs="Arial"/>
                <w:bCs/>
                <w:color w:val="0000FF"/>
                <w:sz w:val="12"/>
                <w:szCs w:val="12"/>
              </w:rPr>
            </w:pPr>
          </w:p>
          <w:p w:rsidR="00AC0033" w:rsidRDefault="00AC0033" w:rsidP="00016102">
            <w:pPr>
              <w:jc w:val="center"/>
              <w:rPr>
                <w:rFonts w:ascii="Palatino Linotype" w:hAnsi="Palatino Linotype" w:cs="Arial"/>
                <w:bCs/>
                <w:color w:val="0000FF"/>
                <w:sz w:val="12"/>
                <w:szCs w:val="12"/>
              </w:rPr>
            </w:pPr>
          </w:p>
          <w:p w:rsidR="00AC0033" w:rsidRDefault="00AC0033" w:rsidP="00016102">
            <w:pPr>
              <w:jc w:val="center"/>
              <w:rPr>
                <w:rFonts w:ascii="Palatino Linotype" w:hAnsi="Palatino Linotype" w:cs="Arial"/>
                <w:bCs/>
                <w:color w:val="0000FF"/>
                <w:sz w:val="12"/>
                <w:szCs w:val="12"/>
              </w:rPr>
            </w:pPr>
          </w:p>
          <w:p w:rsidR="00AC0033" w:rsidRPr="00794880" w:rsidRDefault="00AC0033" w:rsidP="00016102">
            <w:pPr>
              <w:jc w:val="center"/>
              <w:rPr>
                <w:rFonts w:ascii="Palatino Linotype" w:hAnsi="Palatino Linotype" w:cs="Arial"/>
                <w:bCs/>
                <w:sz w:val="12"/>
                <w:szCs w:val="12"/>
              </w:rPr>
            </w:pPr>
            <w:r w:rsidRPr="00794880">
              <w:rPr>
                <w:rFonts w:ascii="Palatino Linotype" w:hAnsi="Palatino Linotype" w:cs="Arial"/>
                <w:bCs/>
                <w:sz w:val="12"/>
                <w:szCs w:val="12"/>
              </w:rPr>
              <w:t>15 días Calendario</w:t>
            </w:r>
          </w:p>
        </w:tc>
        <w:tc>
          <w:tcPr>
            <w:tcW w:w="729" w:type="dxa"/>
            <w:gridSpan w:val="2"/>
            <w:tcBorders>
              <w:top w:val="single" w:sz="4" w:space="0" w:color="auto"/>
              <w:left w:val="single" w:sz="4" w:space="0" w:color="auto"/>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bCs/>
                <w:sz w:val="12"/>
                <w:szCs w:val="12"/>
              </w:rPr>
            </w:pPr>
            <w:r w:rsidRPr="00AD2A84">
              <w:rPr>
                <w:rFonts w:ascii="Palatino Linotype" w:hAnsi="Palatino Linotype" w:cs="Arial"/>
                <w:bCs/>
                <w:sz w:val="12"/>
                <w:szCs w:val="12"/>
              </w:rPr>
              <w:t>John Deere</w:t>
            </w:r>
          </w:p>
        </w:tc>
        <w:tc>
          <w:tcPr>
            <w:tcW w:w="709" w:type="dxa"/>
            <w:tcBorders>
              <w:top w:val="single" w:sz="4" w:space="0" w:color="auto"/>
              <w:left w:val="nil"/>
              <w:bottom w:val="single" w:sz="4" w:space="0" w:color="auto"/>
              <w:right w:val="nil"/>
            </w:tcBorders>
            <w:vAlign w:val="center"/>
          </w:tcPr>
          <w:p w:rsidR="00AC0033" w:rsidRPr="00AD2A84" w:rsidRDefault="00AC0033" w:rsidP="00016102">
            <w:pPr>
              <w:jc w:val="right"/>
              <w:rPr>
                <w:rFonts w:ascii="Palatino Linotype" w:hAnsi="Palatino Linotype" w:cs="Arial"/>
                <w:bCs/>
                <w:sz w:val="12"/>
                <w:szCs w:val="12"/>
              </w:rPr>
            </w:pPr>
            <w:r w:rsidRPr="00AD2A84">
              <w:rPr>
                <w:rFonts w:ascii="Palatino Linotype" w:hAnsi="Palatino Linotype" w:cs="Arial"/>
                <w:bCs/>
                <w:sz w:val="12"/>
                <w:szCs w:val="12"/>
              </w:rPr>
              <w:t>5,424.00</w:t>
            </w:r>
          </w:p>
        </w:tc>
        <w:tc>
          <w:tcPr>
            <w:tcW w:w="847" w:type="dxa"/>
            <w:tcBorders>
              <w:top w:val="single" w:sz="4" w:space="0" w:color="auto"/>
              <w:left w:val="single" w:sz="4" w:space="0" w:color="auto"/>
              <w:bottom w:val="single" w:sz="4" w:space="0" w:color="auto"/>
              <w:right w:val="single" w:sz="4" w:space="0" w:color="auto"/>
            </w:tcBorders>
            <w:vAlign w:val="center"/>
          </w:tcPr>
          <w:p w:rsidR="00AC0033" w:rsidRPr="00AD2A84" w:rsidRDefault="00AC0033" w:rsidP="00016102">
            <w:pPr>
              <w:jc w:val="right"/>
              <w:rPr>
                <w:rFonts w:ascii="Palatino Linotype" w:hAnsi="Palatino Linotype" w:cs="Arial"/>
                <w:bCs/>
                <w:sz w:val="14"/>
                <w:szCs w:val="14"/>
              </w:rPr>
            </w:pPr>
            <w:r w:rsidRPr="00AD2A84">
              <w:rPr>
                <w:rFonts w:ascii="Palatino Linotype" w:hAnsi="Palatino Linotype" w:cs="Arial"/>
                <w:bCs/>
                <w:sz w:val="14"/>
                <w:szCs w:val="14"/>
              </w:rPr>
              <w:t>5,424.00</w:t>
            </w:r>
          </w:p>
        </w:tc>
      </w:tr>
      <w:tr w:rsidR="00AC0033" w:rsidRPr="004B759E" w:rsidTr="00794880">
        <w:trPr>
          <w:gridAfter w:val="1"/>
          <w:wAfter w:w="931" w:type="dxa"/>
          <w:trHeight w:val="1738"/>
        </w:trPr>
        <w:tc>
          <w:tcPr>
            <w:tcW w:w="438" w:type="dxa"/>
            <w:vMerge/>
            <w:tcBorders>
              <w:left w:val="single" w:sz="4" w:space="0" w:color="auto"/>
              <w:bottom w:val="single" w:sz="4" w:space="0" w:color="auto"/>
              <w:right w:val="single" w:sz="4" w:space="0" w:color="auto"/>
            </w:tcBorders>
          </w:tcPr>
          <w:p w:rsidR="00AC0033" w:rsidRPr="00AD2A84" w:rsidRDefault="00AC0033" w:rsidP="00016102">
            <w:pPr>
              <w:jc w:val="center"/>
              <w:rPr>
                <w:rFonts w:ascii="Palatino Linotype" w:hAnsi="Palatino Linotype" w:cs="Arial"/>
                <w:bCs/>
                <w:sz w:val="14"/>
                <w:szCs w:val="14"/>
              </w:rPr>
            </w:pPr>
          </w:p>
        </w:tc>
        <w:tc>
          <w:tcPr>
            <w:tcW w:w="708" w:type="dxa"/>
            <w:tcBorders>
              <w:top w:val="nil"/>
              <w:left w:val="single" w:sz="4" w:space="0" w:color="auto"/>
              <w:bottom w:val="single" w:sz="4" w:space="0" w:color="000000"/>
              <w:right w:val="single" w:sz="4" w:space="0" w:color="000000"/>
            </w:tcBorders>
            <w:vAlign w:val="center"/>
          </w:tcPr>
          <w:p w:rsidR="00AC0033" w:rsidRPr="00AD2A84" w:rsidRDefault="00AC0033" w:rsidP="00016102">
            <w:pPr>
              <w:jc w:val="center"/>
              <w:rPr>
                <w:rFonts w:ascii="Palatino Linotype" w:hAnsi="Palatino Linotype" w:cs="Arial"/>
                <w:sz w:val="14"/>
                <w:szCs w:val="14"/>
              </w:rPr>
            </w:pPr>
            <w:r w:rsidRPr="00AD2A84">
              <w:rPr>
                <w:rFonts w:ascii="Palatino Linotype" w:hAnsi="Palatino Linotype" w:cs="Arial"/>
                <w:sz w:val="14"/>
                <w:szCs w:val="14"/>
              </w:rPr>
              <w:t>7</w:t>
            </w:r>
          </w:p>
        </w:tc>
        <w:tc>
          <w:tcPr>
            <w:tcW w:w="3402" w:type="dxa"/>
            <w:tcBorders>
              <w:top w:val="nil"/>
              <w:left w:val="nil"/>
              <w:bottom w:val="single" w:sz="4" w:space="0" w:color="auto"/>
              <w:right w:val="single" w:sz="4" w:space="0" w:color="auto"/>
            </w:tcBorders>
            <w:noWrap/>
            <w:vAlign w:val="center"/>
          </w:tcPr>
          <w:p w:rsidR="00AC0033" w:rsidRPr="00AD2A84" w:rsidRDefault="00AC0033" w:rsidP="00016102">
            <w:pPr>
              <w:autoSpaceDE w:val="0"/>
              <w:autoSpaceDN w:val="0"/>
              <w:adjustRightInd w:val="0"/>
              <w:jc w:val="both"/>
              <w:rPr>
                <w:rFonts w:ascii="Palatino Linotype" w:hAnsi="Palatino Linotype" w:cs="Arial"/>
                <w:sz w:val="12"/>
                <w:szCs w:val="12"/>
              </w:rPr>
            </w:pPr>
            <w:r w:rsidRPr="00AD2A84">
              <w:rPr>
                <w:rFonts w:ascii="Palatino Linotype" w:hAnsi="Palatino Linotype" w:cs="Arial"/>
                <w:sz w:val="12"/>
                <w:szCs w:val="12"/>
              </w:rPr>
              <w:t xml:space="preserve">ARADO DE SUBSUELO (SUBSOLADOR): Subsuelo (Ripper),  de estructura robusta; puntas curvas para mayor penetración; enganche 3 puntos; bastidor de </w:t>
            </w:r>
            <w:smartTag w:uri="urn:schemas-microsoft-com:office:smarttags" w:element="metricconverter">
              <w:smartTagPr>
                <w:attr w:name="ProductID" w:val="5”"/>
              </w:smartTagPr>
              <w:r w:rsidRPr="00AD2A84">
                <w:rPr>
                  <w:rFonts w:ascii="Palatino Linotype" w:hAnsi="Palatino Linotype" w:cs="Arial"/>
                  <w:sz w:val="12"/>
                  <w:szCs w:val="12"/>
                </w:rPr>
                <w:t>5”</w:t>
              </w:r>
            </w:smartTag>
            <w:r w:rsidRPr="00AD2A84">
              <w:rPr>
                <w:rFonts w:ascii="Palatino Linotype" w:hAnsi="Palatino Linotype" w:cs="Arial"/>
                <w:sz w:val="12"/>
                <w:szCs w:val="12"/>
              </w:rPr>
              <w:t xml:space="preserve"> x </w:t>
            </w:r>
            <w:smartTag w:uri="urn:schemas-microsoft-com:office:smarttags" w:element="metricconverter">
              <w:smartTagPr>
                <w:attr w:name="ProductID" w:val="7”"/>
              </w:smartTagPr>
              <w:r w:rsidRPr="00AD2A84">
                <w:rPr>
                  <w:rFonts w:ascii="Palatino Linotype" w:hAnsi="Palatino Linotype" w:cs="Arial"/>
                  <w:sz w:val="12"/>
                  <w:szCs w:val="12"/>
                </w:rPr>
                <w:t>7”</w:t>
              </w:r>
            </w:smartTag>
            <w:r w:rsidRPr="00AD2A84">
              <w:rPr>
                <w:rFonts w:ascii="Palatino Linotype" w:hAnsi="Palatino Linotype" w:cs="Arial"/>
                <w:sz w:val="12"/>
                <w:szCs w:val="12"/>
              </w:rPr>
              <w:t xml:space="preserve">, chapa de </w:t>
            </w:r>
            <w:smartTag w:uri="urn:schemas-microsoft-com:office:smarttags" w:element="metricconverter">
              <w:smartTagPr>
                <w:attr w:name="ProductID" w:val="10 mm"/>
              </w:smartTagPr>
              <w:r w:rsidRPr="00AD2A84">
                <w:rPr>
                  <w:rFonts w:ascii="Palatino Linotype" w:hAnsi="Palatino Linotype" w:cs="Arial"/>
                  <w:sz w:val="12"/>
                  <w:szCs w:val="12"/>
                </w:rPr>
                <w:t>10 mm</w:t>
              </w:r>
            </w:smartTag>
            <w:r w:rsidRPr="00AD2A84">
              <w:rPr>
                <w:rFonts w:ascii="Palatino Linotype" w:hAnsi="Palatino Linotype" w:cs="Arial"/>
                <w:sz w:val="12"/>
                <w:szCs w:val="12"/>
              </w:rPr>
              <w:t xml:space="preserve">, ancho de </w:t>
            </w:r>
            <w:smartTag w:uri="urn:schemas-microsoft-com:office:smarttags" w:element="metricconverter">
              <w:smartTagPr>
                <w:attr w:name="ProductID" w:val="2.15 m"/>
              </w:smartTagPr>
              <w:smartTag w:uri="urn:schemas-microsoft-com:office:smarttags" w:element="time">
                <w:smartTagPr>
                  <w:attr w:name="Hour" w:val="2"/>
                  <w:attr w:name="Minute" w:val="15"/>
                </w:smartTagPr>
                <w:smartTag w:uri="urn:schemas-microsoft-com:office:smarttags" w:element="metricconverter">
                  <w:smartTagPr>
                    <w:attr w:name="ProductID" w:val="2.15 m"/>
                  </w:smartTagPr>
                  <w:smartTag w:uri="urn:schemas-microsoft-com:office:smarttags" w:element="time">
                    <w:smartTagPr>
                      <w:attr w:name="Hour" w:val="2"/>
                      <w:attr w:name="Minute" w:val="15"/>
                    </w:smartTagPr>
                    <w:r w:rsidRPr="00AD2A84">
                      <w:rPr>
                        <w:rFonts w:ascii="Palatino Linotype" w:hAnsi="Palatino Linotype" w:cs="Arial"/>
                        <w:sz w:val="12"/>
                        <w:szCs w:val="12"/>
                      </w:rPr>
                      <w:t>2.15</w:t>
                    </w:r>
                  </w:smartTag>
                </w:smartTag>
                <w:r w:rsidRPr="00AD2A84">
                  <w:rPr>
                    <w:rFonts w:ascii="Palatino Linotype" w:hAnsi="Palatino Linotype" w:cs="Arial"/>
                    <w:sz w:val="12"/>
                    <w:szCs w:val="12"/>
                  </w:rPr>
                  <w:t xml:space="preserve"> m</w:t>
                </w:r>
              </w:smartTag>
            </w:smartTag>
            <w:r w:rsidRPr="00AD2A84">
              <w:rPr>
                <w:rFonts w:ascii="Palatino Linotype" w:hAnsi="Palatino Linotype" w:cs="Arial"/>
                <w:sz w:val="12"/>
                <w:szCs w:val="12"/>
              </w:rPr>
              <w:t xml:space="preserve"> y </w:t>
            </w:r>
            <w:smartTag w:uri="urn:schemas-microsoft-com:office:smarttags" w:element="metricconverter">
              <w:smartTagPr>
                <w:attr w:name="ProductID" w:val="0.84 metros"/>
              </w:smartTagPr>
              <w:r w:rsidRPr="00AD2A84">
                <w:rPr>
                  <w:rFonts w:ascii="Palatino Linotype" w:hAnsi="Palatino Linotype" w:cs="Arial"/>
                  <w:sz w:val="12"/>
                  <w:szCs w:val="12"/>
                </w:rPr>
                <w:t>0.84 metros</w:t>
              </w:r>
            </w:smartTag>
            <w:r w:rsidRPr="00AD2A84">
              <w:rPr>
                <w:rFonts w:ascii="Palatino Linotype" w:hAnsi="Palatino Linotype" w:cs="Arial"/>
                <w:sz w:val="12"/>
                <w:szCs w:val="12"/>
              </w:rPr>
              <w:t xml:space="preserve"> de altura; distancia máxima entre subsuelos de </w:t>
            </w:r>
            <w:smartTag w:uri="urn:schemas-microsoft-com:office:smarttags" w:element="metricconverter">
              <w:smartTagPr>
                <w:attr w:name="ProductID" w:val="0.76 metros"/>
              </w:smartTagPr>
              <w:r w:rsidRPr="00AD2A84">
                <w:rPr>
                  <w:rFonts w:ascii="Palatino Linotype" w:hAnsi="Palatino Linotype" w:cs="Arial"/>
                  <w:sz w:val="12"/>
                  <w:szCs w:val="12"/>
                </w:rPr>
                <w:t>0.76 metros</w:t>
              </w:r>
            </w:smartTag>
            <w:r w:rsidRPr="00AD2A84">
              <w:rPr>
                <w:rFonts w:ascii="Palatino Linotype" w:hAnsi="Palatino Linotype" w:cs="Arial"/>
                <w:sz w:val="12"/>
                <w:szCs w:val="12"/>
              </w:rPr>
              <w:t xml:space="preserve"> (ajustable), tres subsuelos curvos de </w:t>
            </w:r>
            <w:smartTag w:uri="urn:schemas-microsoft-com:office:smarttags" w:element="metricconverter">
              <w:smartTagPr>
                <w:attr w:name="ProductID" w:val="32 mm"/>
              </w:smartTagPr>
              <w:r w:rsidRPr="00AD2A84">
                <w:rPr>
                  <w:rFonts w:ascii="Palatino Linotype" w:hAnsi="Palatino Linotype" w:cs="Arial"/>
                  <w:sz w:val="12"/>
                  <w:szCs w:val="12"/>
                </w:rPr>
                <w:t>32 mm</w:t>
              </w:r>
            </w:smartTag>
            <w:r w:rsidRPr="00AD2A84">
              <w:rPr>
                <w:rFonts w:ascii="Palatino Linotype" w:hAnsi="Palatino Linotype" w:cs="Arial"/>
                <w:sz w:val="12"/>
                <w:szCs w:val="12"/>
              </w:rPr>
              <w:t xml:space="preserve"> de espesor, puntas intercambiables aceradas con revestimiento anti-abrasivo, profundidad de trabajo </w:t>
            </w:r>
            <w:smartTag w:uri="urn:schemas-microsoft-com:office:smarttags" w:element="date">
              <w:smartTagPr>
                <w:attr w:name="ls" w:val="trans"/>
                <w:attr w:name="Month" w:val="11"/>
                <w:attr w:name="Day" w:val="1"/>
                <w:attr w:name="Year" w:val="16"/>
              </w:smartTagPr>
              <w:smartTag w:uri="urn:schemas-microsoft-com:office:smarttags" w:element="metricconverter">
                <w:smartTagPr>
                  <w:attr w:name="ProductID" w:val="0.56 metros"/>
                </w:smartTagPr>
                <w:smartTag w:uri="urn:schemas-microsoft-com:office:smarttags" w:element="metricconverter">
                  <w:smartTagPr>
                    <w:attr w:name="ProductID" w:val="0.56 metros"/>
                  </w:smartTagPr>
                  <w:smartTag w:uri="urn:schemas-microsoft-com:office:smarttags" w:element="time">
                    <w:smartTagPr>
                      <w:attr w:name="Hour" w:val="0"/>
                      <w:attr w:name="Minute" w:val="56"/>
                    </w:smartTagPr>
                    <w:r w:rsidRPr="00AD2A84">
                      <w:rPr>
                        <w:rFonts w:ascii="Palatino Linotype" w:hAnsi="Palatino Linotype" w:cs="Arial"/>
                        <w:sz w:val="12"/>
                        <w:szCs w:val="12"/>
                      </w:rPr>
                      <w:t>0.56</w:t>
                    </w:r>
                  </w:smartTag>
                </w:smartTag>
                <w:r w:rsidRPr="00AD2A84">
                  <w:rPr>
                    <w:rFonts w:ascii="Palatino Linotype" w:hAnsi="Palatino Linotype" w:cs="Arial"/>
                    <w:sz w:val="12"/>
                    <w:szCs w:val="12"/>
                  </w:rPr>
                  <w:t xml:space="preserve"> metros</w:t>
                </w:r>
              </w:smartTag>
            </w:smartTag>
            <w:r w:rsidRPr="00AD2A84">
              <w:rPr>
                <w:rFonts w:ascii="Palatino Linotype" w:hAnsi="Palatino Linotype" w:cs="Arial"/>
                <w:sz w:val="12"/>
                <w:szCs w:val="12"/>
              </w:rPr>
              <w:t>, potencia requerida: 75-135 HP, peso aproximado 400 Kgs. Garantía de 12 meses por desperfectos de fabricación.</w:t>
            </w:r>
          </w:p>
        </w:tc>
        <w:tc>
          <w:tcPr>
            <w:tcW w:w="567" w:type="dxa"/>
            <w:tcBorders>
              <w:top w:val="nil"/>
              <w:left w:val="nil"/>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sz w:val="12"/>
                <w:szCs w:val="12"/>
              </w:rPr>
            </w:pPr>
            <w:r w:rsidRPr="00AD2A84">
              <w:rPr>
                <w:rFonts w:ascii="Palatino Linotype" w:hAnsi="Palatino Linotype" w:cs="Arial"/>
                <w:sz w:val="12"/>
                <w:szCs w:val="12"/>
              </w:rPr>
              <w:t>Unidad</w:t>
            </w:r>
          </w:p>
        </w:tc>
        <w:tc>
          <w:tcPr>
            <w:tcW w:w="709" w:type="dxa"/>
            <w:tcBorders>
              <w:top w:val="nil"/>
              <w:left w:val="nil"/>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sz w:val="12"/>
                <w:szCs w:val="12"/>
              </w:rPr>
            </w:pPr>
            <w:r w:rsidRPr="00AD2A84">
              <w:rPr>
                <w:rFonts w:ascii="Palatino Linotype" w:hAnsi="Palatino Linotype" w:cs="Arial"/>
                <w:sz w:val="12"/>
                <w:szCs w:val="12"/>
              </w:rPr>
              <w:t>1</w:t>
            </w:r>
          </w:p>
        </w:tc>
        <w:tc>
          <w:tcPr>
            <w:tcW w:w="729" w:type="dxa"/>
            <w:tcBorders>
              <w:top w:val="single" w:sz="4" w:space="0" w:color="auto"/>
              <w:left w:val="nil"/>
              <w:bottom w:val="single" w:sz="4" w:space="0" w:color="auto"/>
              <w:right w:val="single" w:sz="4" w:space="0" w:color="auto"/>
            </w:tcBorders>
          </w:tcPr>
          <w:p w:rsidR="00AC0033" w:rsidRPr="00794880" w:rsidRDefault="00AC0033" w:rsidP="00794880">
            <w:pPr>
              <w:jc w:val="center"/>
              <w:rPr>
                <w:rFonts w:ascii="Palatino Linotype" w:hAnsi="Palatino Linotype" w:cs="Arial"/>
                <w:bCs/>
                <w:sz w:val="12"/>
                <w:szCs w:val="12"/>
              </w:rPr>
            </w:pPr>
          </w:p>
          <w:p w:rsidR="00AC0033" w:rsidRPr="00794880" w:rsidRDefault="00AC0033" w:rsidP="00794880">
            <w:pPr>
              <w:jc w:val="center"/>
              <w:rPr>
                <w:rFonts w:ascii="Palatino Linotype" w:hAnsi="Palatino Linotype" w:cs="Arial"/>
                <w:bCs/>
                <w:sz w:val="12"/>
                <w:szCs w:val="12"/>
              </w:rPr>
            </w:pPr>
          </w:p>
          <w:p w:rsidR="00AC0033" w:rsidRPr="00794880" w:rsidRDefault="00AC0033" w:rsidP="00794880">
            <w:pPr>
              <w:jc w:val="center"/>
              <w:rPr>
                <w:rFonts w:ascii="Palatino Linotype" w:hAnsi="Palatino Linotype" w:cs="Arial"/>
                <w:bCs/>
                <w:sz w:val="12"/>
                <w:szCs w:val="12"/>
              </w:rPr>
            </w:pPr>
          </w:p>
          <w:p w:rsidR="00AC0033" w:rsidRDefault="00AC0033" w:rsidP="00794880">
            <w:pPr>
              <w:jc w:val="center"/>
              <w:rPr>
                <w:rFonts w:ascii="Palatino Linotype" w:hAnsi="Palatino Linotype" w:cs="Arial"/>
                <w:bCs/>
                <w:sz w:val="12"/>
                <w:szCs w:val="12"/>
              </w:rPr>
            </w:pPr>
          </w:p>
          <w:p w:rsidR="00AC0033" w:rsidRPr="00794880" w:rsidRDefault="00AC0033" w:rsidP="00794880">
            <w:pPr>
              <w:jc w:val="center"/>
              <w:rPr>
                <w:rFonts w:ascii="Palatino Linotype" w:hAnsi="Palatino Linotype" w:cs="Arial"/>
                <w:bCs/>
                <w:sz w:val="12"/>
                <w:szCs w:val="12"/>
              </w:rPr>
            </w:pPr>
            <w:r w:rsidRPr="00794880">
              <w:rPr>
                <w:rFonts w:ascii="Palatino Linotype" w:hAnsi="Palatino Linotype" w:cs="Arial"/>
                <w:bCs/>
                <w:sz w:val="12"/>
                <w:szCs w:val="12"/>
              </w:rPr>
              <w:t>15 días Calendario</w:t>
            </w:r>
          </w:p>
        </w:tc>
        <w:tc>
          <w:tcPr>
            <w:tcW w:w="729" w:type="dxa"/>
            <w:gridSpan w:val="2"/>
            <w:tcBorders>
              <w:top w:val="nil"/>
              <w:left w:val="single" w:sz="4" w:space="0" w:color="auto"/>
              <w:bottom w:val="single" w:sz="4" w:space="0" w:color="auto"/>
              <w:right w:val="single" w:sz="4" w:space="0" w:color="auto"/>
            </w:tcBorders>
            <w:noWrap/>
            <w:vAlign w:val="center"/>
          </w:tcPr>
          <w:p w:rsidR="00AC0033" w:rsidRPr="00AD2A84" w:rsidRDefault="00AC0033" w:rsidP="00016102">
            <w:pPr>
              <w:jc w:val="center"/>
              <w:rPr>
                <w:rFonts w:ascii="Palatino Linotype" w:hAnsi="Palatino Linotype" w:cs="Arial"/>
                <w:bCs/>
                <w:sz w:val="12"/>
                <w:szCs w:val="12"/>
              </w:rPr>
            </w:pPr>
            <w:r w:rsidRPr="00AD2A84">
              <w:rPr>
                <w:rFonts w:ascii="Palatino Linotype" w:hAnsi="Palatino Linotype" w:cs="Arial"/>
                <w:bCs/>
                <w:sz w:val="12"/>
                <w:szCs w:val="12"/>
              </w:rPr>
              <w:t>John Deere</w:t>
            </w:r>
          </w:p>
        </w:tc>
        <w:tc>
          <w:tcPr>
            <w:tcW w:w="709" w:type="dxa"/>
            <w:tcBorders>
              <w:top w:val="nil"/>
              <w:left w:val="nil"/>
              <w:bottom w:val="single" w:sz="4" w:space="0" w:color="auto"/>
              <w:right w:val="nil"/>
            </w:tcBorders>
            <w:vAlign w:val="center"/>
          </w:tcPr>
          <w:p w:rsidR="00AC0033" w:rsidRPr="00AD2A84" w:rsidRDefault="00AC0033" w:rsidP="00016102">
            <w:pPr>
              <w:jc w:val="right"/>
              <w:rPr>
                <w:rFonts w:ascii="Palatino Linotype" w:hAnsi="Palatino Linotype" w:cs="Arial"/>
                <w:bCs/>
                <w:sz w:val="12"/>
                <w:szCs w:val="12"/>
              </w:rPr>
            </w:pPr>
            <w:r w:rsidRPr="00AD2A84">
              <w:rPr>
                <w:rFonts w:ascii="Palatino Linotype" w:hAnsi="Palatino Linotype" w:cs="Arial"/>
                <w:bCs/>
                <w:sz w:val="12"/>
                <w:szCs w:val="12"/>
              </w:rPr>
              <w:t>3,277.00</w:t>
            </w:r>
          </w:p>
        </w:tc>
        <w:tc>
          <w:tcPr>
            <w:tcW w:w="847" w:type="dxa"/>
            <w:tcBorders>
              <w:top w:val="nil"/>
              <w:left w:val="single" w:sz="4" w:space="0" w:color="auto"/>
              <w:bottom w:val="single" w:sz="4" w:space="0" w:color="auto"/>
              <w:right w:val="single" w:sz="4" w:space="0" w:color="auto"/>
            </w:tcBorders>
            <w:vAlign w:val="center"/>
          </w:tcPr>
          <w:p w:rsidR="00AC0033" w:rsidRPr="00AD2A84" w:rsidRDefault="00AC0033" w:rsidP="00016102">
            <w:pPr>
              <w:jc w:val="right"/>
              <w:rPr>
                <w:rFonts w:ascii="Palatino Linotype" w:hAnsi="Palatino Linotype" w:cs="Arial"/>
                <w:bCs/>
                <w:sz w:val="14"/>
                <w:szCs w:val="14"/>
              </w:rPr>
            </w:pPr>
            <w:r w:rsidRPr="00AD2A84">
              <w:rPr>
                <w:rFonts w:ascii="Palatino Linotype" w:hAnsi="Palatino Linotype" w:cs="Arial"/>
                <w:bCs/>
                <w:sz w:val="14"/>
                <w:szCs w:val="14"/>
              </w:rPr>
              <w:t>3,277.00</w:t>
            </w:r>
          </w:p>
        </w:tc>
      </w:tr>
      <w:tr w:rsidR="00AC0033" w:rsidRPr="004B759E" w:rsidTr="00794880">
        <w:trPr>
          <w:trHeight w:val="315"/>
        </w:trPr>
        <w:tc>
          <w:tcPr>
            <w:tcW w:w="5824" w:type="dxa"/>
            <w:gridSpan w:val="5"/>
            <w:tcBorders>
              <w:top w:val="single" w:sz="8" w:space="0" w:color="auto"/>
              <w:left w:val="single" w:sz="8" w:space="0" w:color="auto"/>
              <w:bottom w:val="single" w:sz="8" w:space="0" w:color="auto"/>
              <w:right w:val="nil"/>
            </w:tcBorders>
            <w:vAlign w:val="center"/>
          </w:tcPr>
          <w:p w:rsidR="00AC0033" w:rsidRPr="00AD2A84" w:rsidRDefault="00AC0033" w:rsidP="00016102">
            <w:pPr>
              <w:jc w:val="center"/>
              <w:rPr>
                <w:rFonts w:ascii="Palatino Linotype" w:hAnsi="Palatino Linotype" w:cs="Arial"/>
                <w:b/>
                <w:bCs/>
                <w:sz w:val="16"/>
                <w:szCs w:val="16"/>
                <w:lang w:eastAsia="es-SV"/>
              </w:rPr>
            </w:pPr>
            <w:r w:rsidRPr="00AD2A84">
              <w:rPr>
                <w:rFonts w:ascii="Palatino Linotype" w:hAnsi="Palatino Linotype" w:cs="Tahoma"/>
                <w:b/>
                <w:bCs/>
                <w:sz w:val="14"/>
                <w:szCs w:val="14"/>
              </w:rPr>
              <w:t>MONTO TOTAL</w:t>
            </w:r>
          </w:p>
        </w:tc>
        <w:tc>
          <w:tcPr>
            <w:tcW w:w="729" w:type="dxa"/>
            <w:tcBorders>
              <w:top w:val="single" w:sz="8" w:space="0" w:color="auto"/>
              <w:left w:val="nil"/>
              <w:bottom w:val="single" w:sz="8" w:space="0" w:color="auto"/>
              <w:right w:val="nil"/>
            </w:tcBorders>
            <w:noWrap/>
            <w:vAlign w:val="center"/>
          </w:tcPr>
          <w:p w:rsidR="00AC0033" w:rsidRPr="00AD2A84" w:rsidRDefault="00AC0033" w:rsidP="00016102">
            <w:pPr>
              <w:jc w:val="center"/>
              <w:rPr>
                <w:rFonts w:ascii="Palatino Linotype" w:hAnsi="Palatino Linotype" w:cs="Arial"/>
                <w:sz w:val="16"/>
                <w:szCs w:val="16"/>
                <w:lang w:eastAsia="es-SV"/>
              </w:rPr>
            </w:pPr>
            <w:r w:rsidRPr="00AD2A84">
              <w:rPr>
                <w:rFonts w:ascii="Palatino Linotype" w:hAnsi="Palatino Linotype" w:cs="Arial"/>
                <w:sz w:val="16"/>
                <w:szCs w:val="16"/>
                <w:lang w:eastAsia="es-SV"/>
              </w:rPr>
              <w:t> </w:t>
            </w:r>
          </w:p>
        </w:tc>
        <w:tc>
          <w:tcPr>
            <w:tcW w:w="709" w:type="dxa"/>
            <w:tcBorders>
              <w:top w:val="single" w:sz="8" w:space="0" w:color="auto"/>
              <w:left w:val="nil"/>
              <w:bottom w:val="single" w:sz="8" w:space="0" w:color="auto"/>
              <w:right w:val="nil"/>
            </w:tcBorders>
            <w:noWrap/>
            <w:vAlign w:val="center"/>
          </w:tcPr>
          <w:p w:rsidR="00AC0033" w:rsidRPr="00AD2A84" w:rsidRDefault="00AC0033" w:rsidP="00016102">
            <w:pPr>
              <w:jc w:val="center"/>
              <w:rPr>
                <w:rFonts w:ascii="Palatino Linotype" w:hAnsi="Palatino Linotype" w:cs="Arial"/>
                <w:sz w:val="16"/>
                <w:szCs w:val="16"/>
                <w:lang w:eastAsia="es-SV"/>
              </w:rPr>
            </w:pPr>
            <w:r w:rsidRPr="00AD2A84">
              <w:rPr>
                <w:rFonts w:ascii="Palatino Linotype" w:hAnsi="Palatino Linotype" w:cs="Arial"/>
                <w:sz w:val="16"/>
                <w:szCs w:val="16"/>
                <w:lang w:eastAsia="es-SV"/>
              </w:rPr>
              <w:t> </w:t>
            </w:r>
          </w:p>
        </w:tc>
        <w:tc>
          <w:tcPr>
            <w:tcW w:w="1576" w:type="dxa"/>
            <w:gridSpan w:val="3"/>
            <w:tcBorders>
              <w:top w:val="single" w:sz="8" w:space="0" w:color="auto"/>
              <w:left w:val="nil"/>
              <w:bottom w:val="single" w:sz="8" w:space="0" w:color="auto"/>
              <w:right w:val="single" w:sz="4" w:space="0" w:color="auto"/>
            </w:tcBorders>
            <w:noWrap/>
            <w:vAlign w:val="center"/>
          </w:tcPr>
          <w:p w:rsidR="00AC0033" w:rsidRPr="00AD2A84" w:rsidRDefault="00AC0033" w:rsidP="00016102">
            <w:pPr>
              <w:jc w:val="right"/>
              <w:rPr>
                <w:rFonts w:ascii="Palatino Linotype" w:hAnsi="Palatino Linotype" w:cs="Arial"/>
                <w:b/>
                <w:bCs/>
                <w:sz w:val="14"/>
                <w:szCs w:val="14"/>
                <w:lang w:eastAsia="es-SV"/>
              </w:rPr>
            </w:pPr>
            <w:r w:rsidRPr="00AD2A84">
              <w:rPr>
                <w:rFonts w:ascii="Palatino Linotype" w:hAnsi="Palatino Linotype" w:cs="Arial"/>
                <w:b/>
                <w:bCs/>
                <w:sz w:val="14"/>
                <w:szCs w:val="14"/>
                <w:lang w:eastAsia="es-SV"/>
              </w:rPr>
              <w:t>$8,701.00</w:t>
            </w:r>
          </w:p>
        </w:tc>
        <w:tc>
          <w:tcPr>
            <w:tcW w:w="931" w:type="dxa"/>
            <w:tcBorders>
              <w:left w:val="single" w:sz="4" w:space="0" w:color="auto"/>
            </w:tcBorders>
          </w:tcPr>
          <w:p w:rsidR="00AC0033" w:rsidRPr="00AD2A84" w:rsidRDefault="00AC0033" w:rsidP="00016102">
            <w:pPr>
              <w:jc w:val="right"/>
              <w:rPr>
                <w:rFonts w:ascii="Palatino Linotype" w:hAnsi="Palatino Linotype" w:cs="Arial"/>
                <w:b/>
                <w:bCs/>
                <w:sz w:val="14"/>
                <w:szCs w:val="14"/>
                <w:lang w:eastAsia="es-SV"/>
              </w:rPr>
            </w:pPr>
          </w:p>
        </w:tc>
      </w:tr>
    </w:tbl>
    <w:p w:rsidR="00AC0033" w:rsidRPr="004B759E" w:rsidRDefault="00AC0033" w:rsidP="00AD2A84">
      <w:pPr>
        <w:tabs>
          <w:tab w:val="left" w:pos="360"/>
        </w:tabs>
        <w:suppressAutoHyphens/>
        <w:jc w:val="both"/>
        <w:rPr>
          <w:rFonts w:ascii="Arial" w:hAnsi="Arial" w:cs="Arial"/>
          <w:sz w:val="22"/>
          <w:szCs w:val="22"/>
          <w:lang w:val="es-ES_tradnl"/>
        </w:rPr>
      </w:pPr>
    </w:p>
    <w:p w:rsidR="00AC0033" w:rsidRPr="00951DCD" w:rsidRDefault="00AC0033" w:rsidP="00FB3F9A">
      <w:pPr>
        <w:tabs>
          <w:tab w:val="left" w:pos="360"/>
          <w:tab w:val="left" w:pos="1080"/>
        </w:tabs>
        <w:autoSpaceDE w:val="0"/>
        <w:autoSpaceDN w:val="0"/>
        <w:adjustRightInd w:val="0"/>
        <w:spacing w:line="300" w:lineRule="auto"/>
        <w:jc w:val="both"/>
        <w:rPr>
          <w:rFonts w:ascii="Bookman Old Style" w:hAnsi="Bookman Old Style" w:cs="Tahoma"/>
          <w:sz w:val="21"/>
          <w:szCs w:val="21"/>
          <w:lang w:eastAsia="ar-SA"/>
        </w:rPr>
      </w:pPr>
      <w:r w:rsidRPr="00951DCD">
        <w:rPr>
          <w:rFonts w:ascii="Bookman Old Style" w:hAnsi="Bookman Old Style" w:cs="Tahoma"/>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951DCD">
        <w:rPr>
          <w:rFonts w:ascii="Bookman Old Style" w:hAnsi="Bookman Old Style" w:cs="Tahoma"/>
          <w:b/>
          <w:bCs/>
          <w:sz w:val="21"/>
          <w:szCs w:val="21"/>
        </w:rPr>
        <w:t>“</w:t>
      </w:r>
      <w:r w:rsidRPr="00951DCD">
        <w:rPr>
          <w:rFonts w:ascii="Bookman Old Style" w:hAnsi="Bookman Old Style" w:cs="Tahoma"/>
          <w:b/>
          <w:sz w:val="21"/>
          <w:szCs w:val="21"/>
        </w:rPr>
        <w:t>EL MAG</w:t>
      </w:r>
      <w:r w:rsidRPr="00951DCD">
        <w:rPr>
          <w:rFonts w:ascii="Bookman Old Style" w:hAnsi="Bookman Old Style" w:cs="Tahoma"/>
          <w:sz w:val="21"/>
          <w:szCs w:val="21"/>
        </w:rPr>
        <w:t>” podrá realizar todas las gestiones de control en los aspectos material, técnico, financiero, legal y contable, que razonablemente considere necesarios a efecto de salvaguardar los intereses que persigue.</w:t>
      </w:r>
      <w:r w:rsidRPr="00951DCD">
        <w:rPr>
          <w:rFonts w:ascii="Bookman Old Style" w:hAnsi="Bookman Old Style" w:cs="Tahoma"/>
          <w:b/>
          <w:sz w:val="21"/>
          <w:szCs w:val="21"/>
          <w:lang w:eastAsia="ar-SA"/>
        </w:rPr>
        <w:t>II.- PRECIO Y FORMA DE PAGO</w:t>
      </w:r>
      <w:r w:rsidRPr="00951DCD">
        <w:rPr>
          <w:rFonts w:ascii="Bookman Old Style" w:hAnsi="Bookman Old Style" w:cs="Tahoma"/>
          <w:sz w:val="21"/>
          <w:szCs w:val="21"/>
          <w:lang w:eastAsia="ar-SA"/>
        </w:rPr>
        <w:t xml:space="preserve">. El precio total por el suministro de los bienes objeto del presente contratoes de </w:t>
      </w:r>
      <w:r w:rsidRPr="00951DCD">
        <w:rPr>
          <w:rFonts w:ascii="Bookman Old Style" w:hAnsi="Bookman Old Style" w:cs="Tahoma"/>
          <w:b/>
          <w:sz w:val="21"/>
          <w:szCs w:val="21"/>
          <w:lang w:eastAsia="ar-SA"/>
        </w:rPr>
        <w:t>OCHO MIL SETECIENTOS UN DÓLARES DE LOS ESTADOS  UNIDOS  DE  AMÉRICA (US $8,701.00)</w:t>
      </w:r>
      <w:r w:rsidRPr="00951DCD">
        <w:rPr>
          <w:rFonts w:ascii="Bookman Old Style" w:hAnsi="Bookman Old Style" w:cs="Tahoma"/>
          <w:sz w:val="21"/>
          <w:szCs w:val="21"/>
          <w:lang w:eastAsia="ar-SA"/>
        </w:rPr>
        <w:t>,el cual incluye el Impuesto a la Transferencia de Bienes Muebles y a la Prestación de Servicios (IVA)</w:t>
      </w:r>
      <w:r w:rsidRPr="00951DCD">
        <w:rPr>
          <w:rFonts w:ascii="Bookman Old Style" w:hAnsi="Bookman Old Style" w:cs="Arial"/>
          <w:sz w:val="21"/>
          <w:szCs w:val="21"/>
        </w:rPr>
        <w:t>.</w:t>
      </w:r>
      <w:r w:rsidRPr="00951DCD">
        <w:rPr>
          <w:rFonts w:ascii="Bookman Old Style" w:hAnsi="Bookman Old Style" w:cs="Tahoma"/>
          <w:sz w:val="21"/>
          <w:szCs w:val="21"/>
          <w:lang w:eastAsia="ar-SA"/>
        </w:rPr>
        <w:t xml:space="preserve">EL MAG podrá efectuar el pago dentro de un plazo de treinta días, posteriores </w:t>
      </w:r>
      <w:r>
        <w:rPr>
          <w:rFonts w:ascii="Bookman Old Style" w:hAnsi="Bookman Old Style" w:cs="Tahoma"/>
          <w:sz w:val="21"/>
          <w:szCs w:val="21"/>
          <w:lang w:eastAsia="ar-SA"/>
        </w:rPr>
        <w:t xml:space="preserve">al </w:t>
      </w:r>
      <w:r w:rsidRPr="00951DCD">
        <w:rPr>
          <w:rFonts w:ascii="Bookman Old Style" w:hAnsi="Bookman Old Style" w:cs="Tahoma"/>
          <w:sz w:val="21"/>
          <w:szCs w:val="21"/>
          <w:lang w:eastAsia="ar-SA"/>
        </w:rPr>
        <w:t>recibo de las facturas de consumidor final a nombre de: Cooperación Gobierno de Japón Cedaf Morazán (Proyecto 5725)</w:t>
      </w:r>
      <w:r>
        <w:rPr>
          <w:rFonts w:ascii="Bookman Old Style" w:hAnsi="Bookman Old Style" w:cs="Tahoma"/>
          <w:sz w:val="21"/>
          <w:szCs w:val="21"/>
          <w:lang w:eastAsia="ar-SA"/>
        </w:rPr>
        <w:t xml:space="preserve"> en la Oficina Financiera Institucional del MAG</w:t>
      </w:r>
      <w:r w:rsidRPr="00951DCD">
        <w:rPr>
          <w:rFonts w:ascii="Bookman Old Style" w:hAnsi="Bookman Old Style" w:cs="Tahoma"/>
          <w:sz w:val="21"/>
          <w:szCs w:val="21"/>
          <w:lang w:eastAsia="ar-SA"/>
        </w:rPr>
        <w:t xml:space="preserve">; </w:t>
      </w:r>
      <w:r w:rsidRPr="00951DCD">
        <w:rPr>
          <w:rFonts w:ascii="Bookman Old Style" w:hAnsi="Bookman Old Style" w:cs="Tahoma"/>
          <w:sz w:val="21"/>
          <w:szCs w:val="21"/>
          <w:lang w:val="es-SV"/>
        </w:rPr>
        <w:t>así mismo de las actas de recepción respectivas, las cuales deberán estar firmadas por los administradores del contrato de las dependencias del MAG que recibieron el suministro haciendo constar que es</w:t>
      </w:r>
      <w:r>
        <w:rPr>
          <w:rFonts w:ascii="Bookman Old Style" w:hAnsi="Bookman Old Style" w:cs="Tahoma"/>
          <w:sz w:val="21"/>
          <w:szCs w:val="21"/>
          <w:lang w:val="es-SV"/>
        </w:rPr>
        <w:t xml:space="preserve">te fue recibido a </w:t>
      </w:r>
      <w:r w:rsidRPr="00D63704">
        <w:rPr>
          <w:rFonts w:ascii="Bookman Old Style" w:hAnsi="Bookman Old Style" w:cs="Tahoma"/>
          <w:sz w:val="21"/>
          <w:szCs w:val="21"/>
          <w:lang w:val="es-SV"/>
        </w:rPr>
        <w:t>satisfacción y</w:t>
      </w:r>
      <w:r w:rsidRPr="00D63704">
        <w:rPr>
          <w:rFonts w:ascii="Bookman Old Style" w:hAnsi="Bookman Old Style" w:cs="Tahoma"/>
          <w:sz w:val="21"/>
          <w:szCs w:val="21"/>
          <w:lang w:eastAsia="ar-SA"/>
        </w:rPr>
        <w:t xml:space="preserve"> por ser la Dirección solicitante agente </w:t>
      </w:r>
      <w:r w:rsidRPr="00951DCD">
        <w:rPr>
          <w:rFonts w:ascii="Bookman Old Style" w:hAnsi="Bookman Old Style" w:cs="Tahoma"/>
          <w:sz w:val="21"/>
          <w:szCs w:val="21"/>
          <w:lang w:eastAsia="ar-SA"/>
        </w:rPr>
        <w:t>de retención, de dicho pago se retendrá el 1% en concepto de anticipo del Impuesto a la Transferencia de Bienes Muebles y a la Prestación de Servicios (IVA), según Resolución emitida por el Ministerio de Hacienda. El pago será realizado</w:t>
      </w:r>
      <w:r w:rsidRPr="00951DCD">
        <w:rPr>
          <w:rFonts w:ascii="Bookman Old Style" w:hAnsi="Bookman Old Style" w:cs="Calibri"/>
          <w:sz w:val="21"/>
          <w:szCs w:val="21"/>
          <w:lang w:eastAsia="es-SV"/>
        </w:rPr>
        <w:t xml:space="preserve"> siempre y cuando SETEFE haya efectuado el desembolso a la cuenta bancaria correspondiente. </w:t>
      </w:r>
      <w:r w:rsidRPr="003C5564">
        <w:rPr>
          <w:rFonts w:ascii="Bookman Old Style" w:hAnsi="Bookman Old Style" w:cs="Tahoma"/>
          <w:b/>
          <w:sz w:val="22"/>
          <w:szCs w:val="22"/>
        </w:rPr>
        <w:t>III.- VIGENCIA DEL CONTRATO</w:t>
      </w:r>
      <w:r w:rsidRPr="003C5564">
        <w:rPr>
          <w:rFonts w:ascii="Bookman Old Style" w:hAnsi="Bookman Old Style" w:cs="Tahoma"/>
          <w:sz w:val="22"/>
          <w:szCs w:val="22"/>
        </w:rPr>
        <w:t>. La vigencia del presente contrato será a partir de la fecha de su suscripción hasta el treinta y uno de diciembre de dos mil dieciséis. Se podrá prorrogar el plazo del contrato de conformidad con la LACAP y su Reglamento.</w:t>
      </w:r>
      <w:r w:rsidRPr="00951DCD">
        <w:rPr>
          <w:rFonts w:ascii="Bookman Old Style" w:hAnsi="Bookman Old Style" w:cs="Tahoma"/>
          <w:b/>
          <w:sz w:val="21"/>
          <w:szCs w:val="21"/>
          <w:lang w:eastAsia="ar-SA"/>
        </w:rPr>
        <w:t>IV.- FORMA Y PLAZO DE ENTREGA Y RECEPCIÓN.</w:t>
      </w:r>
      <w:r w:rsidRPr="00951DCD">
        <w:rPr>
          <w:rFonts w:ascii="Bookman Old Style" w:hAnsi="Bookman Old Style" w:cs="Tahoma"/>
          <w:sz w:val="21"/>
          <w:szCs w:val="21"/>
          <w:lang w:eastAsia="ar-SA"/>
        </w:rPr>
        <w:t xml:space="preserve"> De conformidad con el artículo cuarenta y cuatro literal j) de la </w:t>
      </w:r>
      <w:r w:rsidRPr="00951DCD">
        <w:rPr>
          <w:rFonts w:ascii="Bookman Old Style" w:hAnsi="Bookman Old Style" w:cs="Tahoma"/>
          <w:sz w:val="21"/>
          <w:szCs w:val="21"/>
        </w:rPr>
        <w:t>Ley de Adquisiciones y Contrataciones de la Administración Pública</w:t>
      </w:r>
      <w:r w:rsidRPr="00951DCD">
        <w:rPr>
          <w:rFonts w:ascii="Bookman Old Style" w:hAnsi="Bookman Old Style" w:cs="Tahoma"/>
          <w:sz w:val="21"/>
          <w:szCs w:val="21"/>
          <w:lang w:eastAsia="ar-SA"/>
        </w:rPr>
        <w:t xml:space="preserve"> y su Reglamento, y a las bases de licitación, los bienes </w:t>
      </w:r>
      <w:r w:rsidRPr="00951DCD">
        <w:rPr>
          <w:rFonts w:ascii="Bookman Old Style" w:hAnsi="Bookman Old Style" w:cs="Tahoma"/>
          <w:sz w:val="21"/>
          <w:szCs w:val="21"/>
          <w:lang w:eastAsia="ar-SA"/>
        </w:rPr>
        <w:lastRenderedPageBreak/>
        <w:t>objetodel presente contrato serán suministrados por “</w:t>
      </w:r>
      <w:r>
        <w:rPr>
          <w:rFonts w:ascii="Bookman Old Style" w:hAnsi="Bookman Old Style" w:cs="Tahoma"/>
          <w:sz w:val="21"/>
          <w:szCs w:val="21"/>
          <w:lang w:eastAsia="ar-SA"/>
        </w:rPr>
        <w:t>LA CONTRATISTA</w:t>
      </w:r>
      <w:r w:rsidRPr="00951DCD">
        <w:rPr>
          <w:rFonts w:ascii="Bookman Old Style" w:hAnsi="Bookman Old Style" w:cs="Tahoma"/>
          <w:sz w:val="21"/>
          <w:szCs w:val="21"/>
          <w:lang w:eastAsia="ar-SA"/>
        </w:rPr>
        <w:t xml:space="preserve">” a “EL MAG”, </w:t>
      </w:r>
      <w:r w:rsidRPr="00951DCD">
        <w:rPr>
          <w:rFonts w:ascii="Bookman Old Style" w:hAnsi="Bookman Old Style" w:cs="Tahoma"/>
          <w:sz w:val="21"/>
          <w:szCs w:val="21"/>
          <w:u w:val="single"/>
          <w:lang w:eastAsia="ar-SA"/>
        </w:rPr>
        <w:t>en un plazo de quince(15)días calendario</w:t>
      </w:r>
      <w:r w:rsidRPr="00951DCD">
        <w:rPr>
          <w:rFonts w:ascii="Bookman Old Style" w:hAnsi="Bookman Old Style" w:cs="Tahoma"/>
          <w:sz w:val="21"/>
          <w:szCs w:val="21"/>
          <w:lang w:eastAsia="ar-SA"/>
        </w:rPr>
        <w:t>, y según su oferta de fecha diez de agosto de dos mil dieciséis, dichoplazo serán contado a partir de la fecha de la Orden de Pedido</w:t>
      </w:r>
      <w:r>
        <w:rPr>
          <w:rFonts w:ascii="Bookman Old Style" w:hAnsi="Bookman Old Style" w:cs="Tahoma"/>
          <w:sz w:val="21"/>
          <w:szCs w:val="21"/>
          <w:lang w:eastAsia="ar-SA"/>
        </w:rPr>
        <w:t xml:space="preserve"> emitida por el administrador de contrato</w:t>
      </w:r>
      <w:r w:rsidRPr="00951DCD">
        <w:rPr>
          <w:rFonts w:ascii="Bookman Old Style" w:hAnsi="Bookman Old Style" w:cs="Arial"/>
          <w:sz w:val="21"/>
          <w:szCs w:val="21"/>
          <w:lang w:val="es-ES_tradnl"/>
        </w:rPr>
        <w:t xml:space="preserve">. </w:t>
      </w:r>
      <w:r w:rsidRPr="00951DCD">
        <w:rPr>
          <w:rFonts w:ascii="Bookman Old Style" w:hAnsi="Bookman Old Style" w:cs="Tahoma"/>
          <w:sz w:val="21"/>
          <w:szCs w:val="21"/>
          <w:lang w:eastAsia="ar-SA"/>
        </w:rPr>
        <w:t xml:space="preserve">La recepción se efectuará de conformidad con lo ofertado y a lo establecido en </w:t>
      </w:r>
      <w:r>
        <w:rPr>
          <w:rFonts w:ascii="Bookman Old Style" w:hAnsi="Bookman Old Style" w:cs="Tahoma"/>
          <w:sz w:val="21"/>
          <w:szCs w:val="21"/>
          <w:lang w:eastAsia="ar-SA"/>
        </w:rPr>
        <w:t xml:space="preserve">el </w:t>
      </w:r>
      <w:r w:rsidRPr="00951DCD">
        <w:rPr>
          <w:rFonts w:ascii="Bookman Old Style" w:hAnsi="Bookman Old Style" w:cs="Tahoma"/>
          <w:sz w:val="21"/>
          <w:szCs w:val="21"/>
          <w:lang w:eastAsia="ar-SA"/>
        </w:rPr>
        <w:t xml:space="preserve">artículo ciento veintiuno de la Ley de Adquisiciones y Contrataciones de la Administración Pública, los bienes serán </w:t>
      </w:r>
      <w:r w:rsidRPr="00951DCD">
        <w:rPr>
          <w:rFonts w:ascii="Bookman Old Style" w:hAnsi="Bookman Old Style" w:cs="Tahoma"/>
          <w:sz w:val="21"/>
          <w:szCs w:val="21"/>
        </w:rPr>
        <w:t>entregados en</w:t>
      </w:r>
      <w:r w:rsidRPr="00951DCD">
        <w:rPr>
          <w:rFonts w:ascii="Bookman Old Style" w:hAnsi="Bookman Old Style" w:cs="Tahoma"/>
          <w:sz w:val="21"/>
          <w:szCs w:val="21"/>
          <w:lang w:eastAsia="ar-SA"/>
        </w:rPr>
        <w:t xml:space="preserve"> el Centro de Desarrollo para la Agricultura Familiar CEDAF Morazán, ubicado en Cantón El Rosario, Caserío La Presa, Kilómetro Dieciocho, Carretera Ruta Militar, San francisco Gotera, departamento de Morazán. </w:t>
      </w:r>
      <w:r w:rsidRPr="00951DCD">
        <w:rPr>
          <w:rFonts w:ascii="Bookman Old Style" w:hAnsi="Bookman Old Style" w:cs="Tahoma"/>
          <w:b/>
          <w:sz w:val="21"/>
          <w:szCs w:val="21"/>
          <w:lang w:eastAsia="ar-SA"/>
        </w:rPr>
        <w:t>V.- OBLIGACIONES DE EL MAG. “EL MAG”</w:t>
      </w:r>
      <w:r w:rsidRPr="00951DCD">
        <w:rPr>
          <w:rFonts w:ascii="Bookman Old Style" w:hAnsi="Bookman Old Style" w:cs="Tahoma"/>
          <w:sz w:val="21"/>
          <w:szCs w:val="21"/>
          <w:lang w:eastAsia="ar-SA"/>
        </w:rPr>
        <w:t xml:space="preserve"> deberá hacer el pago de los equipos detallados en la cláusula I de este contrato a través de recursos provenientes de los Fondos de Donación Gobierno de Japón Proyecto Cinco Mil Setecientos Veinticinco. </w:t>
      </w:r>
      <w:r w:rsidRPr="003C5564">
        <w:rPr>
          <w:rFonts w:ascii="Bookman Old Style" w:hAnsi="Bookman Old Style" w:cs="Tahoma"/>
          <w:b/>
          <w:sz w:val="22"/>
          <w:szCs w:val="22"/>
          <w:lang w:eastAsia="ar-SA"/>
        </w:rPr>
        <w:t>VI.- ADMINISTRACION DEL CONTRATO</w:t>
      </w:r>
      <w:r w:rsidRPr="003C5564">
        <w:rPr>
          <w:rFonts w:ascii="Bookman Old Style" w:hAnsi="Bookman Old Style" w:cs="Tahoma"/>
          <w:sz w:val="22"/>
          <w:szCs w:val="22"/>
          <w:lang w:eastAsia="ar-SA"/>
        </w:rPr>
        <w:t xml:space="preserve">. El Director General de Administración y Finanzas delegado del Titular del MAG, mediante Acuerdo Ejecutivo en el Ramo de Agricultura y Ganadería Número trescientos setenta y uno de fecha uno de julio de dos mil dieciséis, nombró como Administradores del contrato a las siguientes personas: ingeniero Saúl Roberto Avelar Sánchez, jefe de la unidad de infraestructura y mantenimiento, ingeniero Douglas Arsenio Navarro Montes, jefe de la División de Vigilancia y Certificación de Producción Agrícola, ingeniero Marlon René Alvarado Villatoro, Coordinador Técnico Agropecuario, Doctor José Francisco Morales Martínez, Encargado Área de Rastreabilidad de Animales, licenciado Eduardo Antonio Jiménez, Técnico en Planificación, señor César Alejandro Guerra Ganuza, Auxiliar de Mantenimiento de Infraestructura de Riego y Drenaje, ingeniero Francisco Salvador Fuentes Cordero, Técnico de la División de Vigilancia y Certificación de Producción Agrícola, ingeniera Lucía Alicia Gómez Vaquerano, Jefa de la División de Cambio Climático, licenciada Milagro Lourdes Méndez de Deras, Técnico en el Departamento de Estadísticas Pesqueras y Acuícola, licenciado Wilberto Rodríguez Vividor, Técnico Departamento de Planificación, ingeniera Lidia Rosalía NuilaNuila, con cargo de Técnico en Acuicultura, ingeniera Flor de María Urrutia Araujo, Técnico Analista e Semillas, ingeniera Anakely Romero de Huezo, Técnico de Laboratorio de Diagnóstico Vegetal, del Ministerio de Agricultura o a quienes los sustituyan en el cargo por cualquier circunstancia. </w:t>
      </w:r>
      <w:r w:rsidRPr="003C5564">
        <w:rPr>
          <w:rFonts w:ascii="Bookman Old Style" w:hAnsi="Bookman Old Style" w:cs="Tahoma"/>
          <w:sz w:val="22"/>
          <w:szCs w:val="22"/>
        </w:rPr>
        <w:t xml:space="preserve">Serán funciones de los administradores del contrato: </w:t>
      </w:r>
      <w:r w:rsidRPr="003C5564">
        <w:rPr>
          <w:rFonts w:ascii="Bookman Old Style" w:hAnsi="Bookman Old Style"/>
          <w:sz w:val="22"/>
          <w:szCs w:val="22"/>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1C3342" w:rsidRPr="003C5564">
        <w:rPr>
          <w:rFonts w:ascii="Bookman Old Style" w:hAnsi="Bookman Old Style"/>
          <w:b/>
          <w:bCs/>
          <w:sz w:val="22"/>
          <w:szCs w:val="22"/>
        </w:rPr>
        <w:fldChar w:fldCharType="begin"/>
      </w:r>
      <w:r w:rsidRPr="003C5564">
        <w:rPr>
          <w:rFonts w:ascii="Bookman Old Style" w:hAnsi="Bookman Old Style"/>
          <w:b/>
          <w:bCs/>
          <w:sz w:val="22"/>
          <w:szCs w:val="22"/>
        </w:rPr>
        <w:instrText xml:space="preserve"> MERGEFIELD "Forma_como_se_denominara_el_Proveedor" </w:instrText>
      </w:r>
      <w:r w:rsidR="001C3342" w:rsidRPr="003C5564">
        <w:rPr>
          <w:rFonts w:ascii="Bookman Old Style" w:hAnsi="Bookman Old Style"/>
          <w:b/>
          <w:bCs/>
          <w:sz w:val="22"/>
          <w:szCs w:val="22"/>
        </w:rPr>
        <w:fldChar w:fldCharType="separate"/>
      </w:r>
      <w:r w:rsidRPr="003C5564">
        <w:rPr>
          <w:rFonts w:ascii="Bookman Old Style" w:hAnsi="Bookman Old Style"/>
          <w:b/>
          <w:bCs/>
          <w:noProof/>
          <w:sz w:val="22"/>
          <w:szCs w:val="22"/>
        </w:rPr>
        <w:t>LA CONTRATISTA</w:t>
      </w:r>
      <w:r w:rsidR="001C3342" w:rsidRPr="003C5564">
        <w:rPr>
          <w:rFonts w:ascii="Bookman Old Style" w:hAnsi="Bookman Old Style"/>
          <w:b/>
          <w:bCs/>
          <w:sz w:val="22"/>
          <w:szCs w:val="22"/>
        </w:rPr>
        <w:fldChar w:fldCharType="end"/>
      </w:r>
      <w:r w:rsidRPr="003C5564">
        <w:rPr>
          <w:rFonts w:ascii="Bookman Old Style" w:hAnsi="Bookman Old Style"/>
          <w:b/>
          <w:bCs/>
          <w:sz w:val="22"/>
          <w:szCs w:val="22"/>
        </w:rPr>
        <w:t xml:space="preserve">” </w:t>
      </w:r>
      <w:r w:rsidRPr="003C5564">
        <w:rPr>
          <w:rFonts w:ascii="Bookman Old Style" w:hAnsi="Bookman Old Style"/>
          <w:sz w:val="22"/>
          <w:szCs w:val="22"/>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imposición de </w:t>
      </w:r>
      <w:r w:rsidRPr="003C5564">
        <w:rPr>
          <w:rFonts w:ascii="Bookman Old Style" w:hAnsi="Bookman Old Style"/>
          <w:sz w:val="22"/>
          <w:szCs w:val="22"/>
        </w:rPr>
        <w:lastRenderedPageBreak/>
        <w:t>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3C5564">
        <w:rPr>
          <w:rFonts w:ascii="Bookman Old Style" w:hAnsi="Bookman Old Style"/>
          <w:sz w:val="22"/>
          <w:szCs w:val="22"/>
          <w:lang w:val="es-ES_tradnl"/>
        </w:rPr>
        <w:t xml:space="preserve">) </w:t>
      </w:r>
      <w:r w:rsidRPr="003C5564">
        <w:rPr>
          <w:rFonts w:ascii="Bookman Old Style" w:hAnsi="Bookman Old Style"/>
          <w:sz w:val="22"/>
          <w:szCs w:val="22"/>
        </w:rPr>
        <w:t>La elaboración de las Actas de Recepción respectivas, conforme a lo establecido en el Art. 77 RELACAP</w:t>
      </w:r>
      <w:r w:rsidRPr="003C5564">
        <w:rPr>
          <w:rFonts w:ascii="Bookman Old Style" w:hAnsi="Bookman Old Style"/>
          <w:sz w:val="22"/>
          <w:szCs w:val="22"/>
          <w:lang w:val="es-ES_tradnl"/>
        </w:rPr>
        <w:t>;</w:t>
      </w:r>
      <w:r w:rsidRPr="003C5564">
        <w:rPr>
          <w:rFonts w:ascii="Bookman Old Style" w:hAnsi="Bookman Old Style"/>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3C5564">
        <w:rPr>
          <w:rFonts w:ascii="Bookman Old Style" w:hAnsi="Bookman Old Style" w:cs="Tahoma"/>
          <w:b/>
          <w:sz w:val="22"/>
          <w:szCs w:val="22"/>
          <w:lang w:eastAsia="ar-SA"/>
        </w:rPr>
        <w:t>VII. CESIÓN.</w:t>
      </w:r>
      <w:r w:rsidRPr="003C5564">
        <w:rPr>
          <w:rFonts w:ascii="Bookman Old Style" w:hAnsi="Bookman Old Style" w:cs="Tahoma"/>
          <w:sz w:val="22"/>
          <w:szCs w:val="22"/>
          <w:lang w:eastAsia="ar-SA"/>
        </w:rPr>
        <w:t xml:space="preserve"> Queda expresamente prohibido a “LA CONTRATISTA”, traspasar o ceder a cualquier título los derechos y obligaciones que emanan del presente contrato. La trasgresión de esta disposición dará lugar a la caducidad del contrato. </w:t>
      </w:r>
      <w:r w:rsidRPr="003C5564">
        <w:rPr>
          <w:rFonts w:ascii="Bookman Old Style" w:hAnsi="Bookman Old Style" w:cs="Tahoma"/>
          <w:b/>
          <w:sz w:val="22"/>
          <w:szCs w:val="22"/>
          <w:lang w:eastAsia="ar-SA"/>
        </w:rPr>
        <w:t>VIII.- GARANTÍAS.</w:t>
      </w:r>
      <w:r w:rsidRPr="003C5564">
        <w:rPr>
          <w:rFonts w:ascii="Bookman Old Style" w:hAnsi="Bookman Old Style" w:cs="Tahoma"/>
          <w:sz w:val="22"/>
          <w:szCs w:val="22"/>
          <w:lang w:eastAsia="ar-SA"/>
        </w:rPr>
        <w:t xml:space="preserve"> Para garantizar el cumplimiento de las obligaciones emanadas del presente contrato “LA CONTRATISTA”, se obliga a presentar a “EL MAG” las siguientes garantías: </w:t>
      </w:r>
      <w:r w:rsidRPr="003C5564">
        <w:rPr>
          <w:rFonts w:ascii="Bookman Old Style" w:hAnsi="Bookman Old Style" w:cs="Tahoma"/>
          <w:b/>
          <w:sz w:val="22"/>
          <w:szCs w:val="22"/>
          <w:lang w:eastAsia="ar-SA"/>
        </w:rPr>
        <w:t>a) GARANTIA DE CUMPLIMIENTO DE CONTRATO</w:t>
      </w:r>
      <w:r w:rsidRPr="003C5564">
        <w:rPr>
          <w:rFonts w:ascii="Bookman Old Style" w:hAnsi="Bookman Old Style" w:cs="Tahoma"/>
          <w:sz w:val="22"/>
          <w:szCs w:val="22"/>
          <w:lang w:eastAsia="ar-SA"/>
        </w:rPr>
        <w:t xml:space="preserve">. Esta garantía deberá ser presentada en un plazo no mayor de diez días hábiles contados a partir de la fecha en que LA CONTRATISTA reciba copia del contrato debidamente legalizado, por un monto de </w:t>
      </w:r>
      <w:r>
        <w:rPr>
          <w:rFonts w:ascii="Bookman Old Style" w:hAnsi="Bookman Old Style" w:cs="Tahoma"/>
          <w:b/>
          <w:sz w:val="22"/>
          <w:szCs w:val="22"/>
          <w:lang w:eastAsia="ar-SA"/>
        </w:rPr>
        <w:t>OCHOCIENTOS SETENTA</w:t>
      </w:r>
      <w:r w:rsidRPr="003C5564">
        <w:rPr>
          <w:rFonts w:ascii="Bookman Old Style" w:hAnsi="Bookman Old Style" w:cs="Tahoma"/>
          <w:b/>
          <w:sz w:val="22"/>
          <w:szCs w:val="22"/>
          <w:lang w:eastAsia="ar-SA"/>
        </w:rPr>
        <w:t xml:space="preserve"> DÓLARES CON </w:t>
      </w:r>
      <w:r>
        <w:rPr>
          <w:rFonts w:ascii="Bookman Old Style" w:hAnsi="Bookman Old Style" w:cs="Tahoma"/>
          <w:b/>
          <w:sz w:val="22"/>
          <w:szCs w:val="22"/>
          <w:lang w:eastAsia="ar-SA"/>
        </w:rPr>
        <w:t xml:space="preserve">DIEZ </w:t>
      </w:r>
      <w:r w:rsidRPr="003C5564">
        <w:rPr>
          <w:rFonts w:ascii="Bookman Old Style" w:hAnsi="Bookman Old Style" w:cs="Tahoma"/>
          <w:b/>
          <w:sz w:val="22"/>
          <w:szCs w:val="22"/>
          <w:lang w:eastAsia="ar-SA"/>
        </w:rPr>
        <w:t>CENTAVOS DE DÓLAR DE LOS ESTADOS UNIDOS DE AMÉRICA (US$</w:t>
      </w:r>
      <w:r>
        <w:rPr>
          <w:rFonts w:ascii="Bookman Old Style" w:hAnsi="Bookman Old Style" w:cs="Tahoma"/>
          <w:b/>
          <w:sz w:val="22"/>
          <w:szCs w:val="22"/>
          <w:lang w:eastAsia="ar-SA"/>
        </w:rPr>
        <w:t>870.1</w:t>
      </w:r>
      <w:r w:rsidRPr="003C5564">
        <w:rPr>
          <w:rFonts w:ascii="Bookman Old Style" w:hAnsi="Bookman Old Style" w:cs="Tahoma"/>
          <w:b/>
          <w:sz w:val="22"/>
          <w:szCs w:val="22"/>
          <w:lang w:eastAsia="ar-SA"/>
        </w:rPr>
        <w:t>0)</w:t>
      </w:r>
      <w:r w:rsidRPr="003C5564">
        <w:rPr>
          <w:rFonts w:ascii="Bookman Old Style" w:hAnsi="Bookman Old Style" w:cs="Tahoma"/>
          <w:sz w:val="22"/>
          <w:szCs w:val="22"/>
          <w:lang w:eastAsia="ar-SA"/>
        </w:rPr>
        <w:t xml:space="preserve">, equivalente al diez por ciento del monto del contrato. Dicha garantía puede ser una Fianza emitida a favor del MAG por un Banco, compañía de seguros o sociedad afianzadora debidamente autorizados por la Superintendencia del Sistema Financiero para operar en El Salvador. Dicha garantía deberá exceder en sesenta días al plazo de la vigencia del contrato, de </w:t>
      </w:r>
      <w:r w:rsidRPr="003C5564">
        <w:rPr>
          <w:rFonts w:ascii="Bookman Old Style" w:hAnsi="Bookman Old Style" w:cs="Tahoma"/>
          <w:sz w:val="22"/>
          <w:szCs w:val="22"/>
          <w:lang w:eastAsia="ar-SA"/>
        </w:rPr>
        <w:lastRenderedPageBreak/>
        <w:t>conformidad con lo establecido en las bases de licitación y en el Art. 35 de la LACAP. Si no se presentare tal garantía en el plazo establecido se tendrá por caducado el presente contrato y se entenderá que “LA CONTRATISTA” ha desistido de su oferta haciéndose efectiva la garantía de mantenimiento de oferta, sin detrimento de la acción que le compete a “EL MAG”, para reclamar los daños y perjuicios resultantes</w:t>
      </w:r>
      <w:r w:rsidRPr="003C5564">
        <w:rPr>
          <w:rFonts w:ascii="Bookman Old Style" w:hAnsi="Bookman Old Style" w:cs="Arial"/>
          <w:sz w:val="22"/>
          <w:szCs w:val="22"/>
          <w:lang w:val="es-SV"/>
        </w:rPr>
        <w:t xml:space="preserve">. y b) </w:t>
      </w:r>
      <w:r w:rsidRPr="003C5564">
        <w:rPr>
          <w:rFonts w:ascii="Bookman Old Style" w:hAnsi="Bookman Old Style" w:cs="Arial"/>
          <w:b/>
          <w:sz w:val="22"/>
          <w:szCs w:val="22"/>
          <w:lang w:val="es-SV"/>
        </w:rPr>
        <w:t>GARANTIA DE BUENA CALIDAD DE BIENES</w:t>
      </w:r>
      <w:r w:rsidRPr="003C5564">
        <w:rPr>
          <w:rFonts w:ascii="Bookman Old Style" w:hAnsi="Bookman Old Style" w:cs="Arial"/>
          <w:sz w:val="22"/>
          <w:szCs w:val="22"/>
          <w:lang w:val="es-SV"/>
        </w:rPr>
        <w:t xml:space="preserve">. LA CONTRATISTA deberá otorgar una Garantía de Buena Calidad de Bienes, la que puede ser una Fianza emitida a favor del MAG, por un Banco, Compañía de Seguros o Sociedad Afianzadora debidamente autorizados por la Superintendencia del Sistema Financiero de El Salvador, para operar en El Salvador, por un monto igual al diez por ciento del monto final del contrato, y su vigencia será de DOCE MESES, contados a partir de la fecha de suscripción del acta de recepción y deberá entregarse en la Oficina de Adquisiciones y Contrataciones del MAG, dentro de los diez días hábiles posteriores a la fecha del acta de recepción; esta garantía será devuelta a LA CONTRATISTA una vez haya concluido el plazo de vigencia y no exista reclamo alguno de parte del Contratante. </w:t>
      </w:r>
      <w:r w:rsidRPr="003C5564">
        <w:rPr>
          <w:rFonts w:ascii="Bookman Old Style" w:hAnsi="Bookman Old Style" w:cs="Tahoma"/>
          <w:b/>
          <w:sz w:val="22"/>
          <w:szCs w:val="22"/>
        </w:rPr>
        <w:t>IX.- INCUMPLIMIENTO</w:t>
      </w:r>
      <w:r w:rsidRPr="003C5564">
        <w:rPr>
          <w:rFonts w:ascii="Bookman Old Style" w:hAnsi="Bookman Old Style" w:cs="Tahoma"/>
          <w:sz w:val="22"/>
          <w:szCs w:val="22"/>
        </w:rPr>
        <w:t xml:space="preserve">. En caso de mora de </w:t>
      </w:r>
      <w:r w:rsidRPr="003C5564">
        <w:rPr>
          <w:rFonts w:ascii="Bookman Old Style" w:hAnsi="Bookman Old Style" w:cs="Tahoma"/>
          <w:b/>
          <w:bCs/>
          <w:sz w:val="22"/>
          <w:szCs w:val="22"/>
        </w:rPr>
        <w:t>“</w:t>
      </w:r>
      <w:r w:rsidRPr="003C5564">
        <w:rPr>
          <w:rFonts w:ascii="Bookman Old Style" w:hAnsi="Bookman Old Style" w:cs="Tahoma"/>
          <w:b/>
          <w:sz w:val="22"/>
          <w:szCs w:val="22"/>
        </w:rPr>
        <w:t>LA CONTRATISTA</w:t>
      </w:r>
      <w:r w:rsidRPr="003C5564">
        <w:rPr>
          <w:rFonts w:ascii="Bookman Old Style" w:hAnsi="Bookman Old Style" w:cs="Tahoma"/>
          <w:b/>
          <w:bCs/>
          <w:sz w:val="22"/>
          <w:szCs w:val="22"/>
        </w:rPr>
        <w:t>”</w:t>
      </w:r>
      <w:r w:rsidRPr="003C5564">
        <w:rPr>
          <w:rFonts w:ascii="Bookman Old Style" w:hAnsi="Bookman Old Style" w:cs="Tahoma"/>
          <w:sz w:val="22"/>
          <w:szCs w:val="22"/>
        </w:rPr>
        <w:t xml:space="preserve"> en el cumplimiento de las obligaciones emanadas del presente contrato se le aplicarán las multas establecidas en el artículo ochenta y cinco de la Ley de Adquisiciones y Contrataciones de la Administración Pública.</w:t>
      </w:r>
      <w:r w:rsidRPr="003C5564">
        <w:rPr>
          <w:rFonts w:ascii="Bookman Old Style" w:hAnsi="Bookman Old Style" w:cs="Tahoma"/>
          <w:b/>
          <w:sz w:val="22"/>
          <w:szCs w:val="22"/>
        </w:rPr>
        <w:t>X.- CADUCIDAD</w:t>
      </w:r>
      <w:r w:rsidRPr="003C5564">
        <w:rPr>
          <w:rFonts w:ascii="Bookman Old Style" w:hAnsi="Bookman Old Style" w:cs="Tahoma"/>
          <w:color w:val="0000FF"/>
          <w:sz w:val="22"/>
          <w:szCs w:val="22"/>
        </w:rPr>
        <w:t xml:space="preserve">. </w:t>
      </w:r>
      <w:r w:rsidRPr="003C5564">
        <w:rPr>
          <w:rFonts w:ascii="Bookman Old Style" w:hAnsi="Bookman Old Style" w:cs="Tahoma"/>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3C5564">
        <w:rPr>
          <w:rFonts w:ascii="Bookman Old Style" w:hAnsi="Bookman Old Style"/>
          <w:color w:val="0000FF"/>
          <w:sz w:val="22"/>
          <w:szCs w:val="22"/>
        </w:rPr>
        <w:t>.</w:t>
      </w:r>
      <w:r w:rsidRPr="003C5564">
        <w:rPr>
          <w:rFonts w:ascii="Bookman Old Style" w:hAnsi="Bookman Old Style" w:cs="Tahoma"/>
          <w:b/>
          <w:sz w:val="22"/>
          <w:szCs w:val="22"/>
        </w:rPr>
        <w:t>XI.- PLAZO DE RECLAMOS</w:t>
      </w:r>
      <w:r w:rsidRPr="003C5564">
        <w:rPr>
          <w:rFonts w:ascii="Bookman Old Style" w:hAnsi="Bookman Old Style" w:cs="Tahoma"/>
          <w:sz w:val="22"/>
          <w:szCs w:val="22"/>
        </w:rPr>
        <w:t xml:space="preserve">. A partir de la recepción formal de los bienes objeto de este contrato, </w:t>
      </w:r>
      <w:r w:rsidRPr="003C5564">
        <w:rPr>
          <w:rFonts w:ascii="Bookman Old Style" w:hAnsi="Bookman Old Style" w:cs="Tahoma"/>
          <w:b/>
          <w:sz w:val="22"/>
          <w:szCs w:val="22"/>
        </w:rPr>
        <w:t xml:space="preserve">EL MAG </w:t>
      </w:r>
      <w:r w:rsidRPr="003C5564">
        <w:rPr>
          <w:rFonts w:ascii="Bookman Old Style" w:hAnsi="Bookman Old Style" w:cs="Tahoma"/>
          <w:sz w:val="22"/>
          <w:szCs w:val="22"/>
        </w:rPr>
        <w:t>tendrá un plazo de diez días hábiles para efectuar cualquier reclamo relacionado con el suministro. “</w:t>
      </w:r>
      <w:r w:rsidR="001C3342" w:rsidRPr="003C5564">
        <w:rPr>
          <w:rFonts w:ascii="Bookman Old Style" w:hAnsi="Bookman Old Style" w:cs="Tahoma"/>
          <w:b/>
          <w:sz w:val="22"/>
          <w:szCs w:val="22"/>
        </w:rPr>
        <w:fldChar w:fldCharType="begin"/>
      </w:r>
      <w:r w:rsidRPr="003C5564">
        <w:rPr>
          <w:rFonts w:ascii="Bookman Old Style" w:hAnsi="Bookman Old Style" w:cs="Tahoma"/>
          <w:b/>
          <w:sz w:val="22"/>
          <w:szCs w:val="22"/>
        </w:rPr>
        <w:instrText xml:space="preserve"> MERGEFIELD "Forma_como_se_denominara_el_Proveedor" </w:instrText>
      </w:r>
      <w:r w:rsidR="001C3342" w:rsidRPr="003C5564">
        <w:rPr>
          <w:rFonts w:ascii="Bookman Old Style" w:hAnsi="Bookman Old Style" w:cs="Tahoma"/>
          <w:b/>
          <w:sz w:val="22"/>
          <w:szCs w:val="22"/>
        </w:rPr>
        <w:fldChar w:fldCharType="separate"/>
      </w:r>
      <w:r w:rsidRPr="003C5564">
        <w:rPr>
          <w:rFonts w:ascii="Bookman Old Style" w:hAnsi="Bookman Old Style" w:cs="Tahoma"/>
          <w:b/>
          <w:sz w:val="22"/>
          <w:szCs w:val="22"/>
        </w:rPr>
        <w:t>LA CONTRATISTA</w:t>
      </w:r>
      <w:r w:rsidR="001C3342" w:rsidRPr="003C5564">
        <w:rPr>
          <w:rFonts w:ascii="Bookman Old Style" w:hAnsi="Bookman Old Style" w:cs="Tahoma"/>
          <w:b/>
          <w:sz w:val="22"/>
          <w:szCs w:val="22"/>
        </w:rPr>
        <w:fldChar w:fldCharType="end"/>
      </w:r>
      <w:r w:rsidRPr="003C5564">
        <w:rPr>
          <w:rFonts w:ascii="Bookman Old Style" w:hAnsi="Bookman Old Style" w:cs="Tahoma"/>
          <w:sz w:val="22"/>
          <w:szCs w:val="22"/>
        </w:rPr>
        <w:t xml:space="preserve">” deberá reponer o cumplir a satisfacción del MAG dentro del plazo establecido en la nota de reclamo, si </w:t>
      </w:r>
      <w:r w:rsidR="001C3342" w:rsidRPr="003C5564">
        <w:rPr>
          <w:rFonts w:ascii="Bookman Old Style" w:hAnsi="Bookman Old Style" w:cs="Tahoma"/>
          <w:b/>
          <w:sz w:val="22"/>
          <w:szCs w:val="22"/>
        </w:rPr>
        <w:fldChar w:fldCharType="begin"/>
      </w:r>
      <w:r w:rsidRPr="003C5564">
        <w:rPr>
          <w:rFonts w:ascii="Bookman Old Style" w:hAnsi="Bookman Old Style" w:cs="Tahoma"/>
          <w:b/>
          <w:sz w:val="22"/>
          <w:szCs w:val="22"/>
        </w:rPr>
        <w:instrText xml:space="preserve"> MERGEFIELD "Forma_como_se_denominara_el_Proveedor" </w:instrText>
      </w:r>
      <w:r w:rsidR="001C3342" w:rsidRPr="003C5564">
        <w:rPr>
          <w:rFonts w:ascii="Bookman Old Style" w:hAnsi="Bookman Old Style" w:cs="Tahoma"/>
          <w:b/>
          <w:sz w:val="22"/>
          <w:szCs w:val="22"/>
        </w:rPr>
        <w:fldChar w:fldCharType="separate"/>
      </w:r>
      <w:r w:rsidRPr="003C5564">
        <w:rPr>
          <w:rFonts w:ascii="Bookman Old Style" w:hAnsi="Bookman Old Style" w:cs="Tahoma"/>
          <w:b/>
          <w:sz w:val="22"/>
          <w:szCs w:val="22"/>
        </w:rPr>
        <w:t>LA CONTRATISTA</w:t>
      </w:r>
      <w:r w:rsidR="001C3342" w:rsidRPr="003C5564">
        <w:rPr>
          <w:rFonts w:ascii="Bookman Old Style" w:hAnsi="Bookman Old Style" w:cs="Tahoma"/>
          <w:b/>
          <w:sz w:val="22"/>
          <w:szCs w:val="22"/>
        </w:rPr>
        <w:fldChar w:fldCharType="end"/>
      </w:r>
      <w:r w:rsidRPr="003C5564">
        <w:rPr>
          <w:rFonts w:ascii="Bookman Old Style" w:hAnsi="Bookman Old Style" w:cs="Tahoma"/>
          <w:sz w:val="22"/>
          <w:szCs w:val="22"/>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suministro</w:t>
      </w:r>
      <w:r w:rsidRPr="003C5564">
        <w:rPr>
          <w:rFonts w:ascii="Bookman Old Style" w:hAnsi="Bookman Old Style"/>
          <w:color w:val="0000FF"/>
          <w:sz w:val="22"/>
          <w:szCs w:val="22"/>
          <w:lang w:val="es-ES_tradnl"/>
        </w:rPr>
        <w:t xml:space="preserve">. </w:t>
      </w:r>
      <w:r w:rsidRPr="003C5564">
        <w:rPr>
          <w:rFonts w:ascii="Bookman Old Style" w:hAnsi="Bookman Old Style" w:cs="Arial"/>
          <w:b/>
          <w:bCs/>
          <w:sz w:val="22"/>
          <w:szCs w:val="22"/>
        </w:rPr>
        <w:t xml:space="preserve">XII.- </w:t>
      </w:r>
      <w:r w:rsidRPr="003C5564">
        <w:rPr>
          <w:rFonts w:ascii="Bookman Old Style" w:hAnsi="Bookman Old Style"/>
          <w:b/>
          <w:sz w:val="22"/>
          <w:szCs w:val="22"/>
        </w:rPr>
        <w:t>MODIFICACIONES, PRORROGAS Y PROHIBICIONES EN EL CONTRATO.</w:t>
      </w:r>
      <w:r w:rsidRPr="003C5564">
        <w:rPr>
          <w:rFonts w:ascii="Bookman Old Style" w:hAnsi="Bookman Old Style"/>
          <w:sz w:val="22"/>
          <w:szCs w:val="22"/>
        </w:rPr>
        <w:t xml:space="preserve">“EL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w:t>
      </w:r>
      <w:r w:rsidRPr="003C5564">
        <w:rPr>
          <w:rFonts w:ascii="Bookman Old Style" w:hAnsi="Bookman Old Style"/>
          <w:sz w:val="22"/>
          <w:szCs w:val="22"/>
        </w:rPr>
        <w:lastRenderedPageBreak/>
        <w:t>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Pr="003C5564">
        <w:rPr>
          <w:rFonts w:ascii="Bookman Old Style" w:hAnsi="Bookman Old Style" w:cs="Arial"/>
          <w:bCs/>
          <w:sz w:val="22"/>
          <w:szCs w:val="22"/>
        </w:rPr>
        <w:t>.</w:t>
      </w:r>
      <w:r w:rsidRPr="003C5564">
        <w:rPr>
          <w:rFonts w:ascii="Bookman Old Style" w:hAnsi="Bookman Old Style" w:cs="Tahoma"/>
          <w:b/>
          <w:sz w:val="22"/>
          <w:szCs w:val="22"/>
          <w:lang w:eastAsia="ar-SA"/>
        </w:rPr>
        <w:t>XIII.- DOCUMENTOS CONTRACTUALES.</w:t>
      </w:r>
      <w:r w:rsidRPr="003C5564">
        <w:rPr>
          <w:rFonts w:ascii="Bookman Old Style" w:hAnsi="Bookman Old Style" w:cs="Tahoma"/>
          <w:sz w:val="22"/>
          <w:szCs w:val="22"/>
          <w:lang w:eastAsia="ar-SA"/>
        </w:rPr>
        <w:t xml:space="preserve"> Forman parte integrante del presente contrato los siguientes documentos: a. Bases de licitación; b. Oferta de fecha diez de agosto de dos mil dieciséis; c. Resolución de adjudicación; d. Garantías; e. Resoluciones modificativas y otros documentos que emanaren del presente contrato, l</w:t>
      </w:r>
      <w:r w:rsidRPr="003C5564">
        <w:rPr>
          <w:rFonts w:ascii="Bookman Old Style" w:hAnsi="Bookman Old Style" w:cs="Tahoma"/>
          <w:sz w:val="22"/>
          <w:szCs w:val="22"/>
          <w:lang w:val="es-ES_tradnl"/>
        </w:rPr>
        <w:t>os cuales son complementarios entre si y se interpretaran en forma conjunta.</w:t>
      </w:r>
      <w:r w:rsidRPr="003C5564">
        <w:rPr>
          <w:rFonts w:ascii="Bookman Old Style" w:hAnsi="Bookman Old Style" w:cs="Tahoma"/>
          <w:b/>
          <w:sz w:val="22"/>
          <w:szCs w:val="22"/>
          <w:lang w:eastAsia="ar-SA"/>
        </w:rPr>
        <w:t>XIV.- INTERPRETACIÓN DEL CONTRATO.</w:t>
      </w:r>
      <w:r w:rsidRPr="003C5564">
        <w:rPr>
          <w:rFonts w:ascii="Bookman Old Style" w:hAnsi="Bookman Old Style" w:cs="Tahoma"/>
          <w:sz w:val="22"/>
          <w:szCs w:val="22"/>
          <w:lang w:eastAsia="ar-SA"/>
        </w:rPr>
        <w:t xml:space="preserve"> De conformidad con el artículo ochenta y cuatro Incisos primero y segundo de la LACAP, “EL MAG” se reserva la facultad de interpretar el presente contrato de conformidad con la Constitución de la República, el Tratado de Libre Comercio entre Estados Unidos y los países de Centro América y República Dominicana (DR-CAFTA), la Ley de Adquisiciones y Contrataciones de la Administración Pública (LACAP) y su Reglamento,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MAG”, las cuales le serán comunicadas por medio de los  Administradores del Contrato. </w:t>
      </w:r>
      <w:r w:rsidRPr="003C5564">
        <w:rPr>
          <w:rFonts w:ascii="Bookman Old Style" w:hAnsi="Bookman Old Style" w:cs="Tahoma"/>
          <w:b/>
          <w:sz w:val="22"/>
          <w:szCs w:val="22"/>
          <w:lang w:eastAsia="ar-SA"/>
        </w:rPr>
        <w:t>XV.- CASO FORTUITO Y FUERZA MAYOR.</w:t>
      </w:r>
      <w:r w:rsidRPr="003C5564">
        <w:rPr>
          <w:rFonts w:ascii="Bookman Old Style" w:hAnsi="Bookman Old Style" w:cs="Tahoma"/>
          <w:sz w:val="22"/>
          <w:szCs w:val="22"/>
        </w:rPr>
        <w:t xml:space="preserve">En situaciones de caso fortuito o fuerza mayor y de conformidad con el artículo ochenta y seis de la Ley de Adquisiciones y Contrataciones de la Administración Pública, </w:t>
      </w:r>
      <w:r w:rsidRPr="003C5564">
        <w:rPr>
          <w:rFonts w:ascii="Bookman Old Style" w:hAnsi="Bookman Old Style" w:cs="Tahoma"/>
          <w:b/>
          <w:bCs/>
          <w:sz w:val="22"/>
          <w:szCs w:val="22"/>
        </w:rPr>
        <w:t>“</w:t>
      </w:r>
      <w:r w:rsidRPr="003C5564">
        <w:rPr>
          <w:rFonts w:ascii="Bookman Old Style" w:hAnsi="Bookman Old Style" w:cs="Tahoma"/>
          <w:b/>
          <w:sz w:val="22"/>
          <w:szCs w:val="22"/>
        </w:rPr>
        <w:t>LA CONTRATISTA”</w:t>
      </w:r>
      <w:r w:rsidRPr="003C5564">
        <w:rPr>
          <w:rFonts w:ascii="Bookman Old Style" w:hAnsi="Bookman Old Style" w:cs="Tahoma"/>
          <w:sz w:val="22"/>
          <w:szCs w:val="22"/>
        </w:rPr>
        <w:t xml:space="preserve">, previa justificación y entrega de la prórroga de la garantía cuando proceda podrá </w:t>
      </w:r>
      <w:r w:rsidRPr="003C5564">
        <w:rPr>
          <w:rFonts w:ascii="Bookman Old Style" w:hAnsi="Bookman Old Style" w:cs="Tahoma"/>
          <w:sz w:val="22"/>
          <w:szCs w:val="22"/>
        </w:rPr>
        <w:lastRenderedPageBreak/>
        <w:t xml:space="preserve">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3C5564">
        <w:rPr>
          <w:rFonts w:ascii="Bookman Old Style" w:hAnsi="Bookman Old Style" w:cs="Tahoma"/>
          <w:b/>
          <w:sz w:val="22"/>
          <w:szCs w:val="22"/>
        </w:rPr>
        <w:t>XVI.- SOLUCIÓN DE CONFLICTOS</w:t>
      </w:r>
      <w:r w:rsidRPr="003C5564">
        <w:rPr>
          <w:rFonts w:ascii="Bookman Old Style" w:hAnsi="Bookman Old Style" w:cs="Tahoma"/>
          <w:sz w:val="22"/>
          <w:szCs w:val="22"/>
        </w:rPr>
        <w:t xml:space="preserve">. Para resolver las diferencias o conflictos que surgieren durante la ejecución del contrato, se acudirá a los tribunales comunes. </w:t>
      </w:r>
      <w:r w:rsidRPr="003C5564">
        <w:rPr>
          <w:rFonts w:ascii="Bookman Old Style" w:hAnsi="Bookman Old Style" w:cs="Tahoma"/>
          <w:b/>
          <w:sz w:val="22"/>
          <w:szCs w:val="22"/>
        </w:rPr>
        <w:t>XVII.- TERMINACIÓN BILATERAL</w:t>
      </w:r>
      <w:r w:rsidRPr="003C5564">
        <w:rPr>
          <w:rFonts w:ascii="Bookman Old Style" w:hAnsi="Bookman Old Style" w:cs="Tahoma"/>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3C5564">
        <w:rPr>
          <w:rFonts w:ascii="Bookman Old Style" w:hAnsi="Bookman Old Style" w:cs="Tahoma"/>
          <w:b/>
          <w:sz w:val="22"/>
          <w:szCs w:val="22"/>
        </w:rPr>
        <w:t>XVIII.- DOMICILIO ESPECIAL</w:t>
      </w:r>
      <w:r w:rsidRPr="003C5564">
        <w:rPr>
          <w:rFonts w:ascii="Bookman Old Style" w:hAnsi="Bookman Old Style" w:cs="Tahoma"/>
          <w:sz w:val="22"/>
          <w:szCs w:val="22"/>
        </w:rPr>
        <w:t xml:space="preserve">. Para los efectos jurisdiccionales de este contrato las partes señalan como domicilio especial el de la ciudad de Santa Tecla, a la competencia de cuyos tribunales se someten. </w:t>
      </w:r>
      <w:r w:rsidRPr="003C5564">
        <w:rPr>
          <w:rFonts w:ascii="Bookman Old Style" w:hAnsi="Bookman Old Style" w:cs="Tahoma"/>
          <w:b/>
          <w:sz w:val="22"/>
          <w:szCs w:val="22"/>
        </w:rPr>
        <w:t xml:space="preserve">XIX.- </w:t>
      </w:r>
      <w:r w:rsidRPr="003C5564">
        <w:rPr>
          <w:rFonts w:ascii="Bookman Old Style" w:hAnsi="Bookman Old Style" w:cs="Calibri"/>
          <w:b/>
          <w:bCs/>
          <w:sz w:val="22"/>
          <w:szCs w:val="22"/>
          <w:lang w:val="es-ES_tradnl"/>
        </w:rPr>
        <w:t xml:space="preserve">CUMPLIMIENTO POR PARTE DE LA CONTRATISTA DE LA NORMATIVA QUE PROHÍBE EL TRABAJO INFANTIL Y BRINDA PROTECCIÓN A LA PERSONA ADOLESCENTE TRABAJADORA. </w:t>
      </w:r>
      <w:r w:rsidRPr="003C5564">
        <w:rPr>
          <w:rFonts w:ascii="Bookman Old Style" w:hAnsi="Bookman Old Style" w:cs="Calibri"/>
          <w:sz w:val="22"/>
          <w:szCs w:val="22"/>
          <w:lang w:val="es-ES_tradnl"/>
        </w:rPr>
        <w:t>Si durante la ejecución el contrato se comprobare 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951DCD">
        <w:rPr>
          <w:rFonts w:ascii="Bookman Old Style" w:hAnsi="Bookman Old Style" w:cs="Tahoma"/>
          <w:b/>
          <w:sz w:val="21"/>
          <w:szCs w:val="21"/>
        </w:rPr>
        <w:t>XX</w:t>
      </w:r>
      <w:r w:rsidRPr="00951DCD">
        <w:rPr>
          <w:rFonts w:ascii="Bookman Old Style" w:hAnsi="Bookman Old Style" w:cs="Tahoma"/>
          <w:b/>
          <w:color w:val="0000FF"/>
          <w:sz w:val="21"/>
          <w:szCs w:val="21"/>
        </w:rPr>
        <w:t>.-</w:t>
      </w:r>
      <w:r w:rsidRPr="00951DCD">
        <w:rPr>
          <w:rFonts w:ascii="Bookman Old Style" w:hAnsi="Bookman Old Style" w:cs="Tahoma"/>
          <w:b/>
          <w:sz w:val="21"/>
          <w:szCs w:val="21"/>
          <w:lang w:eastAsia="ar-SA"/>
        </w:rPr>
        <w:t>NOTIFICACIONES.</w:t>
      </w:r>
      <w:r>
        <w:rPr>
          <w:rFonts w:ascii="Bookman Old Style" w:hAnsi="Bookman Old Style" w:cs="Tahoma"/>
          <w:b/>
          <w:sz w:val="21"/>
          <w:szCs w:val="21"/>
          <w:lang w:eastAsia="ar-SA"/>
        </w:rPr>
        <w:t xml:space="preserve"> </w:t>
      </w:r>
      <w:r w:rsidRPr="00951DCD">
        <w:rPr>
          <w:rFonts w:ascii="Bookman Old Style" w:hAnsi="Bookman Old Style" w:cs="Tahoma"/>
          <w:sz w:val="21"/>
          <w:szCs w:val="21"/>
          <w:lang w:eastAsia="ar-SA"/>
        </w:rPr>
        <w:t xml:space="preserve">Todas las notificaciones referentes a la ejecución de este contrato, serán válidas solamente cuando sean hechas por escrito a “EL MAG” a través del Administrador del Contrato, en las oficinas de la Dirección General de Ganadería, en el tercer nivel del edificio “D” del Ministerio de Agricultura y Ganadería, ubicadas en Final Primera Avenida Norte, </w:t>
      </w:r>
      <w:r w:rsidRPr="00951DCD">
        <w:rPr>
          <w:rFonts w:ascii="Bookman Old Style" w:hAnsi="Bookman Old Style" w:cs="Tahoma"/>
          <w:sz w:val="21"/>
          <w:szCs w:val="21"/>
          <w:lang w:eastAsia="ar-SA"/>
        </w:rPr>
        <w:lastRenderedPageBreak/>
        <w:t>Trece Calle Oriente y Avenida Manuel Gallardo, Santa Tecla, departamento de La Libertad, y a “</w:t>
      </w:r>
      <w:r>
        <w:rPr>
          <w:rFonts w:ascii="Bookman Old Style" w:hAnsi="Bookman Old Style" w:cs="Tahoma"/>
          <w:sz w:val="21"/>
          <w:szCs w:val="21"/>
          <w:lang w:eastAsia="ar-SA"/>
        </w:rPr>
        <w:t>LA CONTRATISTA</w:t>
      </w:r>
      <w:r w:rsidRPr="00951DCD">
        <w:rPr>
          <w:rFonts w:ascii="Bookman Old Style" w:hAnsi="Bookman Old Style" w:cs="Tahoma"/>
          <w:sz w:val="21"/>
          <w:szCs w:val="21"/>
          <w:lang w:eastAsia="ar-SA"/>
        </w:rPr>
        <w:t xml:space="preserve">” a través de los ingenieros Mario Christopher Selva y Walter Stanley Barrios López, </w:t>
      </w:r>
      <w:r w:rsidR="00F52FC1" w:rsidRPr="00F52FC1">
        <w:rPr>
          <w:rFonts w:ascii="Bookman Old Style" w:hAnsi="Bookman Old Style" w:cs="Tahoma"/>
          <w:sz w:val="21"/>
          <w:szCs w:val="21"/>
          <w:highlight w:val="black"/>
          <w:lang w:eastAsia="ar-SA"/>
        </w:rPr>
        <w:t>************************************************</w:t>
      </w:r>
      <w:r>
        <w:rPr>
          <w:rFonts w:ascii="Bookman Old Style" w:hAnsi="Bookman Old Style" w:cs="Tahoma"/>
          <w:sz w:val="21"/>
          <w:szCs w:val="21"/>
          <w:lang w:eastAsia="ar-SA"/>
        </w:rPr>
        <w:t xml:space="preserve"> </w:t>
      </w:r>
      <w:r w:rsidRPr="00951DCD">
        <w:rPr>
          <w:rFonts w:ascii="Bookman Old Style" w:hAnsi="Bookman Old Style" w:cs="Tahoma"/>
          <w:sz w:val="21"/>
          <w:szCs w:val="21"/>
          <w:lang w:eastAsia="ar-SA"/>
        </w:rPr>
        <w:t>Así nos expresamos los otorgantes, quiénes enterados y conscientes de los términos y efectos legales del presente contrato, por convenir así a los intereses de nuestros representados, ratificamos su contenido, en fe de lo cual firmamos, en la ciudad de San Salvador, a</w:t>
      </w:r>
      <w:r>
        <w:rPr>
          <w:rFonts w:ascii="Bookman Old Style" w:hAnsi="Bookman Old Style" w:cs="Tahoma"/>
          <w:sz w:val="21"/>
          <w:szCs w:val="21"/>
          <w:lang w:eastAsia="ar-SA"/>
        </w:rPr>
        <w:t xml:space="preserve"> </w:t>
      </w:r>
      <w:r w:rsidRPr="00951DCD">
        <w:rPr>
          <w:rFonts w:ascii="Bookman Old Style" w:hAnsi="Bookman Old Style" w:cs="Tahoma"/>
          <w:sz w:val="21"/>
          <w:szCs w:val="21"/>
          <w:lang w:eastAsia="ar-SA"/>
        </w:rPr>
        <w:t>l</w:t>
      </w:r>
      <w:r>
        <w:rPr>
          <w:rFonts w:ascii="Bookman Old Style" w:hAnsi="Bookman Old Style" w:cs="Tahoma"/>
          <w:sz w:val="21"/>
          <w:szCs w:val="21"/>
          <w:lang w:eastAsia="ar-SA"/>
        </w:rPr>
        <w:t xml:space="preserve">os un </w:t>
      </w:r>
      <w:r w:rsidRPr="00951DCD">
        <w:rPr>
          <w:rFonts w:ascii="Bookman Old Style" w:hAnsi="Bookman Old Style" w:cs="Tahoma"/>
          <w:sz w:val="21"/>
          <w:szCs w:val="21"/>
          <w:lang w:eastAsia="ar-SA"/>
        </w:rPr>
        <w:t>día</w:t>
      </w:r>
      <w:r>
        <w:rPr>
          <w:rFonts w:ascii="Bookman Old Style" w:hAnsi="Bookman Old Style" w:cs="Tahoma"/>
          <w:sz w:val="21"/>
          <w:szCs w:val="21"/>
          <w:lang w:eastAsia="ar-SA"/>
        </w:rPr>
        <w:t>s</w:t>
      </w:r>
      <w:r w:rsidRPr="00951DCD">
        <w:rPr>
          <w:rFonts w:ascii="Bookman Old Style" w:hAnsi="Bookman Old Style" w:cs="Tahoma"/>
          <w:sz w:val="21"/>
          <w:szCs w:val="21"/>
          <w:lang w:eastAsia="ar-SA"/>
        </w:rPr>
        <w:t xml:space="preserve"> del mes de noviembre</w:t>
      </w:r>
      <w:r>
        <w:rPr>
          <w:rFonts w:ascii="Bookman Old Style" w:hAnsi="Bookman Old Style" w:cs="Tahoma"/>
          <w:sz w:val="21"/>
          <w:szCs w:val="21"/>
          <w:lang w:eastAsia="ar-SA"/>
        </w:rPr>
        <w:t xml:space="preserve"> </w:t>
      </w:r>
      <w:r w:rsidRPr="00951DCD">
        <w:rPr>
          <w:rFonts w:ascii="Bookman Old Style" w:hAnsi="Bookman Old Style" w:cs="Tahoma"/>
          <w:sz w:val="21"/>
          <w:szCs w:val="21"/>
          <w:lang w:eastAsia="ar-SA"/>
        </w:rPr>
        <w:t>de dos mil dieciséis.-</w:t>
      </w:r>
    </w:p>
    <w:p w:rsidR="00AC0033" w:rsidRDefault="00AC0033" w:rsidP="00721ECE">
      <w:pPr>
        <w:spacing w:line="360" w:lineRule="auto"/>
        <w:jc w:val="center"/>
        <w:rPr>
          <w:rFonts w:ascii="Arial" w:hAnsi="Arial" w:cs="Arial"/>
          <w:b/>
          <w:bCs/>
          <w:color w:val="0000FF"/>
          <w:sz w:val="21"/>
          <w:szCs w:val="21"/>
        </w:rPr>
      </w:pPr>
    </w:p>
    <w:p w:rsidR="00AC0033" w:rsidRDefault="00AC0033" w:rsidP="00721ECE">
      <w:pPr>
        <w:spacing w:line="360" w:lineRule="auto"/>
        <w:jc w:val="center"/>
        <w:rPr>
          <w:rFonts w:ascii="Arial" w:hAnsi="Arial" w:cs="Arial"/>
          <w:b/>
          <w:bCs/>
          <w:color w:val="0000FF"/>
          <w:sz w:val="21"/>
          <w:szCs w:val="21"/>
        </w:rPr>
      </w:pPr>
    </w:p>
    <w:p w:rsidR="00AC0033" w:rsidRPr="00B243E0" w:rsidRDefault="00AC0033" w:rsidP="00721EC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AC0033" w:rsidRPr="000566A4" w:rsidRDefault="00AC0033" w:rsidP="00721ECE">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AC0033" w:rsidRDefault="00AC0033" w:rsidP="00721ECE">
      <w:pPr>
        <w:pStyle w:val="Ttulo"/>
        <w:tabs>
          <w:tab w:val="left" w:pos="1968"/>
          <w:tab w:val="center" w:pos="4419"/>
          <w:tab w:val="left" w:pos="6641"/>
        </w:tabs>
        <w:outlineLvl w:val="0"/>
        <w:rPr>
          <w:rFonts w:ascii="Palatino Linotype" w:hAnsi="Palatino Linotype"/>
          <w:sz w:val="20"/>
        </w:rPr>
      </w:pPr>
    </w:p>
    <w:p w:rsidR="00AC0033" w:rsidRPr="00721ECE" w:rsidRDefault="00AC0033" w:rsidP="003E2576">
      <w:pPr>
        <w:tabs>
          <w:tab w:val="left" w:pos="360"/>
        </w:tabs>
        <w:jc w:val="both"/>
        <w:rPr>
          <w:rFonts w:ascii="Palatino Linotype" w:hAnsi="Palatino Linotype" w:cs="Arial"/>
          <w:sz w:val="22"/>
          <w:szCs w:val="22"/>
        </w:rPr>
      </w:pPr>
    </w:p>
    <w:p w:rsidR="00AC0033" w:rsidRDefault="00AC0033">
      <w:pPr>
        <w:rPr>
          <w:rFonts w:ascii="Palatino Linotype" w:hAnsi="Palatino Linotype"/>
          <w:color w:val="0000FF"/>
        </w:rPr>
      </w:pPr>
    </w:p>
    <w:p w:rsidR="00AC0033" w:rsidRDefault="00AC0033">
      <w:pPr>
        <w:rPr>
          <w:rFonts w:ascii="Palatino Linotype" w:hAnsi="Palatino Linotype"/>
          <w:color w:val="0000FF"/>
        </w:rPr>
      </w:pPr>
    </w:p>
    <w:p w:rsidR="00AC0033" w:rsidRDefault="00AC0033">
      <w:pPr>
        <w:rPr>
          <w:rFonts w:ascii="Palatino Linotype" w:hAnsi="Palatino Linotype"/>
          <w:color w:val="0000FF"/>
        </w:rPr>
      </w:pPr>
    </w:p>
    <w:p w:rsidR="00AC0033" w:rsidRDefault="00AC0033">
      <w:pPr>
        <w:rPr>
          <w:rFonts w:ascii="Palatino Linotype" w:hAnsi="Palatino Linotype"/>
          <w:color w:val="0000FF"/>
        </w:rPr>
      </w:pPr>
    </w:p>
    <w:p w:rsidR="00AC0033" w:rsidRDefault="00AC0033">
      <w:pPr>
        <w:rPr>
          <w:rFonts w:ascii="Palatino Linotype" w:hAnsi="Palatino Linotype"/>
          <w:color w:val="0000FF"/>
        </w:rPr>
      </w:pPr>
    </w:p>
    <w:sectPr w:rsidR="00AC0033" w:rsidSect="002E23F3">
      <w:footerReference w:type="default" r:id="rId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88" w:rsidRDefault="00CC2888" w:rsidP="00483D4E">
      <w:r>
        <w:separator/>
      </w:r>
    </w:p>
  </w:endnote>
  <w:endnote w:type="continuationSeparator" w:id="1">
    <w:p w:rsidR="00CC2888" w:rsidRDefault="00CC2888" w:rsidP="00483D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33" w:rsidRDefault="001C3342">
    <w:pPr>
      <w:pStyle w:val="Piedepgina"/>
      <w:jc w:val="center"/>
    </w:pPr>
    <w:fldSimple w:instr="PAGE   \* MERGEFORMAT">
      <w:r w:rsidR="00F52FC1">
        <w:rPr>
          <w:noProof/>
        </w:rPr>
        <w:t>5</w:t>
      </w:r>
    </w:fldSimple>
  </w:p>
  <w:p w:rsidR="00AC0033" w:rsidRDefault="00AC00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88" w:rsidRDefault="00CC2888" w:rsidP="00483D4E">
      <w:r>
        <w:separator/>
      </w:r>
    </w:p>
  </w:footnote>
  <w:footnote w:type="continuationSeparator" w:id="1">
    <w:p w:rsidR="00CC2888" w:rsidRDefault="00CC2888" w:rsidP="00483D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7AC"/>
    <w:rsid w:val="000159E0"/>
    <w:rsid w:val="00016102"/>
    <w:rsid w:val="000566A4"/>
    <w:rsid w:val="00094925"/>
    <w:rsid w:val="000B5FAA"/>
    <w:rsid w:val="000F0941"/>
    <w:rsid w:val="001165C3"/>
    <w:rsid w:val="0013749C"/>
    <w:rsid w:val="00150328"/>
    <w:rsid w:val="001573B5"/>
    <w:rsid w:val="001708E2"/>
    <w:rsid w:val="001778FF"/>
    <w:rsid w:val="00195EA4"/>
    <w:rsid w:val="001A22DE"/>
    <w:rsid w:val="001C3342"/>
    <w:rsid w:val="001F0E49"/>
    <w:rsid w:val="002374BF"/>
    <w:rsid w:val="002661EC"/>
    <w:rsid w:val="00286EEE"/>
    <w:rsid w:val="00295163"/>
    <w:rsid w:val="002A0440"/>
    <w:rsid w:val="002A16D0"/>
    <w:rsid w:val="002C02F8"/>
    <w:rsid w:val="002E23F3"/>
    <w:rsid w:val="002F1232"/>
    <w:rsid w:val="003143AD"/>
    <w:rsid w:val="0031479F"/>
    <w:rsid w:val="00315EB6"/>
    <w:rsid w:val="003328DF"/>
    <w:rsid w:val="00342E8B"/>
    <w:rsid w:val="003462DD"/>
    <w:rsid w:val="003B5E9C"/>
    <w:rsid w:val="003C5564"/>
    <w:rsid w:val="003D3CF8"/>
    <w:rsid w:val="003E2576"/>
    <w:rsid w:val="003F2BC3"/>
    <w:rsid w:val="00430D81"/>
    <w:rsid w:val="00483D4E"/>
    <w:rsid w:val="004B759E"/>
    <w:rsid w:val="00501438"/>
    <w:rsid w:val="005076F8"/>
    <w:rsid w:val="00515850"/>
    <w:rsid w:val="00527A30"/>
    <w:rsid w:val="00530B85"/>
    <w:rsid w:val="005524F5"/>
    <w:rsid w:val="00575E34"/>
    <w:rsid w:val="00576F78"/>
    <w:rsid w:val="0059588C"/>
    <w:rsid w:val="005B2C86"/>
    <w:rsid w:val="005F60D0"/>
    <w:rsid w:val="0064002C"/>
    <w:rsid w:val="00670B6A"/>
    <w:rsid w:val="006713DF"/>
    <w:rsid w:val="0067737E"/>
    <w:rsid w:val="00682E6F"/>
    <w:rsid w:val="00690C93"/>
    <w:rsid w:val="00691C1E"/>
    <w:rsid w:val="006D7F74"/>
    <w:rsid w:val="00717765"/>
    <w:rsid w:val="00721ECE"/>
    <w:rsid w:val="00794880"/>
    <w:rsid w:val="007B232D"/>
    <w:rsid w:val="007C6684"/>
    <w:rsid w:val="007C7413"/>
    <w:rsid w:val="007E3490"/>
    <w:rsid w:val="007E7776"/>
    <w:rsid w:val="007F0272"/>
    <w:rsid w:val="007F68A2"/>
    <w:rsid w:val="008A0BEC"/>
    <w:rsid w:val="008B198C"/>
    <w:rsid w:val="008C6F9E"/>
    <w:rsid w:val="008E0D56"/>
    <w:rsid w:val="008F58E4"/>
    <w:rsid w:val="009470E6"/>
    <w:rsid w:val="00951DCD"/>
    <w:rsid w:val="0097799C"/>
    <w:rsid w:val="00980684"/>
    <w:rsid w:val="00983CBC"/>
    <w:rsid w:val="00A1455F"/>
    <w:rsid w:val="00A45449"/>
    <w:rsid w:val="00A4544D"/>
    <w:rsid w:val="00A50F92"/>
    <w:rsid w:val="00A826FD"/>
    <w:rsid w:val="00AB15DB"/>
    <w:rsid w:val="00AC0033"/>
    <w:rsid w:val="00AC3815"/>
    <w:rsid w:val="00AD2A84"/>
    <w:rsid w:val="00B243E0"/>
    <w:rsid w:val="00B55D55"/>
    <w:rsid w:val="00B57743"/>
    <w:rsid w:val="00B62420"/>
    <w:rsid w:val="00B63427"/>
    <w:rsid w:val="00B63BFA"/>
    <w:rsid w:val="00B65B53"/>
    <w:rsid w:val="00B7163C"/>
    <w:rsid w:val="00B931A0"/>
    <w:rsid w:val="00B937AC"/>
    <w:rsid w:val="00BB20BB"/>
    <w:rsid w:val="00BC071C"/>
    <w:rsid w:val="00BE79B7"/>
    <w:rsid w:val="00BF4421"/>
    <w:rsid w:val="00C0222F"/>
    <w:rsid w:val="00C32D98"/>
    <w:rsid w:val="00C46D95"/>
    <w:rsid w:val="00C5699B"/>
    <w:rsid w:val="00C56AC8"/>
    <w:rsid w:val="00C57E66"/>
    <w:rsid w:val="00C7050B"/>
    <w:rsid w:val="00C94870"/>
    <w:rsid w:val="00CC058B"/>
    <w:rsid w:val="00CC2888"/>
    <w:rsid w:val="00D3697D"/>
    <w:rsid w:val="00D63704"/>
    <w:rsid w:val="00D65862"/>
    <w:rsid w:val="00D67703"/>
    <w:rsid w:val="00D84CFA"/>
    <w:rsid w:val="00DD2A5B"/>
    <w:rsid w:val="00DF1BF1"/>
    <w:rsid w:val="00E063D4"/>
    <w:rsid w:val="00E227C9"/>
    <w:rsid w:val="00E4194A"/>
    <w:rsid w:val="00E433AF"/>
    <w:rsid w:val="00E61C1A"/>
    <w:rsid w:val="00E9105C"/>
    <w:rsid w:val="00E96D11"/>
    <w:rsid w:val="00EB38C1"/>
    <w:rsid w:val="00EC1F0E"/>
    <w:rsid w:val="00ED7FD6"/>
    <w:rsid w:val="00EE0342"/>
    <w:rsid w:val="00F44388"/>
    <w:rsid w:val="00F52FC1"/>
    <w:rsid w:val="00F60B6A"/>
    <w:rsid w:val="00F66A8C"/>
    <w:rsid w:val="00F914E1"/>
    <w:rsid w:val="00F922E8"/>
    <w:rsid w:val="00FB0A39"/>
    <w:rsid w:val="00FB3F9A"/>
    <w:rsid w:val="00FD046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7AC"/>
    <w:rPr>
      <w:rFonts w:ascii="Times New Roman" w:eastAsia="Times New Roman" w:hAnsi="Times New Roman"/>
      <w:sz w:val="24"/>
      <w:szCs w:val="24"/>
      <w:lang w:val="es-ES" w:eastAsia="es-ES"/>
    </w:rPr>
  </w:style>
  <w:style w:type="paragraph" w:styleId="Ttulo3">
    <w:name w:val="heading 3"/>
    <w:basedOn w:val="Normal"/>
    <w:next w:val="Normal"/>
    <w:link w:val="Ttulo3Car"/>
    <w:uiPriority w:val="99"/>
    <w:qFormat/>
    <w:rsid w:val="00B937AC"/>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937AC"/>
    <w:rPr>
      <w:rFonts w:ascii="Times New Roman Bold" w:hAnsi="Times New Roman Bold" w:cs="Times New Roman"/>
      <w:b/>
      <w:sz w:val="20"/>
      <w:szCs w:val="20"/>
      <w:lang w:val="en-US" w:eastAsia="es-ES"/>
    </w:rPr>
  </w:style>
  <w:style w:type="character" w:styleId="Refdecomentario">
    <w:name w:val="annotation reference"/>
    <w:basedOn w:val="Fuentedeprrafopredeter"/>
    <w:uiPriority w:val="99"/>
    <w:semiHidden/>
    <w:rsid w:val="00342E8B"/>
    <w:rPr>
      <w:rFonts w:cs="Times New Roman"/>
      <w:sz w:val="16"/>
      <w:szCs w:val="16"/>
    </w:rPr>
  </w:style>
  <w:style w:type="paragraph" w:styleId="Textocomentario">
    <w:name w:val="annotation text"/>
    <w:basedOn w:val="Normal"/>
    <w:link w:val="TextocomentarioCar"/>
    <w:uiPriority w:val="99"/>
    <w:semiHidden/>
    <w:rsid w:val="00342E8B"/>
    <w:rPr>
      <w:sz w:val="20"/>
      <w:szCs w:val="20"/>
    </w:rPr>
  </w:style>
  <w:style w:type="character" w:customStyle="1" w:styleId="TextocomentarioCar">
    <w:name w:val="Texto comentario Car"/>
    <w:basedOn w:val="Fuentedeprrafopredeter"/>
    <w:link w:val="Textocomentario"/>
    <w:uiPriority w:val="99"/>
    <w:semiHidden/>
    <w:locked/>
    <w:rsid w:val="00E9105C"/>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342E8B"/>
    <w:rPr>
      <w:b/>
      <w:bCs/>
    </w:rPr>
  </w:style>
  <w:style w:type="character" w:customStyle="1" w:styleId="AsuntodelcomentarioCar">
    <w:name w:val="Asunto del comentario Car"/>
    <w:basedOn w:val="TextocomentarioCar"/>
    <w:link w:val="Asuntodelcomentario"/>
    <w:uiPriority w:val="99"/>
    <w:semiHidden/>
    <w:locked/>
    <w:rsid w:val="00E9105C"/>
    <w:rPr>
      <w:b/>
      <w:bCs/>
    </w:rPr>
  </w:style>
  <w:style w:type="paragraph" w:styleId="Textodeglobo">
    <w:name w:val="Balloon Text"/>
    <w:basedOn w:val="Normal"/>
    <w:link w:val="TextodegloboCar"/>
    <w:uiPriority w:val="99"/>
    <w:semiHidden/>
    <w:rsid w:val="00342E8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9105C"/>
    <w:rPr>
      <w:rFonts w:ascii="Times New Roman" w:hAnsi="Times New Roman" w:cs="Times New Roman"/>
      <w:sz w:val="2"/>
      <w:lang w:val="es-ES" w:eastAsia="es-ES"/>
    </w:rPr>
  </w:style>
  <w:style w:type="paragraph" w:styleId="Encabezado">
    <w:name w:val="header"/>
    <w:basedOn w:val="Normal"/>
    <w:link w:val="EncabezadoCar"/>
    <w:uiPriority w:val="99"/>
    <w:rsid w:val="00483D4E"/>
    <w:pPr>
      <w:tabs>
        <w:tab w:val="center" w:pos="4419"/>
        <w:tab w:val="right" w:pos="8838"/>
      </w:tabs>
    </w:pPr>
  </w:style>
  <w:style w:type="character" w:customStyle="1" w:styleId="EncabezadoCar">
    <w:name w:val="Encabezado Car"/>
    <w:basedOn w:val="Fuentedeprrafopredeter"/>
    <w:link w:val="Encabezado"/>
    <w:uiPriority w:val="99"/>
    <w:locked/>
    <w:rsid w:val="00483D4E"/>
    <w:rPr>
      <w:rFonts w:ascii="Times New Roman" w:hAnsi="Times New Roman" w:cs="Times New Roman"/>
      <w:sz w:val="24"/>
      <w:szCs w:val="24"/>
      <w:lang w:val="es-ES" w:eastAsia="es-ES"/>
    </w:rPr>
  </w:style>
  <w:style w:type="paragraph" w:styleId="Piedepgina">
    <w:name w:val="footer"/>
    <w:basedOn w:val="Normal"/>
    <w:link w:val="PiedepginaCar"/>
    <w:uiPriority w:val="99"/>
    <w:rsid w:val="00483D4E"/>
    <w:pPr>
      <w:tabs>
        <w:tab w:val="center" w:pos="4419"/>
        <w:tab w:val="right" w:pos="8838"/>
      </w:tabs>
    </w:pPr>
  </w:style>
  <w:style w:type="character" w:customStyle="1" w:styleId="PiedepginaCar">
    <w:name w:val="Pie de página Car"/>
    <w:basedOn w:val="Fuentedeprrafopredeter"/>
    <w:link w:val="Piedepgina"/>
    <w:uiPriority w:val="99"/>
    <w:locked/>
    <w:rsid w:val="00483D4E"/>
    <w:rPr>
      <w:rFonts w:ascii="Times New Roman" w:hAnsi="Times New Roman" w:cs="Times New Roman"/>
      <w:sz w:val="24"/>
      <w:szCs w:val="24"/>
      <w:lang w:val="es-ES" w:eastAsia="es-ES"/>
    </w:rPr>
  </w:style>
  <w:style w:type="paragraph" w:styleId="Ttulo">
    <w:name w:val="Title"/>
    <w:basedOn w:val="Normal"/>
    <w:link w:val="TtuloCar"/>
    <w:uiPriority w:val="99"/>
    <w:qFormat/>
    <w:locked/>
    <w:rsid w:val="00721ECE"/>
    <w:pPr>
      <w:jc w:val="center"/>
    </w:pPr>
    <w:rPr>
      <w:rFonts w:ascii="Arial" w:eastAsia="Calibri" w:hAnsi="Arial"/>
      <w:b/>
      <w:sz w:val="22"/>
      <w:szCs w:val="20"/>
    </w:rPr>
  </w:style>
  <w:style w:type="character" w:customStyle="1" w:styleId="TtuloCar">
    <w:name w:val="Título Car"/>
    <w:basedOn w:val="Fuentedeprrafopredeter"/>
    <w:link w:val="Ttulo"/>
    <w:uiPriority w:val="10"/>
    <w:rsid w:val="0022723F"/>
    <w:rPr>
      <w:rFonts w:ascii="Cambria" w:eastAsia="Times New Roman" w:hAnsi="Cambria" w:cs="Times New Roman"/>
      <w:b/>
      <w:bCs/>
      <w:kern w:val="28"/>
      <w:sz w:val="32"/>
      <w:szCs w:val="32"/>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3414</Words>
  <Characters>18783</Characters>
  <Application>Microsoft Office Word</Application>
  <DocSecurity>0</DocSecurity>
  <Lines>156</Lines>
  <Paragraphs>44</Paragraphs>
  <ScaleCrop>false</ScaleCrop>
  <Company/>
  <LinksUpToDate>false</LinksUpToDate>
  <CharactersWithSpaces>22153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jcalderon</dc:creator>
  <cp:keywords/>
  <dc:description/>
  <cp:lastModifiedBy>mirna.elias</cp:lastModifiedBy>
  <cp:revision>4</cp:revision>
  <cp:lastPrinted>2016-11-04T15:47:00Z</cp:lastPrinted>
  <dcterms:created xsi:type="dcterms:W3CDTF">2017-03-24T20:53:00Z</dcterms:created>
  <dcterms:modified xsi:type="dcterms:W3CDTF">2017-05-19T16:01:00Z</dcterms:modified>
</cp:coreProperties>
</file>