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F0" w:rsidRDefault="00B13CF0" w:rsidP="00692482">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B13CF0" w:rsidRPr="00692482" w:rsidRDefault="00B13CF0" w:rsidP="00692482">
      <w:pPr>
        <w:jc w:val="center"/>
        <w:rPr>
          <w:lang w:val="es-ES_tradnl"/>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B13CF0" w:rsidRDefault="00B13CF0" w:rsidP="00494F2E">
      <w:pPr>
        <w:pStyle w:val="Ttulo3"/>
        <w:tabs>
          <w:tab w:val="left" w:pos="360"/>
        </w:tabs>
        <w:rPr>
          <w:rFonts w:ascii="Bookman Old Style" w:hAnsi="Bookman Old Style" w:cs="Arial"/>
          <w:sz w:val="21"/>
          <w:szCs w:val="21"/>
          <w:lang w:val="es-ES_tradnl"/>
        </w:rPr>
      </w:pPr>
    </w:p>
    <w:p w:rsidR="00B13CF0" w:rsidRPr="001F0E49" w:rsidRDefault="00B13CF0" w:rsidP="00494F2E">
      <w:pPr>
        <w:pStyle w:val="Ttulo3"/>
        <w:tabs>
          <w:tab w:val="left" w:pos="360"/>
        </w:tabs>
        <w:rPr>
          <w:rFonts w:ascii="Bookman Old Style" w:hAnsi="Bookman Old Style" w:cs="Arial"/>
          <w:sz w:val="21"/>
          <w:szCs w:val="21"/>
          <w:lang w:val="es-ES_tradnl"/>
        </w:rPr>
      </w:pPr>
      <w:r w:rsidRPr="001F0E49">
        <w:rPr>
          <w:rFonts w:ascii="Bookman Old Style" w:hAnsi="Bookman Old Style" w:cs="Arial"/>
          <w:sz w:val="21"/>
          <w:szCs w:val="21"/>
          <w:lang w:val="es-ES_tradnl"/>
        </w:rPr>
        <w:t>CONTRATO MAG-No. 13</w:t>
      </w:r>
      <w:r>
        <w:rPr>
          <w:rFonts w:ascii="Bookman Old Style" w:hAnsi="Bookman Old Style" w:cs="Arial"/>
          <w:sz w:val="21"/>
          <w:szCs w:val="21"/>
          <w:lang w:val="es-ES_tradnl"/>
        </w:rPr>
        <w:t>8</w:t>
      </w:r>
      <w:r w:rsidRPr="001F0E49">
        <w:rPr>
          <w:rFonts w:ascii="Bookman Old Style" w:hAnsi="Bookman Old Style" w:cs="Arial"/>
          <w:sz w:val="21"/>
          <w:szCs w:val="21"/>
          <w:lang w:val="es-ES_tradnl"/>
        </w:rPr>
        <w:t>/2016</w:t>
      </w:r>
    </w:p>
    <w:p w:rsidR="00B13CF0" w:rsidRDefault="00B13CF0" w:rsidP="00494F2E">
      <w:pPr>
        <w:pStyle w:val="Ttulo3"/>
        <w:tabs>
          <w:tab w:val="left" w:pos="360"/>
        </w:tabs>
        <w:rPr>
          <w:rFonts w:ascii="Bookman Old Style" w:hAnsi="Bookman Old Style" w:cs="Arial"/>
          <w:iCs/>
          <w:sz w:val="21"/>
          <w:szCs w:val="21"/>
          <w:lang w:val="es-ES_tradnl"/>
        </w:rPr>
      </w:pPr>
      <w:r w:rsidRPr="001F0E49">
        <w:rPr>
          <w:rFonts w:ascii="Bookman Old Style" w:hAnsi="Bookman Old Style" w:cs="Arial"/>
          <w:sz w:val="21"/>
          <w:szCs w:val="21"/>
          <w:lang w:val="es-ES_tradnl"/>
        </w:rPr>
        <w:t>“SUMINISTRO DE MAQUINARIA Y EQUIPO PARA EL MAG</w:t>
      </w:r>
      <w:r w:rsidRPr="001F0E49">
        <w:rPr>
          <w:rFonts w:ascii="Bookman Old Style" w:hAnsi="Bookman Old Style" w:cs="Arial"/>
          <w:iCs/>
          <w:sz w:val="21"/>
          <w:szCs w:val="21"/>
          <w:lang w:val="es-ES_tradnl"/>
        </w:rPr>
        <w:t>”</w:t>
      </w:r>
    </w:p>
    <w:p w:rsidR="00B13CF0" w:rsidRPr="00494F2E" w:rsidRDefault="00B13CF0" w:rsidP="00494F2E">
      <w:pPr>
        <w:tabs>
          <w:tab w:val="left" w:pos="360"/>
        </w:tabs>
        <w:spacing w:line="300" w:lineRule="auto"/>
        <w:jc w:val="both"/>
        <w:rPr>
          <w:rFonts w:ascii="Bookman Old Style" w:hAnsi="Bookman Old Style" w:cs="Tahoma"/>
          <w:sz w:val="21"/>
          <w:szCs w:val="21"/>
          <w:lang w:val="es-ES_tradnl"/>
        </w:rPr>
      </w:pPr>
    </w:p>
    <w:p w:rsidR="00B13CF0" w:rsidRDefault="00B13CF0" w:rsidP="00494F2E">
      <w:pPr>
        <w:tabs>
          <w:tab w:val="left" w:pos="360"/>
        </w:tabs>
        <w:spacing w:line="300" w:lineRule="auto"/>
        <w:jc w:val="both"/>
        <w:rPr>
          <w:rFonts w:ascii="Bookman Old Style" w:hAnsi="Bookman Old Style" w:cs="Tahoma"/>
          <w:sz w:val="21"/>
          <w:szCs w:val="21"/>
        </w:rPr>
      </w:pPr>
    </w:p>
    <w:p w:rsidR="00B13CF0" w:rsidRPr="00603658" w:rsidRDefault="00B13CF0" w:rsidP="00603658">
      <w:pPr>
        <w:tabs>
          <w:tab w:val="left" w:pos="360"/>
        </w:tabs>
        <w:spacing w:line="300" w:lineRule="auto"/>
        <w:jc w:val="both"/>
        <w:rPr>
          <w:rFonts w:ascii="Bookman Old Style" w:hAnsi="Bookman Old Style" w:cs="Tahoma"/>
          <w:sz w:val="22"/>
          <w:szCs w:val="22"/>
          <w:lang w:eastAsia="ar-SA"/>
        </w:rPr>
      </w:pPr>
      <w:r w:rsidRPr="002167F2">
        <w:rPr>
          <w:rFonts w:ascii="Bookman Old Style" w:hAnsi="Bookman Old Style" w:cs="Tahoma"/>
          <w:sz w:val="22"/>
          <w:szCs w:val="22"/>
        </w:rPr>
        <w:t xml:space="preserve">Nosotros, </w:t>
      </w:r>
      <w:r w:rsidRPr="002167F2">
        <w:rPr>
          <w:rFonts w:ascii="Bookman Old Style" w:hAnsi="Bookman Old Style" w:cs="Arial"/>
          <w:b/>
          <w:sz w:val="22"/>
          <w:szCs w:val="22"/>
        </w:rPr>
        <w:t>DOUGLAS ARQUIMIDES MELENDEZ RUIZ</w:t>
      </w:r>
      <w:r w:rsidRPr="002167F2">
        <w:rPr>
          <w:rFonts w:ascii="Bookman Old Style" w:hAnsi="Bookman Old Style" w:cs="Arial"/>
          <w:sz w:val="22"/>
          <w:szCs w:val="22"/>
        </w:rPr>
        <w:t xml:space="preserve">, </w:t>
      </w:r>
      <w:r w:rsidR="00603658" w:rsidRPr="00603658">
        <w:rPr>
          <w:rFonts w:ascii="Bookman Old Style" w:hAnsi="Bookman Old Style" w:cs="Arial"/>
          <w:sz w:val="22"/>
          <w:szCs w:val="22"/>
          <w:highlight w:val="black"/>
        </w:rPr>
        <w:t>*********************************************************************</w:t>
      </w:r>
      <w:r w:rsidRPr="002167F2">
        <w:rPr>
          <w:rFonts w:ascii="Bookman Old Style" w:hAnsi="Bookman Old Style" w:cs="Arial"/>
          <w:sz w:val="22"/>
          <w:szCs w:val="22"/>
        </w:rPr>
        <w:t xml:space="preserve"> actuando en nombre y representación del Estado y Gobierno de El Salvador, </w:t>
      </w:r>
      <w:r w:rsidRPr="002167F2">
        <w:rPr>
          <w:rFonts w:ascii="Bookman Old Style" w:hAnsi="Bookman Old Style"/>
          <w:sz w:val="22"/>
          <w:szCs w:val="22"/>
        </w:rPr>
        <w:t xml:space="preserve">específicamente </w:t>
      </w:r>
      <w:r w:rsidRPr="002167F2">
        <w:rPr>
          <w:rFonts w:ascii="Bookman Old Style" w:hAnsi="Bookman Old Style"/>
          <w:sz w:val="22"/>
          <w:szCs w:val="22"/>
          <w:lang w:val="es-SV"/>
        </w:rPr>
        <w:t>del  Ministerio de Agricultura y Ganadería, Institución con Número de Identificación Tributaria cero seiscientos catorce- cero diez mil ciento treinta y uno- cero cero seis- nueve, en mi carácter de Fiscal General</w:t>
      </w:r>
      <w:r w:rsidRPr="002167F2">
        <w:rPr>
          <w:rFonts w:ascii="Bookman Old Style" w:hAnsi="Bookman Old Style"/>
          <w:sz w:val="22"/>
          <w:szCs w:val="22"/>
        </w:rPr>
        <w:t xml:space="preserve"> de la República </w:t>
      </w:r>
      <w:r w:rsidRPr="002167F2">
        <w:rPr>
          <w:rFonts w:ascii="Bookman Old Style" w:hAnsi="Bookman Old Style" w:cs="Tahoma"/>
          <w:sz w:val="22"/>
          <w:szCs w:val="22"/>
        </w:rPr>
        <w:t xml:space="preserve">y que en el transcurso de este instrumento me denominaré </w:t>
      </w:r>
      <w:r w:rsidRPr="002167F2">
        <w:rPr>
          <w:rFonts w:ascii="Bookman Old Style" w:hAnsi="Bookman Old Style" w:cs="Tahoma"/>
          <w:b/>
          <w:sz w:val="22"/>
          <w:szCs w:val="22"/>
        </w:rPr>
        <w:t xml:space="preserve">“EL CONTRATANTE </w:t>
      </w:r>
      <w:r w:rsidRPr="002167F2">
        <w:rPr>
          <w:rFonts w:ascii="Bookman Old Style" w:hAnsi="Bookman Old Style" w:cs="Tahoma"/>
          <w:sz w:val="22"/>
          <w:szCs w:val="22"/>
        </w:rPr>
        <w:t>ó</w:t>
      </w:r>
      <w:r w:rsidRPr="002167F2">
        <w:rPr>
          <w:rFonts w:ascii="Bookman Old Style" w:hAnsi="Bookman Old Style" w:cs="Tahoma"/>
          <w:b/>
          <w:sz w:val="22"/>
          <w:szCs w:val="22"/>
        </w:rPr>
        <w:t xml:space="preserve"> EL MAG”</w:t>
      </w:r>
      <w:r w:rsidRPr="002167F2">
        <w:rPr>
          <w:rFonts w:ascii="Bookman Old Style" w:hAnsi="Bookman Old Style" w:cs="Tahoma"/>
          <w:sz w:val="22"/>
          <w:szCs w:val="22"/>
        </w:rPr>
        <w:t>,</w:t>
      </w:r>
      <w:r w:rsidR="00603658">
        <w:rPr>
          <w:rFonts w:ascii="Bookman Old Style" w:hAnsi="Bookman Old Style" w:cs="Tahoma"/>
          <w:sz w:val="22"/>
          <w:szCs w:val="22"/>
        </w:rPr>
        <w:t xml:space="preserve"> </w:t>
      </w:r>
      <w:r w:rsidRPr="002167F2">
        <w:rPr>
          <w:rFonts w:ascii="Bookman Old Style" w:hAnsi="Bookman Old Style" w:cs="Tahoma"/>
          <w:sz w:val="22"/>
          <w:szCs w:val="22"/>
        </w:rPr>
        <w:t xml:space="preserve">y por otra parte </w:t>
      </w:r>
      <w:r w:rsidRPr="002167F2">
        <w:rPr>
          <w:rFonts w:ascii="Bookman Old Style" w:hAnsi="Bookman Old Style" w:cs="Calibri"/>
          <w:b/>
          <w:noProof/>
          <w:sz w:val="22"/>
          <w:szCs w:val="22"/>
        </w:rPr>
        <w:t>IVÁN EVARISTO OLIVER O'DOWD</w:t>
      </w:r>
      <w:r w:rsidRPr="002167F2">
        <w:rPr>
          <w:rFonts w:ascii="Bookman Old Style" w:hAnsi="Bookman Old Style" w:cs="Calibri"/>
          <w:sz w:val="22"/>
          <w:szCs w:val="22"/>
        </w:rPr>
        <w:t>,</w:t>
      </w:r>
      <w:r>
        <w:rPr>
          <w:rFonts w:ascii="Bookman Old Style" w:hAnsi="Bookman Old Style" w:cs="Calibri"/>
          <w:sz w:val="22"/>
          <w:szCs w:val="22"/>
        </w:rPr>
        <w:t xml:space="preserve"> </w:t>
      </w:r>
      <w:r w:rsidR="00603658" w:rsidRPr="00603658">
        <w:rPr>
          <w:rFonts w:ascii="Bookman Old Style" w:hAnsi="Bookman Old Style" w:cs="Calibri"/>
          <w:sz w:val="22"/>
          <w:szCs w:val="22"/>
          <w:highlight w:val="black"/>
        </w:rPr>
        <w:t>*********************************************************************************************************************</w:t>
      </w:r>
      <w:r w:rsidRPr="002167F2">
        <w:rPr>
          <w:rFonts w:ascii="Bookman Old Style" w:hAnsi="Bookman Old Style" w:cs="Calibri"/>
          <w:sz w:val="22"/>
          <w:szCs w:val="22"/>
          <w:lang w:val="es-ES_tradnl"/>
        </w:rPr>
        <w:t xml:space="preserve"> actuando en mi carácter de administrador único propietario y representante judicial y extrajudicial de la sociedad </w:t>
      </w:r>
      <w:r w:rsidRPr="002167F2">
        <w:rPr>
          <w:rFonts w:ascii="Bookman Old Style" w:hAnsi="Bookman Old Style" w:cs="Calibri"/>
          <w:b/>
          <w:sz w:val="22"/>
          <w:szCs w:val="22"/>
          <w:lang w:val="es-ES_tradnl"/>
        </w:rPr>
        <w:t>CONSULTORES ASOCIADOS PROVEEDORES DE BIENES Y SERVICIOS, SOCIEDAD ANÓNIMA DE CAPITAL VARIABLE</w:t>
      </w:r>
      <w:r w:rsidRPr="002167F2">
        <w:rPr>
          <w:rFonts w:ascii="Bookman Old Style" w:hAnsi="Bookman Old Style" w:cs="Calibri"/>
          <w:sz w:val="22"/>
          <w:szCs w:val="22"/>
          <w:lang w:val="es-ES_tradnl"/>
        </w:rPr>
        <w:t xml:space="preserve">, que puede abreviarse </w:t>
      </w:r>
      <w:r w:rsidRPr="002167F2">
        <w:rPr>
          <w:rFonts w:ascii="Bookman Old Style" w:hAnsi="Bookman Old Style" w:cs="Calibri"/>
          <w:b/>
          <w:sz w:val="22"/>
          <w:szCs w:val="22"/>
          <w:lang w:val="es-ES_tradnl"/>
        </w:rPr>
        <w:t>COPROSER, S.A. DE C.V.</w:t>
      </w:r>
      <w:r w:rsidRPr="002167F2">
        <w:rPr>
          <w:rFonts w:ascii="Bookman Old Style" w:hAnsi="Bookman Old Style" w:cs="Calibri"/>
          <w:sz w:val="22"/>
          <w:szCs w:val="22"/>
          <w:lang w:val="es-ES_tradnl"/>
        </w:rPr>
        <w:t xml:space="preserve"> persona jurídica del domicilio </w:t>
      </w:r>
      <w:r w:rsidR="00603658" w:rsidRPr="00603658">
        <w:rPr>
          <w:rFonts w:ascii="Bookman Old Style" w:hAnsi="Bookman Old Style" w:cs="Calibri"/>
          <w:sz w:val="22"/>
          <w:szCs w:val="22"/>
          <w:highlight w:val="black"/>
          <w:lang w:val="es-ES_tradnl"/>
        </w:rPr>
        <w:t>******************************************************</w:t>
      </w:r>
      <w:r w:rsidRPr="002167F2">
        <w:rPr>
          <w:rFonts w:ascii="Bookman Old Style" w:hAnsi="Bookman Old Style" w:cs="Calibri"/>
          <w:sz w:val="22"/>
          <w:szCs w:val="22"/>
          <w:lang w:val="es-ES_tradnl"/>
        </w:rPr>
        <w:t>,</w:t>
      </w:r>
      <w:r w:rsidRPr="002167F2">
        <w:rPr>
          <w:rFonts w:ascii="Bookman Old Style" w:hAnsi="Bookman Old Style" w:cs="Tahoma"/>
          <w:sz w:val="22"/>
          <w:szCs w:val="22"/>
        </w:rPr>
        <w:t xml:space="preserve"> que en el transcurso del presente instrumento me denominaré </w:t>
      </w:r>
      <w:r w:rsidRPr="002167F2">
        <w:rPr>
          <w:rFonts w:ascii="Bookman Old Style" w:hAnsi="Bookman Old Style" w:cs="Tahoma"/>
          <w:b/>
          <w:sz w:val="22"/>
          <w:szCs w:val="22"/>
        </w:rPr>
        <w:t xml:space="preserve">“LA CONTRATISTA”; </w:t>
      </w:r>
      <w:r w:rsidRPr="002167F2">
        <w:rPr>
          <w:rFonts w:ascii="Bookman Old Style" w:hAnsi="Bookman Old Style" w:cs="Tahoma"/>
          <w:sz w:val="22"/>
          <w:szCs w:val="22"/>
        </w:rPr>
        <w:t xml:space="preserve">y </w:t>
      </w:r>
      <w:r w:rsidRPr="002167F2">
        <w:rPr>
          <w:rFonts w:ascii="Bookman Old Style" w:hAnsi="Bookman Old Style" w:cs="Tahoma"/>
          <w:sz w:val="22"/>
          <w:szCs w:val="22"/>
          <w:lang w:eastAsia="ar-SA"/>
        </w:rPr>
        <w:t xml:space="preserve">en los caracteres dichos  </w:t>
      </w:r>
      <w:r w:rsidRPr="002167F2">
        <w:rPr>
          <w:rFonts w:ascii="Bookman Old Style" w:hAnsi="Bookman Old Style" w:cs="Tahoma"/>
          <w:b/>
          <w:sz w:val="22"/>
          <w:szCs w:val="22"/>
          <w:lang w:eastAsia="ar-SA"/>
        </w:rPr>
        <w:t>MANIFESTAMOS</w:t>
      </w:r>
      <w:r w:rsidRPr="002167F2">
        <w:rPr>
          <w:rFonts w:ascii="Bookman Old Style" w:hAnsi="Bookman Old Style" w:cs="Tahoma"/>
          <w:sz w:val="22"/>
          <w:szCs w:val="22"/>
          <w:lang w:eastAsia="ar-SA"/>
        </w:rPr>
        <w:t xml:space="preserve">: Que hemos acordado otorgar el presente contrato proveniente del proceso de </w:t>
      </w:r>
      <w:r w:rsidRPr="002167F2">
        <w:rPr>
          <w:rFonts w:ascii="Bookman Old Style" w:hAnsi="Bookman Old Style" w:cs="Tahoma"/>
          <w:b/>
          <w:sz w:val="22"/>
          <w:szCs w:val="22"/>
          <w:lang w:eastAsia="ar-SA"/>
        </w:rPr>
        <w:t xml:space="preserve">LICITACIÓN ABIERTA DR-CAFTA LA No. 015/2016-MAG </w:t>
      </w:r>
      <w:r w:rsidRPr="002167F2">
        <w:rPr>
          <w:rFonts w:ascii="Bookman Old Style" w:hAnsi="Bookman Old Style" w:cs="Tahoma"/>
          <w:sz w:val="22"/>
          <w:szCs w:val="22"/>
          <w:lang w:eastAsia="ar-SA"/>
        </w:rPr>
        <w:t xml:space="preserve">denominada </w:t>
      </w:r>
      <w:r w:rsidRPr="002167F2">
        <w:rPr>
          <w:rFonts w:ascii="Bookman Old Style" w:hAnsi="Bookman Old Style" w:cs="Tahoma"/>
          <w:b/>
          <w:sz w:val="22"/>
          <w:szCs w:val="22"/>
          <w:lang w:eastAsia="ar-SA"/>
        </w:rPr>
        <w:t xml:space="preserve">“SUMINISTRO DE MAQUINARIA Y EQUIPO PARA EL MAG”, </w:t>
      </w:r>
      <w:r w:rsidRPr="002167F2">
        <w:rPr>
          <w:rFonts w:ascii="Bookman Old Style" w:hAnsi="Bookman Old Style" w:cs="Tahoma"/>
          <w:sz w:val="22"/>
          <w:szCs w:val="22"/>
          <w:lang w:eastAsia="ar-SA"/>
        </w:rPr>
        <w:t>a favor y a satisfacción del Ministerio de Agricultura y Ganadería, de conformidad con el Tratado de Libre Comercio entre los Estados Unidos de América- Centroamérica–República Dominicana (TLC-DR-CAFTA), la Ley de Adquisiciones y Contrataciones de la Administración Pública, LACAP y su Reglamento, y en especial con las obligaciones, condiciones y pactos siguientes</w:t>
      </w:r>
      <w:r w:rsidRPr="002167F2">
        <w:rPr>
          <w:rFonts w:ascii="Bookman Old Style" w:hAnsi="Bookman Old Style" w:cs="Tahoma"/>
          <w:b/>
          <w:sz w:val="22"/>
          <w:szCs w:val="22"/>
          <w:lang w:eastAsia="ar-SA"/>
        </w:rPr>
        <w:t>: I.- OBJETO DEL CONTRATO</w:t>
      </w:r>
      <w:r w:rsidRPr="002167F2">
        <w:rPr>
          <w:rFonts w:ascii="Bookman Old Style" w:hAnsi="Bookman Old Style" w:cs="Tahoma"/>
          <w:sz w:val="22"/>
          <w:szCs w:val="22"/>
          <w:lang w:eastAsia="ar-SA"/>
        </w:rPr>
        <w:t>. El objeto del presente contrato es el “</w:t>
      </w:r>
      <w:r w:rsidRPr="002167F2">
        <w:rPr>
          <w:rFonts w:ascii="Bookman Old Style" w:hAnsi="Bookman Old Style" w:cs="Tahoma"/>
          <w:b/>
          <w:sz w:val="22"/>
          <w:szCs w:val="22"/>
          <w:lang w:eastAsia="ar-SA"/>
        </w:rPr>
        <w:t>SUMINISTRO DE MAQUINARIA Y EQUIPO PARA EL MAG”,</w:t>
      </w:r>
      <w:r w:rsidRPr="002167F2">
        <w:rPr>
          <w:rFonts w:ascii="Bookman Old Style" w:hAnsi="Bookman Old Style" w:cs="Tahoma"/>
          <w:sz w:val="22"/>
          <w:szCs w:val="22"/>
          <w:lang w:eastAsia="ar-SA"/>
        </w:rPr>
        <w:t xml:space="preserve"> según el siguiente detalle:</w:t>
      </w:r>
    </w:p>
    <w:p w:rsidR="00B13CF0" w:rsidRDefault="00B13CF0" w:rsidP="00B937AC">
      <w:pPr>
        <w:tabs>
          <w:tab w:val="left" w:pos="360"/>
        </w:tabs>
        <w:jc w:val="both"/>
        <w:rPr>
          <w:rFonts w:ascii="Arial" w:hAnsi="Arial" w:cs="Arial"/>
          <w:b/>
          <w:sz w:val="22"/>
          <w:szCs w:val="22"/>
        </w:rPr>
      </w:pPr>
    </w:p>
    <w:p w:rsidR="00B13CF0" w:rsidRPr="002167F2" w:rsidRDefault="00B13CF0" w:rsidP="00B937AC">
      <w:pPr>
        <w:tabs>
          <w:tab w:val="left" w:pos="360"/>
        </w:tabs>
        <w:jc w:val="both"/>
        <w:rPr>
          <w:rFonts w:ascii="Arial" w:hAnsi="Arial" w:cs="Arial"/>
          <w:b/>
          <w:sz w:val="22"/>
          <w:szCs w:val="22"/>
        </w:rPr>
      </w:pPr>
    </w:p>
    <w:tbl>
      <w:tblPr>
        <w:tblW w:w="8895" w:type="dxa"/>
        <w:tblInd w:w="55" w:type="dxa"/>
        <w:tblCellMar>
          <w:left w:w="70" w:type="dxa"/>
          <w:right w:w="70" w:type="dxa"/>
        </w:tblCellMar>
        <w:tblLook w:val="00A0"/>
      </w:tblPr>
      <w:tblGrid>
        <w:gridCol w:w="380"/>
        <w:gridCol w:w="546"/>
        <w:gridCol w:w="4253"/>
        <w:gridCol w:w="566"/>
        <w:gridCol w:w="709"/>
        <w:gridCol w:w="791"/>
        <w:gridCol w:w="709"/>
        <w:gridCol w:w="941"/>
      </w:tblGrid>
      <w:tr w:rsidR="00B13CF0" w:rsidRPr="003B5E9C" w:rsidTr="002374BF">
        <w:trPr>
          <w:trHeight w:val="637"/>
        </w:trPr>
        <w:tc>
          <w:tcPr>
            <w:tcW w:w="380" w:type="dxa"/>
            <w:tcBorders>
              <w:top w:val="single" w:sz="4" w:space="0" w:color="auto"/>
              <w:left w:val="single" w:sz="8" w:space="0" w:color="auto"/>
              <w:bottom w:val="single" w:sz="4" w:space="0" w:color="auto"/>
              <w:right w:val="single" w:sz="8" w:space="0" w:color="auto"/>
            </w:tcBorders>
            <w:shd w:val="clear" w:color="000000" w:fill="C0C0C0"/>
            <w:vAlign w:val="center"/>
          </w:tcPr>
          <w:p w:rsidR="00B13CF0" w:rsidRPr="003B5E9C" w:rsidRDefault="00B13CF0" w:rsidP="00BC071C">
            <w:pPr>
              <w:jc w:val="center"/>
              <w:rPr>
                <w:rFonts w:ascii="Arial Narrow" w:hAnsi="Arial Narrow" w:cs="Arial"/>
                <w:b/>
                <w:bCs/>
                <w:sz w:val="12"/>
                <w:szCs w:val="12"/>
              </w:rPr>
            </w:pPr>
            <w:r w:rsidRPr="003B5E9C">
              <w:rPr>
                <w:rFonts w:ascii="Arial Narrow" w:hAnsi="Arial Narrow" w:cs="Arial"/>
                <w:b/>
                <w:bCs/>
                <w:sz w:val="12"/>
                <w:szCs w:val="12"/>
              </w:rPr>
              <w:t>N° de Lote</w:t>
            </w:r>
          </w:p>
        </w:tc>
        <w:tc>
          <w:tcPr>
            <w:tcW w:w="546" w:type="dxa"/>
            <w:tcBorders>
              <w:top w:val="single" w:sz="4" w:space="0" w:color="auto"/>
              <w:left w:val="single" w:sz="8" w:space="0" w:color="auto"/>
              <w:bottom w:val="single" w:sz="8" w:space="0" w:color="auto"/>
              <w:right w:val="single" w:sz="8" w:space="0" w:color="auto"/>
            </w:tcBorders>
            <w:shd w:val="clear" w:color="000000" w:fill="C0C0C0"/>
            <w:vAlign w:val="center"/>
          </w:tcPr>
          <w:p w:rsidR="00B13CF0" w:rsidRPr="003B5E9C" w:rsidRDefault="00B13CF0" w:rsidP="00BC071C">
            <w:pPr>
              <w:jc w:val="center"/>
              <w:rPr>
                <w:rFonts w:ascii="Arial Narrow" w:hAnsi="Arial Narrow" w:cs="Arial"/>
                <w:b/>
                <w:bCs/>
                <w:sz w:val="12"/>
                <w:szCs w:val="12"/>
              </w:rPr>
            </w:pPr>
            <w:r w:rsidRPr="003B5E9C">
              <w:rPr>
                <w:rFonts w:ascii="Arial Narrow" w:hAnsi="Arial Narrow" w:cs="Arial"/>
                <w:b/>
                <w:bCs/>
                <w:sz w:val="12"/>
                <w:szCs w:val="12"/>
              </w:rPr>
              <w:t>N° de Renglón</w:t>
            </w:r>
          </w:p>
        </w:tc>
        <w:tc>
          <w:tcPr>
            <w:tcW w:w="4253" w:type="dxa"/>
            <w:tcBorders>
              <w:top w:val="single" w:sz="4" w:space="0" w:color="auto"/>
              <w:left w:val="nil"/>
              <w:bottom w:val="single" w:sz="8" w:space="0" w:color="auto"/>
              <w:right w:val="single" w:sz="8" w:space="0" w:color="auto"/>
            </w:tcBorders>
            <w:shd w:val="clear" w:color="000000" w:fill="C0C0C0"/>
            <w:vAlign w:val="center"/>
          </w:tcPr>
          <w:p w:rsidR="00B13CF0" w:rsidRPr="003B5E9C" w:rsidRDefault="00B13CF0" w:rsidP="00BC071C">
            <w:pPr>
              <w:jc w:val="center"/>
              <w:rPr>
                <w:rFonts w:ascii="Arial Narrow" w:hAnsi="Arial Narrow" w:cs="Arial"/>
                <w:b/>
                <w:bCs/>
                <w:sz w:val="12"/>
                <w:szCs w:val="12"/>
              </w:rPr>
            </w:pPr>
            <w:r w:rsidRPr="003B5E9C">
              <w:rPr>
                <w:rFonts w:ascii="Arial Narrow" w:hAnsi="Arial Narrow" w:cs="Arial"/>
                <w:b/>
                <w:bCs/>
                <w:sz w:val="12"/>
                <w:szCs w:val="12"/>
              </w:rPr>
              <w:t>Descripción de los bienes</w:t>
            </w:r>
          </w:p>
        </w:tc>
        <w:tc>
          <w:tcPr>
            <w:tcW w:w="566" w:type="dxa"/>
            <w:tcBorders>
              <w:top w:val="single" w:sz="4" w:space="0" w:color="auto"/>
              <w:left w:val="nil"/>
              <w:bottom w:val="single" w:sz="8" w:space="0" w:color="auto"/>
              <w:right w:val="single" w:sz="8" w:space="0" w:color="auto"/>
            </w:tcBorders>
            <w:shd w:val="clear" w:color="000000" w:fill="C0C0C0"/>
            <w:vAlign w:val="center"/>
          </w:tcPr>
          <w:p w:rsidR="00B13CF0" w:rsidRPr="003B5E9C" w:rsidRDefault="00B13CF0" w:rsidP="00BC071C">
            <w:pPr>
              <w:jc w:val="center"/>
              <w:rPr>
                <w:rFonts w:ascii="Arial Narrow" w:hAnsi="Arial Narrow" w:cs="Arial"/>
                <w:b/>
                <w:bCs/>
                <w:sz w:val="12"/>
                <w:szCs w:val="12"/>
              </w:rPr>
            </w:pPr>
            <w:r w:rsidRPr="003B5E9C">
              <w:rPr>
                <w:rFonts w:ascii="Arial Narrow" w:hAnsi="Arial Narrow" w:cs="Arial"/>
                <w:b/>
                <w:bCs/>
                <w:sz w:val="12"/>
                <w:szCs w:val="12"/>
              </w:rPr>
              <w:t>Unidad Medida</w:t>
            </w:r>
          </w:p>
        </w:tc>
        <w:tc>
          <w:tcPr>
            <w:tcW w:w="709" w:type="dxa"/>
            <w:tcBorders>
              <w:top w:val="single" w:sz="4" w:space="0" w:color="auto"/>
              <w:left w:val="nil"/>
              <w:bottom w:val="single" w:sz="8" w:space="0" w:color="auto"/>
              <w:right w:val="single" w:sz="8" w:space="0" w:color="auto"/>
            </w:tcBorders>
            <w:shd w:val="clear" w:color="000000" w:fill="C0C0C0"/>
            <w:vAlign w:val="center"/>
          </w:tcPr>
          <w:p w:rsidR="00B13CF0" w:rsidRPr="003B5E9C" w:rsidRDefault="00B13CF0" w:rsidP="00BC071C">
            <w:pPr>
              <w:jc w:val="center"/>
              <w:rPr>
                <w:rFonts w:ascii="Arial Narrow" w:hAnsi="Arial Narrow" w:cs="Arial"/>
                <w:b/>
                <w:bCs/>
                <w:sz w:val="12"/>
                <w:szCs w:val="12"/>
              </w:rPr>
            </w:pPr>
            <w:r w:rsidRPr="003B5E9C">
              <w:rPr>
                <w:rFonts w:ascii="Arial Narrow" w:hAnsi="Arial Narrow" w:cs="Arial"/>
                <w:b/>
                <w:bCs/>
                <w:sz w:val="12"/>
                <w:szCs w:val="12"/>
              </w:rPr>
              <w:t>Cantidad  a adjudicar</w:t>
            </w:r>
          </w:p>
        </w:tc>
        <w:tc>
          <w:tcPr>
            <w:tcW w:w="791" w:type="dxa"/>
            <w:tcBorders>
              <w:top w:val="single" w:sz="4" w:space="0" w:color="auto"/>
              <w:left w:val="nil"/>
              <w:bottom w:val="single" w:sz="8" w:space="0" w:color="auto"/>
              <w:right w:val="single" w:sz="8" w:space="0" w:color="auto"/>
            </w:tcBorders>
            <w:shd w:val="clear" w:color="000000" w:fill="C0C0C0"/>
            <w:vAlign w:val="center"/>
          </w:tcPr>
          <w:p w:rsidR="00B13CF0" w:rsidRPr="003B5E9C" w:rsidRDefault="00B13CF0" w:rsidP="00BC071C">
            <w:pPr>
              <w:jc w:val="center"/>
              <w:rPr>
                <w:rFonts w:ascii="Arial Narrow" w:hAnsi="Arial Narrow" w:cs="Arial"/>
                <w:b/>
                <w:bCs/>
                <w:sz w:val="12"/>
                <w:szCs w:val="12"/>
              </w:rPr>
            </w:pPr>
            <w:r w:rsidRPr="003B5E9C">
              <w:rPr>
                <w:rFonts w:ascii="Arial Narrow" w:hAnsi="Arial Narrow" w:cs="Arial"/>
                <w:b/>
                <w:bCs/>
                <w:sz w:val="12"/>
                <w:szCs w:val="12"/>
              </w:rPr>
              <w:t>Marca</w:t>
            </w:r>
          </w:p>
        </w:tc>
        <w:tc>
          <w:tcPr>
            <w:tcW w:w="709" w:type="dxa"/>
            <w:tcBorders>
              <w:top w:val="single" w:sz="4" w:space="0" w:color="auto"/>
              <w:left w:val="nil"/>
              <w:bottom w:val="nil"/>
              <w:right w:val="single" w:sz="8" w:space="0" w:color="auto"/>
            </w:tcBorders>
            <w:shd w:val="clear" w:color="000000" w:fill="C0C0C0"/>
            <w:vAlign w:val="center"/>
          </w:tcPr>
          <w:p w:rsidR="00B13CF0" w:rsidRPr="003B5E9C" w:rsidRDefault="00B13CF0" w:rsidP="00BC071C">
            <w:pPr>
              <w:jc w:val="center"/>
              <w:rPr>
                <w:rFonts w:ascii="Arial Narrow" w:hAnsi="Arial Narrow" w:cs="Arial"/>
                <w:b/>
                <w:bCs/>
                <w:sz w:val="12"/>
                <w:szCs w:val="12"/>
              </w:rPr>
            </w:pPr>
            <w:r w:rsidRPr="003B5E9C">
              <w:rPr>
                <w:rFonts w:ascii="Arial Narrow" w:hAnsi="Arial Narrow" w:cs="Arial"/>
                <w:b/>
                <w:bCs/>
                <w:sz w:val="12"/>
                <w:szCs w:val="12"/>
              </w:rPr>
              <w:t>Precio Unitario Ofertado (US$)</w:t>
            </w:r>
          </w:p>
        </w:tc>
        <w:tc>
          <w:tcPr>
            <w:tcW w:w="941" w:type="dxa"/>
            <w:tcBorders>
              <w:top w:val="single" w:sz="4" w:space="0" w:color="auto"/>
              <w:left w:val="nil"/>
              <w:bottom w:val="single" w:sz="8" w:space="0" w:color="auto"/>
              <w:right w:val="single" w:sz="8" w:space="0" w:color="auto"/>
            </w:tcBorders>
            <w:shd w:val="clear" w:color="000000" w:fill="C0C0C0"/>
            <w:vAlign w:val="center"/>
          </w:tcPr>
          <w:p w:rsidR="00B13CF0" w:rsidRPr="003B5E9C" w:rsidRDefault="00B13CF0" w:rsidP="00BC071C">
            <w:pPr>
              <w:jc w:val="center"/>
              <w:rPr>
                <w:rFonts w:ascii="Arial Narrow" w:hAnsi="Arial Narrow" w:cs="Arial"/>
                <w:b/>
                <w:bCs/>
                <w:sz w:val="13"/>
                <w:szCs w:val="13"/>
                <w:lang w:eastAsia="es-SV"/>
              </w:rPr>
            </w:pPr>
            <w:r w:rsidRPr="003B5E9C">
              <w:rPr>
                <w:rFonts w:ascii="Arial Narrow" w:hAnsi="Arial Narrow" w:cs="Arial"/>
                <w:b/>
                <w:bCs/>
                <w:sz w:val="13"/>
                <w:szCs w:val="13"/>
                <w:lang w:eastAsia="es-SV"/>
              </w:rPr>
              <w:t>Total (US$) IVA incluido</w:t>
            </w:r>
          </w:p>
        </w:tc>
      </w:tr>
      <w:tr w:rsidR="00B13CF0" w:rsidRPr="003B5E9C" w:rsidTr="006D7F74">
        <w:trPr>
          <w:trHeight w:val="1326"/>
        </w:trPr>
        <w:tc>
          <w:tcPr>
            <w:tcW w:w="380" w:type="dxa"/>
            <w:vMerge w:val="restart"/>
            <w:tcBorders>
              <w:top w:val="single" w:sz="4" w:space="0" w:color="auto"/>
              <w:left w:val="single" w:sz="4" w:space="0" w:color="auto"/>
              <w:right w:val="single" w:sz="4" w:space="0" w:color="auto"/>
            </w:tcBorders>
            <w:vAlign w:val="center"/>
          </w:tcPr>
          <w:p w:rsidR="00B13CF0" w:rsidRPr="003B5E9C" w:rsidRDefault="00B13CF0" w:rsidP="00BC071C">
            <w:pPr>
              <w:jc w:val="center"/>
              <w:rPr>
                <w:rFonts w:ascii="Arial Narrow" w:hAnsi="Arial Narrow" w:cs="Arial"/>
                <w:bCs/>
                <w:sz w:val="12"/>
                <w:szCs w:val="12"/>
              </w:rPr>
            </w:pPr>
            <w:r w:rsidRPr="003B5E9C">
              <w:rPr>
                <w:rFonts w:ascii="Arial Narrow" w:hAnsi="Arial Narrow" w:cs="Arial"/>
                <w:bCs/>
                <w:sz w:val="12"/>
                <w:szCs w:val="12"/>
              </w:rPr>
              <w:lastRenderedPageBreak/>
              <w:t>1</w:t>
            </w:r>
          </w:p>
        </w:tc>
        <w:tc>
          <w:tcPr>
            <w:tcW w:w="546" w:type="dxa"/>
            <w:tcBorders>
              <w:top w:val="single" w:sz="4" w:space="0" w:color="000000"/>
              <w:left w:val="single" w:sz="4" w:space="0" w:color="auto"/>
              <w:bottom w:val="single" w:sz="4" w:space="0" w:color="000000"/>
              <w:right w:val="single" w:sz="4" w:space="0" w:color="000000"/>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1</w:t>
            </w:r>
          </w:p>
        </w:tc>
        <w:tc>
          <w:tcPr>
            <w:tcW w:w="4253" w:type="dxa"/>
            <w:tcBorders>
              <w:top w:val="single" w:sz="4" w:space="0" w:color="auto"/>
              <w:left w:val="nil"/>
              <w:bottom w:val="single" w:sz="4" w:space="0" w:color="auto"/>
              <w:right w:val="single" w:sz="4" w:space="0" w:color="auto"/>
            </w:tcBorders>
            <w:noWrap/>
            <w:vAlign w:val="center"/>
          </w:tcPr>
          <w:p w:rsidR="00B13CF0" w:rsidRPr="003B5E9C" w:rsidRDefault="00B13CF0" w:rsidP="00BC071C">
            <w:pPr>
              <w:autoSpaceDE w:val="0"/>
              <w:autoSpaceDN w:val="0"/>
              <w:adjustRightInd w:val="0"/>
              <w:jc w:val="both"/>
              <w:rPr>
                <w:rFonts w:ascii="Arial Narrow" w:hAnsi="Arial Narrow" w:cs="Arial"/>
                <w:sz w:val="14"/>
                <w:szCs w:val="14"/>
              </w:rPr>
            </w:pPr>
            <w:r w:rsidRPr="003B5E9C">
              <w:rPr>
                <w:rFonts w:ascii="Arial Narrow" w:hAnsi="Arial Narrow" w:cs="Arial"/>
                <w:sz w:val="14"/>
                <w:szCs w:val="14"/>
              </w:rPr>
              <w:t>Fax de impresión térmica: Velocidad de impresión, transferencia térmica; Reducción 50%, bandeja: 50 hojas de alimentación y 50 hojas de salida; Garantía un año con el fabricante; Resolución de copiado 400x 400 dpi; Ampliación 150%; Dimensiones 13.4" x 11.9" x 10.5; Peso 5.5 lbs; Identificador de llamadas; Velocidad del modem 9.6kbps. ;Alimentación automática de 10 hojas; Velocidad de transmisión 15 segundos por pagina; Memoria 25 página; Incluye cartucho de impresión; Garantía de un año por desperfectos de fabricación</w:t>
            </w:r>
          </w:p>
        </w:tc>
        <w:tc>
          <w:tcPr>
            <w:tcW w:w="566" w:type="dxa"/>
            <w:tcBorders>
              <w:top w:val="single" w:sz="4" w:space="0" w:color="auto"/>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Unidad</w:t>
            </w:r>
          </w:p>
        </w:tc>
        <w:tc>
          <w:tcPr>
            <w:tcW w:w="709" w:type="dxa"/>
            <w:tcBorders>
              <w:top w:val="single" w:sz="4" w:space="0" w:color="auto"/>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1</w:t>
            </w:r>
          </w:p>
        </w:tc>
        <w:tc>
          <w:tcPr>
            <w:tcW w:w="791" w:type="dxa"/>
            <w:tcBorders>
              <w:top w:val="single" w:sz="4" w:space="0" w:color="auto"/>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Brother</w:t>
            </w:r>
          </w:p>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Modelo 575</w:t>
            </w:r>
          </w:p>
        </w:tc>
        <w:tc>
          <w:tcPr>
            <w:tcW w:w="709" w:type="dxa"/>
            <w:tcBorders>
              <w:top w:val="single" w:sz="4" w:space="0" w:color="auto"/>
              <w:left w:val="nil"/>
              <w:bottom w:val="single" w:sz="4" w:space="0" w:color="auto"/>
              <w:right w:val="nil"/>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119.00</w:t>
            </w:r>
          </w:p>
        </w:tc>
        <w:tc>
          <w:tcPr>
            <w:tcW w:w="941" w:type="dxa"/>
            <w:tcBorders>
              <w:top w:val="single" w:sz="4" w:space="0" w:color="auto"/>
              <w:left w:val="single" w:sz="4" w:space="0" w:color="auto"/>
              <w:bottom w:val="single" w:sz="4" w:space="0" w:color="auto"/>
              <w:right w:val="single" w:sz="4" w:space="0" w:color="auto"/>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119.00</w:t>
            </w:r>
          </w:p>
        </w:tc>
      </w:tr>
      <w:tr w:rsidR="00B13CF0" w:rsidRPr="003B5E9C" w:rsidTr="006D7F74">
        <w:trPr>
          <w:trHeight w:val="561"/>
        </w:trPr>
        <w:tc>
          <w:tcPr>
            <w:tcW w:w="380" w:type="dxa"/>
            <w:vMerge/>
            <w:tcBorders>
              <w:left w:val="single" w:sz="4" w:space="0" w:color="auto"/>
              <w:bottom w:val="single" w:sz="4" w:space="0" w:color="auto"/>
              <w:right w:val="single" w:sz="4" w:space="0" w:color="auto"/>
            </w:tcBorders>
          </w:tcPr>
          <w:p w:rsidR="00B13CF0" w:rsidRPr="003B5E9C" w:rsidRDefault="00B13CF0" w:rsidP="00BC071C">
            <w:pPr>
              <w:jc w:val="center"/>
              <w:rPr>
                <w:rFonts w:ascii="Arial Narrow" w:hAnsi="Arial Narrow" w:cs="Arial"/>
                <w:bCs/>
                <w:sz w:val="12"/>
                <w:szCs w:val="12"/>
              </w:rPr>
            </w:pPr>
          </w:p>
        </w:tc>
        <w:tc>
          <w:tcPr>
            <w:tcW w:w="546" w:type="dxa"/>
            <w:tcBorders>
              <w:top w:val="nil"/>
              <w:left w:val="single" w:sz="4" w:space="0" w:color="auto"/>
              <w:bottom w:val="single" w:sz="4" w:space="0" w:color="000000"/>
              <w:right w:val="single" w:sz="4" w:space="0" w:color="000000"/>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3</w:t>
            </w:r>
          </w:p>
        </w:tc>
        <w:tc>
          <w:tcPr>
            <w:tcW w:w="4253" w:type="dxa"/>
            <w:tcBorders>
              <w:top w:val="nil"/>
              <w:left w:val="nil"/>
              <w:bottom w:val="single" w:sz="4" w:space="0" w:color="auto"/>
              <w:right w:val="single" w:sz="4" w:space="0" w:color="auto"/>
            </w:tcBorders>
            <w:noWrap/>
            <w:vAlign w:val="center"/>
          </w:tcPr>
          <w:p w:rsidR="00B13CF0" w:rsidRPr="003B5E9C" w:rsidRDefault="00B13CF0" w:rsidP="00BC071C">
            <w:pPr>
              <w:autoSpaceDE w:val="0"/>
              <w:autoSpaceDN w:val="0"/>
              <w:adjustRightInd w:val="0"/>
              <w:jc w:val="both"/>
              <w:rPr>
                <w:rFonts w:ascii="Arial Narrow" w:hAnsi="Arial Narrow" w:cs="Arial"/>
                <w:sz w:val="14"/>
                <w:szCs w:val="14"/>
              </w:rPr>
            </w:pPr>
            <w:r w:rsidRPr="003B5E9C">
              <w:rPr>
                <w:rFonts w:ascii="Arial Narrow" w:hAnsi="Arial Narrow" w:cs="Arial"/>
                <w:sz w:val="14"/>
                <w:szCs w:val="14"/>
              </w:rPr>
              <w:t>Pantalla de Proyección: Empotrable en pared o techo; Material de lona resistente; Tamaño 100 pulgadas 16:9; Motor eléctrico; Garantías de un año por desperfectos de fabricación; Incluye control remoto con baterías</w:t>
            </w:r>
          </w:p>
        </w:tc>
        <w:tc>
          <w:tcPr>
            <w:tcW w:w="566"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Unidad</w:t>
            </w:r>
          </w:p>
        </w:tc>
        <w:tc>
          <w:tcPr>
            <w:tcW w:w="709"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1</w:t>
            </w:r>
          </w:p>
        </w:tc>
        <w:tc>
          <w:tcPr>
            <w:tcW w:w="791"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ELITE</w:t>
            </w:r>
          </w:p>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Modelo</w:t>
            </w:r>
          </w:p>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Electric100H</w:t>
            </w:r>
          </w:p>
        </w:tc>
        <w:tc>
          <w:tcPr>
            <w:tcW w:w="709" w:type="dxa"/>
            <w:tcBorders>
              <w:top w:val="nil"/>
              <w:left w:val="nil"/>
              <w:bottom w:val="single" w:sz="4" w:space="0" w:color="auto"/>
              <w:right w:val="nil"/>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405.00</w:t>
            </w:r>
          </w:p>
        </w:tc>
        <w:tc>
          <w:tcPr>
            <w:tcW w:w="941" w:type="dxa"/>
            <w:tcBorders>
              <w:top w:val="nil"/>
              <w:left w:val="single" w:sz="4" w:space="0" w:color="auto"/>
              <w:bottom w:val="single" w:sz="4" w:space="0" w:color="auto"/>
              <w:right w:val="single" w:sz="4" w:space="0" w:color="auto"/>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405.00</w:t>
            </w:r>
          </w:p>
        </w:tc>
      </w:tr>
      <w:tr w:rsidR="00B13CF0" w:rsidRPr="003B5E9C" w:rsidTr="002374BF">
        <w:trPr>
          <w:trHeight w:val="1971"/>
        </w:trPr>
        <w:tc>
          <w:tcPr>
            <w:tcW w:w="380" w:type="dxa"/>
            <w:tcBorders>
              <w:top w:val="single" w:sz="4" w:space="0" w:color="auto"/>
              <w:left w:val="single" w:sz="4" w:space="0" w:color="000000"/>
              <w:bottom w:val="single" w:sz="4" w:space="0" w:color="auto"/>
              <w:right w:val="single" w:sz="4" w:space="0" w:color="000000"/>
            </w:tcBorders>
            <w:vAlign w:val="center"/>
          </w:tcPr>
          <w:p w:rsidR="00B13CF0" w:rsidRPr="003B5E9C" w:rsidRDefault="00B13CF0" w:rsidP="00BC071C">
            <w:pPr>
              <w:jc w:val="center"/>
              <w:rPr>
                <w:rFonts w:ascii="Arial Narrow" w:hAnsi="Arial Narrow" w:cs="Arial"/>
                <w:bCs/>
                <w:sz w:val="12"/>
                <w:szCs w:val="12"/>
              </w:rPr>
            </w:pPr>
            <w:r w:rsidRPr="003B5E9C">
              <w:rPr>
                <w:rFonts w:ascii="Arial Narrow" w:hAnsi="Arial Narrow" w:cs="Arial"/>
                <w:bCs/>
                <w:sz w:val="12"/>
                <w:szCs w:val="12"/>
              </w:rPr>
              <w:t>3</w:t>
            </w:r>
          </w:p>
        </w:tc>
        <w:tc>
          <w:tcPr>
            <w:tcW w:w="546" w:type="dxa"/>
            <w:tcBorders>
              <w:top w:val="nil"/>
              <w:left w:val="single" w:sz="4" w:space="0" w:color="000000"/>
              <w:bottom w:val="single" w:sz="4" w:space="0" w:color="auto"/>
              <w:right w:val="single" w:sz="4" w:space="0" w:color="000000"/>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2</w:t>
            </w:r>
          </w:p>
        </w:tc>
        <w:tc>
          <w:tcPr>
            <w:tcW w:w="4253" w:type="dxa"/>
            <w:tcBorders>
              <w:top w:val="nil"/>
              <w:left w:val="nil"/>
              <w:bottom w:val="single" w:sz="4" w:space="0" w:color="auto"/>
              <w:right w:val="single" w:sz="4" w:space="0" w:color="auto"/>
            </w:tcBorders>
            <w:noWrap/>
            <w:vAlign w:val="center"/>
          </w:tcPr>
          <w:p w:rsidR="00B13CF0" w:rsidRPr="003B5E9C" w:rsidRDefault="00B13CF0" w:rsidP="002374BF">
            <w:pPr>
              <w:autoSpaceDE w:val="0"/>
              <w:autoSpaceDN w:val="0"/>
              <w:adjustRightInd w:val="0"/>
              <w:jc w:val="both"/>
              <w:rPr>
                <w:rFonts w:ascii="Arial Narrow" w:hAnsi="Arial Narrow" w:cs="Arial"/>
                <w:sz w:val="14"/>
                <w:szCs w:val="14"/>
              </w:rPr>
            </w:pPr>
            <w:r w:rsidRPr="003B5E9C">
              <w:rPr>
                <w:rFonts w:ascii="Arial Narrow" w:hAnsi="Arial Narrow" w:cs="Arial"/>
                <w:sz w:val="14"/>
                <w:szCs w:val="14"/>
              </w:rPr>
              <w:t>GPS: Dimensiones de la unidad (Ancho/Alto/Profundidad) 2,1" x 4" x 1,3" (5,4 x 10,3 x 3,3 cm): Tamaño de la pantalla (Ancho/Alto) 1,4" x 1,7" (3,5 x 4,4 cm); 2,2" en diagonal (5,6 cm); Resolución de pantalla (Ancho/Alto) 176 x 220 píxeles; Pantalla TFT Transflectiva de 65.000 colores; Peso 5 oz (141,7 g) con pilas; Incluye cargador y baterías NiMH; Duración de la batería 25 horas; Clasificación de resistencia al agua IPX7; Flotante: NO; Receptor de alta sensibilidad Sí; Interfaz del equipo USB; Mapa base  Sí; Posibilidad de agregar mapas Sí; Memoria interna 1,7 GB; Admite tarjetas de datos Tarjeta microSD™ ( incluida); Puntos de interés personalizables (posibilidad de agregar puntos de interés adicionales) Sí; Waypoints 2000; Rutas 200; Track log 10.000 puntos, 200 tracks guardados; Altímetro barométrico Sí; Brújula electrónica Sí (tres ejes con inclinación compensada); Compatible con los mapas personalizados Sí; Calendario de caza y pesca Sí; Información astronómica Sí; Cálculo de áreas Sí; Visor de imágenes Sí; Compatible con Garmin Connect™ (comunidad online en la que puedes analizar, clasificar y compartir datos) Sí; Incluye baterías, manual, cable y  adaptador para carro; Garantía de un año por desperfectos de fabricación</w:t>
            </w:r>
          </w:p>
        </w:tc>
        <w:tc>
          <w:tcPr>
            <w:tcW w:w="566"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Unidad</w:t>
            </w:r>
          </w:p>
        </w:tc>
        <w:tc>
          <w:tcPr>
            <w:tcW w:w="709"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1</w:t>
            </w:r>
          </w:p>
        </w:tc>
        <w:tc>
          <w:tcPr>
            <w:tcW w:w="791"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 xml:space="preserve">Garmin </w:t>
            </w:r>
          </w:p>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Modelo Etrex 30</w:t>
            </w:r>
          </w:p>
        </w:tc>
        <w:tc>
          <w:tcPr>
            <w:tcW w:w="709" w:type="dxa"/>
            <w:tcBorders>
              <w:top w:val="nil"/>
              <w:left w:val="nil"/>
              <w:bottom w:val="single" w:sz="4" w:space="0" w:color="auto"/>
              <w:right w:val="nil"/>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505.00</w:t>
            </w:r>
          </w:p>
        </w:tc>
        <w:tc>
          <w:tcPr>
            <w:tcW w:w="941" w:type="dxa"/>
            <w:tcBorders>
              <w:top w:val="nil"/>
              <w:left w:val="single" w:sz="4" w:space="0" w:color="auto"/>
              <w:bottom w:val="single" w:sz="4" w:space="0" w:color="auto"/>
              <w:right w:val="single" w:sz="4" w:space="0" w:color="auto"/>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505.00</w:t>
            </w:r>
          </w:p>
        </w:tc>
      </w:tr>
      <w:tr w:rsidR="00B13CF0" w:rsidRPr="003B5E9C" w:rsidTr="003D3CF8">
        <w:trPr>
          <w:trHeight w:val="1836"/>
        </w:trPr>
        <w:tc>
          <w:tcPr>
            <w:tcW w:w="380" w:type="dxa"/>
            <w:vMerge w:val="restart"/>
            <w:tcBorders>
              <w:top w:val="nil"/>
              <w:left w:val="single" w:sz="4" w:space="0" w:color="000000"/>
              <w:right w:val="single" w:sz="4" w:space="0" w:color="000000"/>
            </w:tcBorders>
            <w:vAlign w:val="center"/>
          </w:tcPr>
          <w:p w:rsidR="00B13CF0" w:rsidRPr="003B5E9C" w:rsidRDefault="00B13CF0" w:rsidP="00BC071C">
            <w:pPr>
              <w:jc w:val="center"/>
              <w:rPr>
                <w:rFonts w:ascii="Arial Narrow" w:hAnsi="Arial Narrow" w:cs="Arial"/>
                <w:bCs/>
                <w:sz w:val="12"/>
                <w:szCs w:val="12"/>
                <w:highlight w:val="yellow"/>
              </w:rPr>
            </w:pPr>
            <w:r w:rsidRPr="003B5E9C">
              <w:rPr>
                <w:rFonts w:ascii="Arial Narrow" w:hAnsi="Arial Narrow" w:cs="Arial"/>
                <w:bCs/>
                <w:sz w:val="12"/>
                <w:szCs w:val="12"/>
              </w:rPr>
              <w:t>5</w:t>
            </w:r>
          </w:p>
        </w:tc>
        <w:tc>
          <w:tcPr>
            <w:tcW w:w="546" w:type="dxa"/>
            <w:tcBorders>
              <w:top w:val="nil"/>
              <w:left w:val="single" w:sz="4" w:space="0" w:color="000000"/>
              <w:bottom w:val="single" w:sz="4" w:space="0" w:color="auto"/>
              <w:right w:val="single" w:sz="4" w:space="0" w:color="000000"/>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1</w:t>
            </w:r>
          </w:p>
        </w:tc>
        <w:tc>
          <w:tcPr>
            <w:tcW w:w="4253" w:type="dxa"/>
            <w:tcBorders>
              <w:top w:val="nil"/>
              <w:left w:val="nil"/>
              <w:bottom w:val="single" w:sz="4" w:space="0" w:color="auto"/>
              <w:right w:val="single" w:sz="4" w:space="0" w:color="auto"/>
            </w:tcBorders>
            <w:noWrap/>
            <w:vAlign w:val="center"/>
          </w:tcPr>
          <w:p w:rsidR="00B13CF0" w:rsidRPr="003B5E9C" w:rsidRDefault="00B13CF0" w:rsidP="00BC071C">
            <w:pPr>
              <w:autoSpaceDE w:val="0"/>
              <w:autoSpaceDN w:val="0"/>
              <w:adjustRightInd w:val="0"/>
              <w:jc w:val="both"/>
              <w:rPr>
                <w:rFonts w:ascii="Arial Narrow" w:hAnsi="Arial Narrow" w:cs="Arial"/>
                <w:sz w:val="14"/>
                <w:szCs w:val="14"/>
              </w:rPr>
            </w:pPr>
            <w:r w:rsidRPr="003B5E9C">
              <w:rPr>
                <w:rFonts w:ascii="Arial Narrow" w:hAnsi="Arial Narrow" w:cs="Arial"/>
                <w:sz w:val="14"/>
                <w:szCs w:val="14"/>
              </w:rPr>
              <w:t>Cámara Fotográfica Digital de 16 MP: Sensor de imagen con baja luz CMOS de 16.1 MP;  Lente de cristal NIKKOR con zoom óptico de 42x; El lente de zoom óptico de 42x de la COOLPIX P530 pasa de un gran angular, ideal para retratos y paisajes, hasta una telefoto, ideal para primeros planos de deportes, conciertos, tomas en la naturaleza y más; Pantalla TFT-LCD de 3 pulgadas de 921,000 puntos Aproximadamente; Distancia Focal del Lente 4.3-180 mm (ángulo de visión equivalente al del lente de 24-1000 mm en formato de 35 mm [135]); Full HD de 1080 p significa una calidad de video excepcional; Incluye, batería de litio y cargador, memoria SD de al menos 8Gb y estuche acolchado; Garantía de un año por desperfectos de fabricación</w:t>
            </w:r>
          </w:p>
        </w:tc>
        <w:tc>
          <w:tcPr>
            <w:tcW w:w="566"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Unidad</w:t>
            </w:r>
          </w:p>
        </w:tc>
        <w:tc>
          <w:tcPr>
            <w:tcW w:w="709"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2</w:t>
            </w:r>
          </w:p>
        </w:tc>
        <w:tc>
          <w:tcPr>
            <w:tcW w:w="791"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Nikon</w:t>
            </w:r>
          </w:p>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Modelo  Coolpix P530</w:t>
            </w:r>
          </w:p>
        </w:tc>
        <w:tc>
          <w:tcPr>
            <w:tcW w:w="709" w:type="dxa"/>
            <w:tcBorders>
              <w:top w:val="nil"/>
              <w:left w:val="nil"/>
              <w:bottom w:val="single" w:sz="4" w:space="0" w:color="auto"/>
              <w:right w:val="nil"/>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639.00</w:t>
            </w:r>
          </w:p>
        </w:tc>
        <w:tc>
          <w:tcPr>
            <w:tcW w:w="941" w:type="dxa"/>
            <w:tcBorders>
              <w:top w:val="nil"/>
              <w:left w:val="single" w:sz="4" w:space="0" w:color="auto"/>
              <w:bottom w:val="single" w:sz="4" w:space="0" w:color="auto"/>
              <w:right w:val="single" w:sz="4" w:space="0" w:color="auto"/>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1,278.00</w:t>
            </w:r>
          </w:p>
        </w:tc>
      </w:tr>
      <w:tr w:rsidR="00B13CF0" w:rsidRPr="003B5E9C" w:rsidTr="003D3CF8">
        <w:trPr>
          <w:trHeight w:val="2542"/>
        </w:trPr>
        <w:tc>
          <w:tcPr>
            <w:tcW w:w="380" w:type="dxa"/>
            <w:vMerge/>
            <w:tcBorders>
              <w:left w:val="single" w:sz="4" w:space="0" w:color="000000"/>
              <w:bottom w:val="single" w:sz="4" w:space="0" w:color="auto"/>
              <w:right w:val="single" w:sz="4" w:space="0" w:color="000000"/>
            </w:tcBorders>
            <w:vAlign w:val="center"/>
          </w:tcPr>
          <w:p w:rsidR="00B13CF0" w:rsidRPr="003B5E9C" w:rsidRDefault="00B13CF0" w:rsidP="00BC071C">
            <w:pPr>
              <w:jc w:val="center"/>
              <w:rPr>
                <w:rFonts w:ascii="Arial Narrow" w:hAnsi="Arial Narrow" w:cs="Arial"/>
                <w:bCs/>
                <w:sz w:val="12"/>
                <w:szCs w:val="12"/>
              </w:rPr>
            </w:pPr>
          </w:p>
        </w:tc>
        <w:tc>
          <w:tcPr>
            <w:tcW w:w="546" w:type="dxa"/>
            <w:tcBorders>
              <w:top w:val="nil"/>
              <w:left w:val="single" w:sz="4" w:space="0" w:color="000000"/>
              <w:bottom w:val="single" w:sz="4" w:space="0" w:color="000000"/>
              <w:right w:val="single" w:sz="4" w:space="0" w:color="000000"/>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2</w:t>
            </w:r>
          </w:p>
        </w:tc>
        <w:tc>
          <w:tcPr>
            <w:tcW w:w="4253" w:type="dxa"/>
            <w:tcBorders>
              <w:top w:val="nil"/>
              <w:left w:val="nil"/>
              <w:bottom w:val="single" w:sz="4" w:space="0" w:color="auto"/>
              <w:right w:val="single" w:sz="4" w:space="0" w:color="auto"/>
            </w:tcBorders>
            <w:noWrap/>
            <w:vAlign w:val="center"/>
          </w:tcPr>
          <w:p w:rsidR="00B13CF0" w:rsidRPr="003B5E9C" w:rsidRDefault="00B13CF0" w:rsidP="00BC071C">
            <w:pPr>
              <w:autoSpaceDE w:val="0"/>
              <w:autoSpaceDN w:val="0"/>
              <w:adjustRightInd w:val="0"/>
              <w:jc w:val="both"/>
              <w:rPr>
                <w:rFonts w:ascii="Arial Narrow" w:hAnsi="Arial Narrow" w:cs="Arial"/>
                <w:sz w:val="14"/>
                <w:szCs w:val="14"/>
              </w:rPr>
            </w:pPr>
            <w:r w:rsidRPr="003B5E9C">
              <w:rPr>
                <w:rFonts w:ascii="Arial Narrow" w:hAnsi="Arial Narrow" w:cs="Arial"/>
                <w:sz w:val="14"/>
                <w:szCs w:val="14"/>
              </w:rPr>
              <w:t>GPS: Mapa base mundial con relieve sombreado; Tamaño de la pantalla (Ancho/Alto) 3,8 ancho x 6,3 cm alto; 7,6 cm diagonal; Resolución de pantalla (Ancho/Alto) 240 x 400 píxeles; Tipo de pantalla táctil TFT en color transflectiva (se puede leer bajo el sol); GPS de alta sensibilidad y recepción de satélites GLONASS; Batería NiMH recargable (incluida) o 2 pilas AA (no incluidas); se recomienda NiMH o litio; Duración de la batería 16 horas; Botón de encendido y apagado; Camera Sí (8 megapíxeles con enfoque automático;</w:t>
            </w:r>
            <w:r w:rsidRPr="003B5E9C">
              <w:rPr>
                <w:rFonts w:ascii="Arial Unicode MS" w:eastAsia="Arial Unicode MS" w:hAnsi="Arial Unicode MS" w:cs="Arial Unicode MS" w:hint="eastAsia"/>
                <w:sz w:val="14"/>
                <w:szCs w:val="14"/>
              </w:rPr>
              <w:t> </w:t>
            </w:r>
            <w:r w:rsidRPr="003B5E9C">
              <w:rPr>
                <w:rFonts w:ascii="Arial Narrow" w:hAnsi="Arial Narrow" w:cs="Arial"/>
                <w:sz w:val="14"/>
                <w:szCs w:val="14"/>
              </w:rPr>
              <w:t>zoom digital y flash); Altímetro barométrico Sí; Brújula electrónica Sí (tres ejes con inclinación compensada); Transferencia de unidad a unidad (comparte datos con unidades similares de forma inalámbrica) Sí (con imágenes y mapas personalizados); Compatible con los mapas personalizados</w:t>
            </w:r>
            <w:r w:rsidRPr="003B5E9C">
              <w:rPr>
                <w:rFonts w:ascii="Arial Narrow" w:hAnsi="Arial Narrow" w:cs="Arial"/>
                <w:sz w:val="14"/>
                <w:szCs w:val="14"/>
              </w:rPr>
              <w:tab/>
              <w:t>Sí; Calendario de caza y pesca, Información astronómica, Predicción de mareas, Cálculo de áreas; Visor de imágenes; Interfaz del equipo, Compatible con USB de alta velocidad y NMEA 0183; Incluye, cable USB, batería de litio, manual y funda; Garantía de 2 años por desperfectos de fabricación</w:t>
            </w:r>
          </w:p>
        </w:tc>
        <w:tc>
          <w:tcPr>
            <w:tcW w:w="566"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Unidad</w:t>
            </w:r>
          </w:p>
        </w:tc>
        <w:tc>
          <w:tcPr>
            <w:tcW w:w="709"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2</w:t>
            </w:r>
          </w:p>
        </w:tc>
        <w:tc>
          <w:tcPr>
            <w:tcW w:w="791" w:type="dxa"/>
            <w:tcBorders>
              <w:top w:val="nil"/>
              <w:left w:val="nil"/>
              <w:bottom w:val="single" w:sz="4" w:space="0" w:color="auto"/>
              <w:right w:val="single" w:sz="4" w:space="0" w:color="auto"/>
            </w:tcBorders>
            <w:noWrap/>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 xml:space="preserve">Garmin </w:t>
            </w:r>
          </w:p>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Modelo OREGON 650</w:t>
            </w:r>
          </w:p>
        </w:tc>
        <w:tc>
          <w:tcPr>
            <w:tcW w:w="709" w:type="dxa"/>
            <w:tcBorders>
              <w:top w:val="nil"/>
              <w:left w:val="nil"/>
              <w:bottom w:val="single" w:sz="4" w:space="0" w:color="auto"/>
              <w:right w:val="nil"/>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765.00</w:t>
            </w:r>
          </w:p>
        </w:tc>
        <w:tc>
          <w:tcPr>
            <w:tcW w:w="941" w:type="dxa"/>
            <w:tcBorders>
              <w:top w:val="nil"/>
              <w:left w:val="single" w:sz="4" w:space="0" w:color="auto"/>
              <w:bottom w:val="single" w:sz="4" w:space="0" w:color="auto"/>
              <w:right w:val="single" w:sz="4" w:space="0" w:color="auto"/>
            </w:tcBorders>
            <w:vAlign w:val="center"/>
          </w:tcPr>
          <w:p w:rsidR="00B13CF0" w:rsidRPr="003B5E9C" w:rsidRDefault="00B13CF0" w:rsidP="00BC071C">
            <w:pPr>
              <w:jc w:val="center"/>
              <w:rPr>
                <w:rFonts w:ascii="Arial Narrow" w:hAnsi="Arial Narrow" w:cs="Arial"/>
                <w:sz w:val="14"/>
                <w:szCs w:val="14"/>
              </w:rPr>
            </w:pPr>
            <w:r w:rsidRPr="003B5E9C">
              <w:rPr>
                <w:rFonts w:ascii="Arial Narrow" w:hAnsi="Arial Narrow" w:cs="Arial"/>
                <w:sz w:val="14"/>
                <w:szCs w:val="14"/>
              </w:rPr>
              <w:t>1,530.00</w:t>
            </w:r>
          </w:p>
        </w:tc>
      </w:tr>
      <w:tr w:rsidR="00B13CF0" w:rsidRPr="003B5E9C" w:rsidTr="002374BF">
        <w:trPr>
          <w:trHeight w:val="288"/>
        </w:trPr>
        <w:tc>
          <w:tcPr>
            <w:tcW w:w="6454" w:type="dxa"/>
            <w:gridSpan w:val="5"/>
            <w:tcBorders>
              <w:top w:val="single" w:sz="8" w:space="0" w:color="auto"/>
              <w:left w:val="single" w:sz="8" w:space="0" w:color="auto"/>
              <w:bottom w:val="single" w:sz="8" w:space="0" w:color="auto"/>
              <w:right w:val="nil"/>
            </w:tcBorders>
            <w:vAlign w:val="center"/>
          </w:tcPr>
          <w:p w:rsidR="00B13CF0" w:rsidRPr="003B5E9C" w:rsidRDefault="00B13CF0" w:rsidP="00BC071C">
            <w:pPr>
              <w:jc w:val="center"/>
              <w:rPr>
                <w:rFonts w:ascii="Arial" w:hAnsi="Arial" w:cs="Arial"/>
                <w:b/>
                <w:bCs/>
                <w:sz w:val="16"/>
                <w:szCs w:val="16"/>
                <w:lang w:eastAsia="es-SV"/>
              </w:rPr>
            </w:pPr>
            <w:r w:rsidRPr="003B5E9C">
              <w:rPr>
                <w:rFonts w:ascii="Tahoma" w:hAnsi="Tahoma" w:cs="Tahoma"/>
                <w:b/>
                <w:bCs/>
                <w:sz w:val="14"/>
                <w:szCs w:val="14"/>
              </w:rPr>
              <w:t>MONTO TOTAL</w:t>
            </w:r>
            <w:r>
              <w:rPr>
                <w:rFonts w:ascii="Tahoma" w:hAnsi="Tahoma" w:cs="Tahoma"/>
                <w:b/>
                <w:bCs/>
                <w:sz w:val="14"/>
                <w:szCs w:val="14"/>
              </w:rPr>
              <w:t xml:space="preserve"> ADJUDICADO</w:t>
            </w:r>
          </w:p>
        </w:tc>
        <w:tc>
          <w:tcPr>
            <w:tcW w:w="791" w:type="dxa"/>
            <w:tcBorders>
              <w:top w:val="single" w:sz="8" w:space="0" w:color="auto"/>
              <w:left w:val="nil"/>
              <w:bottom w:val="single" w:sz="8" w:space="0" w:color="auto"/>
              <w:right w:val="nil"/>
            </w:tcBorders>
            <w:noWrap/>
            <w:vAlign w:val="center"/>
          </w:tcPr>
          <w:p w:rsidR="00B13CF0" w:rsidRPr="003B5E9C" w:rsidRDefault="00B13CF0" w:rsidP="00BC071C">
            <w:pPr>
              <w:jc w:val="center"/>
              <w:rPr>
                <w:rFonts w:ascii="Arial" w:hAnsi="Arial" w:cs="Arial"/>
                <w:sz w:val="16"/>
                <w:szCs w:val="16"/>
                <w:lang w:eastAsia="es-SV"/>
              </w:rPr>
            </w:pPr>
            <w:r w:rsidRPr="003B5E9C">
              <w:rPr>
                <w:rFonts w:ascii="Arial" w:hAnsi="Arial" w:cs="Arial"/>
                <w:sz w:val="16"/>
                <w:szCs w:val="16"/>
                <w:lang w:eastAsia="es-SV"/>
              </w:rPr>
              <w:t> </w:t>
            </w:r>
          </w:p>
        </w:tc>
        <w:tc>
          <w:tcPr>
            <w:tcW w:w="709" w:type="dxa"/>
            <w:tcBorders>
              <w:top w:val="single" w:sz="8" w:space="0" w:color="auto"/>
              <w:left w:val="nil"/>
              <w:bottom w:val="single" w:sz="8" w:space="0" w:color="auto"/>
              <w:right w:val="nil"/>
            </w:tcBorders>
            <w:noWrap/>
            <w:vAlign w:val="center"/>
          </w:tcPr>
          <w:p w:rsidR="00B13CF0" w:rsidRPr="003B5E9C" w:rsidRDefault="00B13CF0" w:rsidP="00BC071C">
            <w:pPr>
              <w:jc w:val="center"/>
              <w:rPr>
                <w:rFonts w:ascii="Arial" w:hAnsi="Arial" w:cs="Arial"/>
                <w:sz w:val="16"/>
                <w:szCs w:val="16"/>
                <w:lang w:eastAsia="es-SV"/>
              </w:rPr>
            </w:pPr>
            <w:r w:rsidRPr="003B5E9C">
              <w:rPr>
                <w:rFonts w:ascii="Arial" w:hAnsi="Arial" w:cs="Arial"/>
                <w:sz w:val="16"/>
                <w:szCs w:val="16"/>
                <w:lang w:eastAsia="es-SV"/>
              </w:rPr>
              <w:t> </w:t>
            </w:r>
          </w:p>
        </w:tc>
        <w:tc>
          <w:tcPr>
            <w:tcW w:w="941" w:type="dxa"/>
            <w:tcBorders>
              <w:top w:val="single" w:sz="8" w:space="0" w:color="auto"/>
              <w:left w:val="nil"/>
              <w:bottom w:val="single" w:sz="8" w:space="0" w:color="auto"/>
              <w:right w:val="single" w:sz="8" w:space="0" w:color="auto"/>
            </w:tcBorders>
            <w:noWrap/>
            <w:vAlign w:val="center"/>
          </w:tcPr>
          <w:p w:rsidR="00B13CF0" w:rsidRPr="003B5E9C" w:rsidRDefault="00B13CF0" w:rsidP="00BC071C">
            <w:pPr>
              <w:jc w:val="right"/>
              <w:rPr>
                <w:rFonts w:ascii="Arial" w:hAnsi="Arial" w:cs="Arial"/>
                <w:b/>
                <w:bCs/>
                <w:sz w:val="16"/>
                <w:szCs w:val="16"/>
                <w:lang w:eastAsia="es-SV"/>
              </w:rPr>
            </w:pPr>
            <w:r w:rsidRPr="003B5E9C">
              <w:rPr>
                <w:rFonts w:ascii="Arial" w:hAnsi="Arial" w:cs="Arial"/>
                <w:b/>
                <w:bCs/>
                <w:sz w:val="14"/>
                <w:szCs w:val="14"/>
                <w:lang w:eastAsia="es-SV"/>
              </w:rPr>
              <w:t>$3,837.00</w:t>
            </w:r>
          </w:p>
        </w:tc>
      </w:tr>
    </w:tbl>
    <w:p w:rsidR="00B13CF0" w:rsidRPr="003B5E9C" w:rsidRDefault="00B13CF0" w:rsidP="00B937AC">
      <w:pPr>
        <w:tabs>
          <w:tab w:val="left" w:pos="360"/>
        </w:tabs>
        <w:suppressAutoHyphens/>
        <w:jc w:val="both"/>
        <w:rPr>
          <w:rFonts w:ascii="Arial" w:hAnsi="Arial" w:cs="Arial"/>
          <w:sz w:val="22"/>
          <w:szCs w:val="22"/>
          <w:lang w:val="es-ES_tradnl"/>
        </w:rPr>
      </w:pPr>
    </w:p>
    <w:p w:rsidR="00B13CF0" w:rsidRPr="003C5564" w:rsidRDefault="00B13CF0" w:rsidP="00C866DD">
      <w:pPr>
        <w:spacing w:line="360" w:lineRule="auto"/>
        <w:ind w:right="-286"/>
        <w:jc w:val="both"/>
        <w:rPr>
          <w:rFonts w:ascii="Bookman Old Style" w:hAnsi="Bookman Old Style" w:cs="Tahoma"/>
          <w:sz w:val="21"/>
          <w:szCs w:val="21"/>
          <w:lang w:eastAsia="ar-SA"/>
        </w:rPr>
      </w:pPr>
      <w:r w:rsidRPr="003C5564">
        <w:rPr>
          <w:rFonts w:ascii="Bookman Old Style" w:hAnsi="Bookman Old Style" w:cs="Tahoma"/>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3C5564">
        <w:rPr>
          <w:rFonts w:ascii="Bookman Old Style" w:hAnsi="Bookman Old Style" w:cs="Tahoma"/>
          <w:b/>
          <w:bCs/>
          <w:sz w:val="22"/>
          <w:szCs w:val="22"/>
        </w:rPr>
        <w:t>“</w:t>
      </w:r>
      <w:r w:rsidRPr="003C5564">
        <w:rPr>
          <w:rFonts w:ascii="Bookman Old Style" w:hAnsi="Bookman Old Style" w:cs="Tahoma"/>
          <w:b/>
          <w:sz w:val="22"/>
          <w:szCs w:val="22"/>
        </w:rPr>
        <w:t>EL MAG</w:t>
      </w:r>
      <w:r w:rsidRPr="003C5564">
        <w:rPr>
          <w:rFonts w:ascii="Bookman Old Style" w:hAnsi="Bookman Old Style" w:cs="Tahoma"/>
          <w:sz w:val="22"/>
          <w:szCs w:val="22"/>
        </w:rPr>
        <w:t xml:space="preserve">” podrá realizar todas las gestiones de control en los aspectos material, técnico, financiero, legal y contable, que razonablemente considere necesarios a efecto de salvaguardar los intereses que persigue. </w:t>
      </w:r>
      <w:r w:rsidRPr="003C5564">
        <w:rPr>
          <w:rFonts w:ascii="Bookman Old Style" w:hAnsi="Bookman Old Style" w:cs="Tahoma"/>
          <w:b/>
          <w:sz w:val="22"/>
          <w:szCs w:val="22"/>
          <w:lang w:eastAsia="ar-SA"/>
        </w:rPr>
        <w:t>II.- PRECIO Y FORMA DE PAGO.</w:t>
      </w:r>
      <w:r w:rsidRPr="003C5564">
        <w:rPr>
          <w:rFonts w:ascii="Bookman Old Style" w:hAnsi="Bookman Old Style" w:cs="Tahoma"/>
          <w:sz w:val="22"/>
          <w:szCs w:val="22"/>
        </w:rPr>
        <w:t>El precio total del presente contrato es por la cantidad de</w:t>
      </w:r>
      <w:r w:rsidRPr="003C5564">
        <w:rPr>
          <w:rFonts w:ascii="Bookman Old Style" w:hAnsi="Bookman Old Style" w:cs="Tahoma"/>
          <w:b/>
          <w:sz w:val="22"/>
          <w:szCs w:val="22"/>
          <w:lang w:eastAsia="ar-SA"/>
        </w:rPr>
        <w:t>TRES MIL OCHOCIENTOS TREINTA Y SIETE DÓLARES DE LOS ESTADOS UNIDOS DE AMÉRICA (US$3,837.00),</w:t>
      </w:r>
      <w:r w:rsidRPr="003C5564">
        <w:rPr>
          <w:rFonts w:ascii="Bookman Old Style" w:hAnsi="Bookman Old Style" w:cs="Tahoma"/>
          <w:sz w:val="22"/>
          <w:szCs w:val="22"/>
          <w:lang w:eastAsia="ar-SA"/>
        </w:rPr>
        <w:t xml:space="preserve"> el cual incluye el Impuesto a la Transferencia de Bienes </w:t>
      </w:r>
      <w:r w:rsidRPr="003C5564">
        <w:rPr>
          <w:rFonts w:ascii="Bookman Old Style" w:hAnsi="Bookman Old Style" w:cs="Tahoma"/>
          <w:sz w:val="22"/>
          <w:szCs w:val="22"/>
          <w:lang w:eastAsia="ar-SA"/>
        </w:rPr>
        <w:lastRenderedPageBreak/>
        <w:t>Muebles y a la Prestación de Servicios (IVA)</w:t>
      </w:r>
      <w:r w:rsidRPr="003C5564">
        <w:rPr>
          <w:rFonts w:ascii="Bookman Old Style" w:hAnsi="Bookman Old Style" w:cs="Arial"/>
          <w:sz w:val="22"/>
          <w:szCs w:val="22"/>
        </w:rPr>
        <w:t>.</w:t>
      </w:r>
      <w:r w:rsidRPr="003C5564">
        <w:rPr>
          <w:rFonts w:ascii="Bookman Old Style" w:hAnsi="Bookman Old Style" w:cs="Tahoma"/>
          <w:sz w:val="22"/>
          <w:szCs w:val="22"/>
          <w:lang w:eastAsia="ar-SA"/>
        </w:rPr>
        <w:t>EL MAG podrá efectuar el pago dentro de un plazo de treinta días, posteriores al recibo a satisfacción de los bienes por parte de los Administradores del contrato,</w:t>
      </w:r>
      <w:r>
        <w:rPr>
          <w:rFonts w:ascii="Bookman Old Style" w:hAnsi="Bookman Old Style" w:cs="Tahoma"/>
          <w:sz w:val="22"/>
          <w:szCs w:val="22"/>
          <w:lang w:eastAsia="ar-SA"/>
        </w:rPr>
        <w:t xml:space="preserve"> y</w:t>
      </w:r>
      <w:r w:rsidRPr="003C5564">
        <w:rPr>
          <w:rFonts w:ascii="Bookman Old Style" w:hAnsi="Bookman Old Style" w:cs="Tahoma"/>
          <w:sz w:val="22"/>
          <w:szCs w:val="22"/>
          <w:lang w:eastAsia="ar-SA"/>
        </w:rPr>
        <w:t xml:space="preserve"> los comprobantes de crédito</w:t>
      </w:r>
      <w:r>
        <w:rPr>
          <w:rFonts w:ascii="Bookman Old Style" w:hAnsi="Bookman Old Style" w:cs="Tahoma"/>
          <w:sz w:val="22"/>
          <w:szCs w:val="22"/>
          <w:lang w:eastAsia="ar-SA"/>
        </w:rPr>
        <w:t xml:space="preserve"> </w:t>
      </w:r>
      <w:r w:rsidRPr="003C5564">
        <w:rPr>
          <w:rFonts w:ascii="Bookman Old Style" w:hAnsi="Bookman Old Style" w:cs="Tahoma"/>
          <w:sz w:val="22"/>
          <w:szCs w:val="22"/>
          <w:lang w:eastAsia="ar-SA"/>
        </w:rPr>
        <w:t>fiscal a nombre de: Pagaduría Auxiliar Fondo de Actividades Especiales DGSVA y Pagaduría Auxiliar Fondo de Actividades Especiales DGFCR según corresponda</w:t>
      </w:r>
      <w:r>
        <w:rPr>
          <w:rFonts w:ascii="Bookman Old Style" w:hAnsi="Bookman Old Style" w:cs="Tahoma"/>
          <w:sz w:val="22"/>
          <w:szCs w:val="22"/>
          <w:lang w:eastAsia="ar-SA"/>
        </w:rPr>
        <w:t xml:space="preserve"> </w:t>
      </w:r>
      <w:r w:rsidRPr="003C5564">
        <w:rPr>
          <w:rFonts w:ascii="Bookman Old Style" w:hAnsi="Bookman Old Style" w:cs="Tahoma"/>
          <w:sz w:val="22"/>
          <w:szCs w:val="22"/>
          <w:lang w:eastAsia="ar-SA"/>
        </w:rPr>
        <w:t>y las actas de recepción respectivas, dichos documentos deberán estar firmados por los administradores de contrato de las dependencias del MAG que recibieron a satisfacción los bienes; y por ser las Direcciones solicitantes Agentes de Retención, de dicho pago se retendrá el 1% en concepto de anticipo del Impuesto a la Transferencia de Bienes Muebles y a la Prestación de Servicios (IVA), según Resoluciones emitidas por el Ministerio de Hacienda números: Doce mil trescientos uno- NEX- dos mil ciento sesenta y tres- dos mil siete, a la Dirección General de Sanidad Vegetal y Animal y Doce mil trescientos uno-NEX mil ochocientos treinta y cinco- dos mil siete, a la Dirección General de Ordenamiento Forestal Cuencas y Riego. Siempre y cuando la Dirección General de Tesorería del Ministerio de Hacienda haya realizado la transferencia correspondiente</w:t>
      </w:r>
      <w:r>
        <w:rPr>
          <w:rFonts w:ascii="Bookman Old Style" w:hAnsi="Bookman Old Style" w:cs="Tahoma"/>
          <w:sz w:val="22"/>
          <w:szCs w:val="22"/>
          <w:lang w:eastAsia="ar-SA"/>
        </w:rPr>
        <w:t xml:space="preserve"> </w:t>
      </w:r>
      <w:r w:rsidRPr="003C5564">
        <w:rPr>
          <w:rFonts w:ascii="Bookman Old Style" w:hAnsi="Bookman Old Style" w:cs="Tahoma"/>
          <w:sz w:val="22"/>
          <w:szCs w:val="22"/>
          <w:lang w:eastAsia="ar-SA"/>
        </w:rPr>
        <w:t xml:space="preserve">el pago será realizado mediante el Sistema de Cuenta Corriente Única del Tesoro Público, realizada por la Dirección General de Tesorería del Ministerio de Hacienda a la Cuenta siguiente: </w:t>
      </w:r>
      <w:r w:rsidRPr="00814AC7">
        <w:rPr>
          <w:rFonts w:ascii="Bookman Old Style" w:hAnsi="Bookman Old Style" w:cs="Tahoma"/>
          <w:sz w:val="22"/>
          <w:szCs w:val="22"/>
          <w:lang w:eastAsia="ar-SA"/>
        </w:rPr>
        <w:t>Nombre de la Cuenta</w:t>
      </w:r>
      <w:r w:rsidR="00603658">
        <w:rPr>
          <w:rFonts w:ascii="Bookman Old Style" w:hAnsi="Bookman Old Style" w:cs="Tahoma"/>
          <w:sz w:val="22"/>
          <w:szCs w:val="22"/>
          <w:lang w:eastAsia="ar-SA"/>
        </w:rPr>
        <w:t xml:space="preserve"> </w:t>
      </w:r>
      <w:r w:rsidR="00603658" w:rsidRPr="00603658">
        <w:rPr>
          <w:rFonts w:ascii="Bookman Old Style" w:hAnsi="Bookman Old Style" w:cs="Tahoma"/>
          <w:sz w:val="22"/>
          <w:szCs w:val="22"/>
          <w:highlight w:val="black"/>
          <w:lang w:eastAsia="ar-SA"/>
        </w:rPr>
        <w:t>***************************************************</w:t>
      </w:r>
      <w:r w:rsidRPr="003C5564">
        <w:rPr>
          <w:rFonts w:ascii="Bookman Old Style" w:hAnsi="Bookman Old Style" w:cs="Tahoma"/>
          <w:sz w:val="22"/>
          <w:szCs w:val="22"/>
          <w:lang w:eastAsia="ar-SA"/>
        </w:rPr>
        <w:t xml:space="preserve">; cuyo titular es “LA CONTRATISTA”, la cual fue previamente designada por ésta, de conformidad a lo establecido en los Artículos 60, 61, 62, 63 y 70 de la Ley AFI y Artículos 75 y 76 de su Reglamento.  </w:t>
      </w:r>
      <w:r w:rsidRPr="003C5564">
        <w:rPr>
          <w:rFonts w:ascii="Bookman Old Style" w:hAnsi="Bookman Old Style" w:cs="Tahoma"/>
          <w:b/>
          <w:sz w:val="22"/>
          <w:szCs w:val="22"/>
        </w:rPr>
        <w:t>III.- VIGENCIA DEL CONTRATO</w:t>
      </w:r>
      <w:r w:rsidRPr="003C5564">
        <w:rPr>
          <w:rFonts w:ascii="Bookman Old Style" w:hAnsi="Bookman Old Style" w:cs="Tahoma"/>
          <w:sz w:val="22"/>
          <w:szCs w:val="22"/>
        </w:rPr>
        <w:t>. La vigencia del presente contrato será a partir de la fecha de su suscripción hasta el treinta y uno de diciembre de dos mil dieciséis. Se podrá prorrogar el plazo del contrato de conformidad con la LACAP y su Reglamento.</w:t>
      </w:r>
      <w:r>
        <w:rPr>
          <w:rFonts w:ascii="Bookman Old Style" w:hAnsi="Bookman Old Style" w:cs="Tahoma"/>
          <w:sz w:val="22"/>
          <w:szCs w:val="22"/>
        </w:rPr>
        <w:t xml:space="preserve"> </w:t>
      </w:r>
      <w:r w:rsidRPr="003C5564">
        <w:rPr>
          <w:rFonts w:ascii="Bookman Old Style" w:hAnsi="Bookman Old Style" w:cs="Tahoma"/>
          <w:b/>
          <w:sz w:val="22"/>
          <w:szCs w:val="22"/>
          <w:lang w:eastAsia="ar-SA"/>
        </w:rPr>
        <w:t>IV.- FORMA Y PLAZO DE ENTREGA Y RECEPCIÓN</w:t>
      </w:r>
      <w:r w:rsidRPr="003C5564">
        <w:rPr>
          <w:rFonts w:ascii="Bookman Old Style" w:hAnsi="Bookman Old Style" w:cs="Tahoma"/>
          <w:sz w:val="22"/>
          <w:szCs w:val="22"/>
          <w:lang w:eastAsia="ar-SA"/>
        </w:rPr>
        <w:t>. De conformidad con el artículo cuarenta y cuatro literal j) de la LACAP y su Reglamento, y a las bases de licitación, los bienes objeto</w:t>
      </w:r>
      <w:r>
        <w:rPr>
          <w:rFonts w:ascii="Bookman Old Style" w:hAnsi="Bookman Old Style" w:cs="Tahoma"/>
          <w:sz w:val="22"/>
          <w:szCs w:val="22"/>
          <w:lang w:eastAsia="ar-SA"/>
        </w:rPr>
        <w:t xml:space="preserve"> </w:t>
      </w:r>
      <w:r w:rsidRPr="003C5564">
        <w:rPr>
          <w:rFonts w:ascii="Bookman Old Style" w:hAnsi="Bookman Old Style" w:cs="Tahoma"/>
          <w:sz w:val="22"/>
          <w:szCs w:val="22"/>
          <w:lang w:eastAsia="ar-SA"/>
        </w:rPr>
        <w:t xml:space="preserve">del presente contrato serán suministrados por “LA CONTRATISTA” a “EL MAG”, según detalle: </w:t>
      </w:r>
      <w:r w:rsidRPr="003C5564">
        <w:rPr>
          <w:rFonts w:ascii="Bookman Old Style" w:hAnsi="Bookman Old Style" w:cs="Tahoma"/>
          <w:sz w:val="22"/>
          <w:szCs w:val="22"/>
          <w:u w:val="single"/>
          <w:lang w:eastAsia="ar-SA"/>
        </w:rPr>
        <w:t>en un plazo de quince(15)días calendario</w:t>
      </w:r>
      <w:r w:rsidRPr="003C5564">
        <w:rPr>
          <w:rFonts w:ascii="Bookman Old Style" w:hAnsi="Bookman Old Style" w:cs="Tahoma"/>
          <w:sz w:val="22"/>
          <w:szCs w:val="22"/>
          <w:lang w:eastAsia="ar-SA"/>
        </w:rPr>
        <w:t xml:space="preserve"> para los renglones números uno y tres del lote número uno y para el renglón número dos del lote número tres, y</w:t>
      </w:r>
      <w:r>
        <w:rPr>
          <w:rFonts w:ascii="Bookman Old Style" w:hAnsi="Bookman Old Style" w:cs="Tahoma"/>
          <w:sz w:val="22"/>
          <w:szCs w:val="22"/>
          <w:lang w:eastAsia="ar-SA"/>
        </w:rPr>
        <w:t xml:space="preserve"> </w:t>
      </w:r>
      <w:r w:rsidRPr="003C5564">
        <w:rPr>
          <w:rFonts w:ascii="Bookman Old Style" w:hAnsi="Bookman Old Style" w:cs="Tahoma"/>
          <w:sz w:val="22"/>
          <w:szCs w:val="22"/>
          <w:u w:val="single"/>
          <w:lang w:eastAsia="ar-SA"/>
        </w:rPr>
        <w:t>en un plazo de sesenta(60)días calendario</w:t>
      </w:r>
      <w:r w:rsidRPr="003C5564">
        <w:rPr>
          <w:rFonts w:ascii="Bookman Old Style" w:hAnsi="Bookman Old Style" w:cs="Tahoma"/>
          <w:sz w:val="22"/>
          <w:szCs w:val="22"/>
          <w:lang w:eastAsia="ar-SA"/>
        </w:rPr>
        <w:t xml:space="preserve"> para los renglones números uno y dos del lote número cinco, según su oferta de fecha diez de agosto de dos mil dieciséis, este plazo será contado a partir de la fecha de la Orden de Pedido</w:t>
      </w:r>
      <w:r>
        <w:rPr>
          <w:rFonts w:ascii="Bookman Old Style" w:hAnsi="Bookman Old Style" w:cs="Tahoma"/>
          <w:sz w:val="22"/>
          <w:szCs w:val="22"/>
          <w:lang w:eastAsia="ar-SA"/>
        </w:rPr>
        <w:t xml:space="preserve"> emitida por los administradores </w:t>
      </w:r>
      <w:r>
        <w:rPr>
          <w:rFonts w:ascii="Bookman Old Style" w:hAnsi="Bookman Old Style" w:cs="Tahoma"/>
          <w:sz w:val="22"/>
          <w:szCs w:val="22"/>
          <w:lang w:eastAsia="ar-SA"/>
        </w:rPr>
        <w:lastRenderedPageBreak/>
        <w:t>de contrato</w:t>
      </w:r>
      <w:r w:rsidRPr="003C5564">
        <w:rPr>
          <w:rFonts w:ascii="Bookman Old Style" w:hAnsi="Bookman Old Style" w:cs="Arial"/>
          <w:sz w:val="22"/>
          <w:szCs w:val="22"/>
          <w:lang w:val="es-ES_tradnl"/>
        </w:rPr>
        <w:t xml:space="preserve">. </w:t>
      </w:r>
      <w:r w:rsidRPr="003C5564">
        <w:rPr>
          <w:rFonts w:ascii="Bookman Old Style" w:hAnsi="Bookman Old Style" w:cs="Tahoma"/>
          <w:sz w:val="22"/>
          <w:szCs w:val="22"/>
          <w:lang w:eastAsia="ar-SA"/>
        </w:rPr>
        <w:t>La recepción se efectuará de conformidad con lo ofertado y a lo establecido en el artículo ciento veintiuno de la Ley de Adquisiciones y Contrataciones de la Administración Pública, los equipos serán entregados en las bodegas de las siguientes dependencias: Dirección General de Sanidad Vegetal, Dirección General de Ganadería y Dirección General de Ordenamiento Forestal, Cuencas y Riego, ubicadas en Cantón El Matazano, Soyapango, departamento de San Salvador.</w:t>
      </w:r>
      <w:r>
        <w:rPr>
          <w:rFonts w:ascii="Bookman Old Style" w:hAnsi="Bookman Old Style" w:cs="Tahoma"/>
          <w:sz w:val="22"/>
          <w:szCs w:val="22"/>
          <w:lang w:eastAsia="ar-SA"/>
        </w:rPr>
        <w:t xml:space="preserve"> </w:t>
      </w:r>
      <w:r w:rsidRPr="003C5564">
        <w:rPr>
          <w:rFonts w:ascii="Bookman Old Style" w:hAnsi="Bookman Old Style" w:cs="Tahoma"/>
          <w:b/>
          <w:sz w:val="22"/>
          <w:szCs w:val="22"/>
          <w:lang w:eastAsia="ar-SA"/>
        </w:rPr>
        <w:t>V.- OBLIGACIONES DE EL MAG.</w:t>
      </w:r>
      <w:r w:rsidRPr="003C5564">
        <w:rPr>
          <w:rFonts w:ascii="Bookman Old Style" w:hAnsi="Bookman Old Style" w:cs="Tahoma"/>
          <w:sz w:val="22"/>
          <w:szCs w:val="22"/>
          <w:lang w:eastAsia="ar-SA"/>
        </w:rPr>
        <w:t xml:space="preserve"> “EL MAG” deberá hacer el pago de los bienes detallados en la cláusula I</w:t>
      </w:r>
      <w:r>
        <w:rPr>
          <w:rFonts w:ascii="Bookman Old Style" w:hAnsi="Bookman Old Style" w:cs="Tahoma"/>
          <w:sz w:val="22"/>
          <w:szCs w:val="22"/>
          <w:lang w:eastAsia="ar-SA"/>
        </w:rPr>
        <w:t xml:space="preserve"> </w:t>
      </w:r>
      <w:r w:rsidRPr="003C5564">
        <w:rPr>
          <w:rFonts w:ascii="Bookman Old Style" w:hAnsi="Bookman Old Style" w:cs="Tahoma"/>
          <w:sz w:val="22"/>
          <w:szCs w:val="22"/>
          <w:lang w:eastAsia="ar-SA"/>
        </w:rPr>
        <w:t>de este contrato a través de recursos provenientes de</w:t>
      </w:r>
      <w:r>
        <w:rPr>
          <w:rFonts w:ascii="Bookman Old Style" w:hAnsi="Bookman Old Style" w:cs="Tahoma"/>
          <w:sz w:val="22"/>
          <w:szCs w:val="22"/>
          <w:lang w:eastAsia="ar-SA"/>
        </w:rPr>
        <w:t xml:space="preserve"> </w:t>
      </w:r>
      <w:r w:rsidRPr="003C5564">
        <w:rPr>
          <w:rFonts w:ascii="Bookman Old Style" w:hAnsi="Bookman Old Style" w:cs="Tahoma"/>
          <w:sz w:val="22"/>
          <w:szCs w:val="22"/>
          <w:lang w:eastAsia="ar-SA"/>
        </w:rPr>
        <w:t>los Fondos de Actividades Especiales de la Dirección General de Sanidad Vegetal y Animal y de la Dirección General de Ordenamiento Forestal, Cuencas y Riego, respectivamente.</w:t>
      </w:r>
      <w:r w:rsidRPr="003C5564">
        <w:rPr>
          <w:rFonts w:ascii="Bookman Old Style" w:hAnsi="Bookman Old Style" w:cs="Tahoma"/>
          <w:b/>
          <w:sz w:val="22"/>
          <w:szCs w:val="22"/>
          <w:lang w:eastAsia="ar-SA"/>
        </w:rPr>
        <w:t>VI.- ADMINISTRACION DEL CONTRATO</w:t>
      </w:r>
      <w:r w:rsidRPr="003C5564">
        <w:rPr>
          <w:rFonts w:ascii="Bookman Old Style" w:hAnsi="Bookman Old Style" w:cs="Tahoma"/>
          <w:sz w:val="22"/>
          <w:szCs w:val="22"/>
          <w:lang w:eastAsia="ar-SA"/>
        </w:rPr>
        <w:t>. El Director General de Administración</w:t>
      </w:r>
      <w:r>
        <w:rPr>
          <w:rFonts w:ascii="Bookman Old Style" w:hAnsi="Bookman Old Style" w:cs="Tahoma"/>
          <w:sz w:val="22"/>
          <w:szCs w:val="22"/>
          <w:lang w:eastAsia="ar-SA"/>
        </w:rPr>
        <w:t xml:space="preserve"> </w:t>
      </w:r>
      <w:r w:rsidRPr="003C5564">
        <w:rPr>
          <w:rFonts w:ascii="Bookman Old Style" w:hAnsi="Bookman Old Style" w:cs="Tahoma"/>
          <w:sz w:val="22"/>
          <w:szCs w:val="22"/>
          <w:lang w:eastAsia="ar-SA"/>
        </w:rPr>
        <w:t xml:space="preserve">y Finanzas delegado del Titular del MAG, mediante Acuerdo Ejecutivo en el Ramo de Agricultura y Ganadería Número trescientos setenta y uno de fecha uno de julio de dos mil dieciséis, nombró como Administradores del contrato a las siguientes personas: ingeniero Saúl Roberto Avelar Sánchez, jefe de la unidad de infraestructura y mantenimiento, ingeniero Douglas Arsenio Navarro Montes, jefe de la División de Vigilancia y Certificación de Producción Agrícola, ingeniero Marlon René Alvarado Villatoro, Coordinador Técnico Agropecuario, Doctor José Francisco Morales Martínez, Encargado Área de Rastreabilidad de Animales, licenciado Eduardo Antonio Jiménez, Técnico en Planificación, señor César Alejandro Guerra Ganuza, Auxiliar de Mantenimiento de Infraestructura de Riego y Drenaje, ingeniero Francisco Salvador Fuentes Cordero, Técnico de la División de Vigilancia y Certificación de Producción Agrícola, ingeniera Lucía Alicia Gómez Vaquerano, Jefa de la División de Cambio Climático, licenciada Milagro Lourdes Méndez de Deras, Técnico en el Departamento de Estadísticas Pesqueras y Acuícola, licenciado Wilberto Rodríguez Vividor, Técnico Departamento de Planificación, ingeniera Lidia Rosalía NuilaNuila, con cargo de Técnico en Acuicultura, ingeniera Flor de María Urrutia Araujo, Técnico Analista </w:t>
      </w:r>
      <w:r>
        <w:rPr>
          <w:rFonts w:ascii="Bookman Old Style" w:hAnsi="Bookman Old Style" w:cs="Tahoma"/>
          <w:sz w:val="22"/>
          <w:szCs w:val="22"/>
          <w:lang w:eastAsia="ar-SA"/>
        </w:rPr>
        <w:t>d</w:t>
      </w:r>
      <w:r w:rsidRPr="003C5564">
        <w:rPr>
          <w:rFonts w:ascii="Bookman Old Style" w:hAnsi="Bookman Old Style" w:cs="Tahoma"/>
          <w:sz w:val="22"/>
          <w:szCs w:val="22"/>
          <w:lang w:eastAsia="ar-SA"/>
        </w:rPr>
        <w:t xml:space="preserve">e Semillas, ingeniera Anakely Romero de Huezo, Técnico de Laboratorio de Diagnóstico Vegetal, del Ministerio de Agricultura o a quienes los sustituyan en el cargo por cualquier circunstancia. </w:t>
      </w:r>
      <w:r w:rsidRPr="003C5564">
        <w:rPr>
          <w:rFonts w:ascii="Bookman Old Style" w:hAnsi="Bookman Old Style" w:cs="Tahoma"/>
          <w:sz w:val="22"/>
          <w:szCs w:val="22"/>
        </w:rPr>
        <w:t xml:space="preserve">Serán funciones de los administradores del contrato: </w:t>
      </w:r>
      <w:r w:rsidRPr="003C5564">
        <w:rPr>
          <w:rFonts w:ascii="Bookman Old Style" w:hAnsi="Bookman Old Style"/>
          <w:sz w:val="22"/>
          <w:szCs w:val="22"/>
        </w:rPr>
        <w:t xml:space="preserve">a) Ser los representantes de EL MAG en el desarrollo y ejecución del contrato así como emitir la Orden de Pedido de conformidad a los plazos normados en el contrato; b) Dar </w:t>
      </w:r>
      <w:r w:rsidRPr="003C5564">
        <w:rPr>
          <w:rFonts w:ascii="Bookman Old Style" w:hAnsi="Bookman Old Style"/>
          <w:sz w:val="22"/>
          <w:szCs w:val="22"/>
        </w:rPr>
        <w:lastRenderedPageBreak/>
        <w:t>seguimiento a la ejecución de este contrato, y efectuar directamente los reclamos por escrito a “</w:t>
      </w:r>
      <w:r w:rsidR="00141665" w:rsidRPr="003C5564">
        <w:rPr>
          <w:rFonts w:ascii="Bookman Old Style" w:hAnsi="Bookman Old Style"/>
          <w:b/>
          <w:bCs/>
          <w:sz w:val="22"/>
          <w:szCs w:val="22"/>
        </w:rPr>
        <w:fldChar w:fldCharType="begin"/>
      </w:r>
      <w:r w:rsidRPr="003C5564">
        <w:rPr>
          <w:rFonts w:ascii="Bookman Old Style" w:hAnsi="Bookman Old Style"/>
          <w:b/>
          <w:bCs/>
          <w:sz w:val="22"/>
          <w:szCs w:val="22"/>
        </w:rPr>
        <w:instrText xml:space="preserve"> MERGEFIELD "Forma_como_se_denominara_el_Proveedor" </w:instrText>
      </w:r>
      <w:r w:rsidR="00141665" w:rsidRPr="003C5564">
        <w:rPr>
          <w:rFonts w:ascii="Bookman Old Style" w:hAnsi="Bookman Old Style"/>
          <w:b/>
          <w:bCs/>
          <w:sz w:val="22"/>
          <w:szCs w:val="22"/>
        </w:rPr>
        <w:fldChar w:fldCharType="separate"/>
      </w:r>
      <w:r w:rsidRPr="003C5564">
        <w:rPr>
          <w:rFonts w:ascii="Bookman Old Style" w:hAnsi="Bookman Old Style"/>
          <w:b/>
          <w:bCs/>
          <w:noProof/>
          <w:sz w:val="22"/>
          <w:szCs w:val="22"/>
        </w:rPr>
        <w:t>LA CONTRATISTA</w:t>
      </w:r>
      <w:r w:rsidR="00141665" w:rsidRPr="003C5564">
        <w:rPr>
          <w:rFonts w:ascii="Bookman Old Style" w:hAnsi="Bookman Old Style"/>
          <w:b/>
          <w:bCs/>
          <w:sz w:val="22"/>
          <w:szCs w:val="22"/>
        </w:rPr>
        <w:fldChar w:fldCharType="end"/>
      </w:r>
      <w:r w:rsidRPr="003C5564">
        <w:rPr>
          <w:rFonts w:ascii="Bookman Old Style" w:hAnsi="Bookman Old Style"/>
          <w:b/>
          <w:bCs/>
          <w:sz w:val="22"/>
          <w:szCs w:val="22"/>
        </w:rPr>
        <w:t xml:space="preserve">” </w:t>
      </w:r>
      <w:r w:rsidRPr="003C5564">
        <w:rPr>
          <w:rFonts w:ascii="Bookman Old Style" w:hAnsi="Bookman Old Style"/>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3C5564">
        <w:rPr>
          <w:rFonts w:ascii="Bookman Old Style" w:hAnsi="Bookman Old Style"/>
          <w:sz w:val="22"/>
          <w:szCs w:val="22"/>
          <w:lang w:val="es-ES_tradnl"/>
        </w:rPr>
        <w:t xml:space="preserve">) </w:t>
      </w:r>
      <w:r w:rsidRPr="003C5564">
        <w:rPr>
          <w:rFonts w:ascii="Bookman Old Style" w:hAnsi="Bookman Old Style"/>
          <w:sz w:val="22"/>
          <w:szCs w:val="22"/>
        </w:rPr>
        <w:t>La elaboración de las Actas de Recepción respectivas, conforme a lo establecido en el Art. 77 RELACAP</w:t>
      </w:r>
      <w:r w:rsidRPr="003C5564">
        <w:rPr>
          <w:rFonts w:ascii="Bookman Old Style" w:hAnsi="Bookman Old Style"/>
          <w:sz w:val="22"/>
          <w:szCs w:val="22"/>
          <w:lang w:val="es-ES_tradnl"/>
        </w:rPr>
        <w:t>;</w:t>
      </w:r>
      <w:r w:rsidRPr="003C5564">
        <w:rPr>
          <w:rFonts w:ascii="Bookman Old Style" w:hAnsi="Bookman Old Style"/>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3C5564">
        <w:rPr>
          <w:rFonts w:ascii="Bookman Old Style" w:hAnsi="Bookman Old Style" w:cs="Tahoma"/>
          <w:b/>
          <w:sz w:val="22"/>
          <w:szCs w:val="22"/>
          <w:lang w:eastAsia="ar-SA"/>
        </w:rPr>
        <w:t>VII. CESIÓN.</w:t>
      </w:r>
      <w:r w:rsidRPr="003C5564">
        <w:rPr>
          <w:rFonts w:ascii="Bookman Old Style" w:hAnsi="Bookman Old Style" w:cs="Tahoma"/>
          <w:sz w:val="22"/>
          <w:szCs w:val="22"/>
          <w:lang w:eastAsia="ar-SA"/>
        </w:rPr>
        <w:t xml:space="preserve"> Queda expresamente prohibido a “LA CONTRATISTA”, traspasar o ceder a cualquier título los derechos y obligaciones que emanan del presente contrato. La trasgresión de esta disposición dará lugar a la caducidad del contrato. </w:t>
      </w:r>
      <w:r w:rsidRPr="003C5564">
        <w:rPr>
          <w:rFonts w:ascii="Bookman Old Style" w:hAnsi="Bookman Old Style" w:cs="Tahoma"/>
          <w:b/>
          <w:sz w:val="22"/>
          <w:szCs w:val="22"/>
          <w:lang w:eastAsia="ar-SA"/>
        </w:rPr>
        <w:t>VIII.- GARANTÍAS.</w:t>
      </w:r>
      <w:r w:rsidRPr="003C5564">
        <w:rPr>
          <w:rFonts w:ascii="Bookman Old Style" w:hAnsi="Bookman Old Style" w:cs="Tahoma"/>
          <w:sz w:val="22"/>
          <w:szCs w:val="22"/>
          <w:lang w:eastAsia="ar-SA"/>
        </w:rPr>
        <w:t xml:space="preserve"> Para garantizar el cumplimiento de las obligaciones emanadas </w:t>
      </w:r>
      <w:r w:rsidRPr="003C5564">
        <w:rPr>
          <w:rFonts w:ascii="Bookman Old Style" w:hAnsi="Bookman Old Style" w:cs="Tahoma"/>
          <w:sz w:val="22"/>
          <w:szCs w:val="22"/>
          <w:lang w:eastAsia="ar-SA"/>
        </w:rPr>
        <w:lastRenderedPageBreak/>
        <w:t xml:space="preserve">del presente contrato “LA CONTRATISTA”, se obliga a presentar a “EL MAG” las siguientes garantías: </w:t>
      </w:r>
      <w:r w:rsidRPr="003C5564">
        <w:rPr>
          <w:rFonts w:ascii="Bookman Old Style" w:hAnsi="Bookman Old Style" w:cs="Tahoma"/>
          <w:b/>
          <w:sz w:val="22"/>
          <w:szCs w:val="22"/>
          <w:lang w:eastAsia="ar-SA"/>
        </w:rPr>
        <w:t>a) GARANTIA DE CUMPLIMIENTO DE CONTRATO</w:t>
      </w:r>
      <w:r w:rsidRPr="003C5564">
        <w:rPr>
          <w:rFonts w:ascii="Bookman Old Style" w:hAnsi="Bookman Old Style" w:cs="Tahoma"/>
          <w:sz w:val="22"/>
          <w:szCs w:val="22"/>
          <w:lang w:eastAsia="ar-SA"/>
        </w:rPr>
        <w:t xml:space="preserve">. Esta garantía deberá ser presentada en un plazo no mayor de diez días hábiles contados a partir de la fecha en que LA CONTRATISTA reciba copia del contrato debidamente legalizado, por un monto de </w:t>
      </w:r>
      <w:r w:rsidRPr="003C5564">
        <w:rPr>
          <w:rFonts w:ascii="Bookman Old Style" w:hAnsi="Bookman Old Style" w:cs="Tahoma"/>
          <w:b/>
          <w:sz w:val="22"/>
          <w:szCs w:val="22"/>
          <w:lang w:eastAsia="ar-SA"/>
        </w:rPr>
        <w:t>TRESCIENTOS OCHENTA Y TRES DÓLARES CON SETENTA CENTAVOS DE DÓLAR DE LOS ESTADOS UNIDOS DE AMÉRICA (US$383.70)</w:t>
      </w:r>
      <w:r w:rsidRPr="003C5564">
        <w:rPr>
          <w:rFonts w:ascii="Bookman Old Style" w:hAnsi="Bookman Old Style" w:cs="Tahoma"/>
          <w:sz w:val="22"/>
          <w:szCs w:val="22"/>
          <w:lang w:eastAsia="ar-SA"/>
        </w:rPr>
        <w:t>, equivalente al diez por ciento del monto del contrato. Dicha garantía puede ser una Fianza emitida a favor del MAG por un Banco, compañía de seguros o sociedad afianzadora debidamente autorizados por la Superintendencia del Sistema Financiero para operar en El Salvador. Dicha garantía deberá exceder en sesenta días al plazo de la vigencia del contrato, de conformidad con lo establecido en las bases de licitación y en el Art. 35 de la LACAP. Si no se presentare tal garantía en el plazo establecido se tendrá por caducado el presente contrato y se entenderá que “LA CONTRATISTA” ha desistido de su oferta haciéndose efectiva la garantía de mantenimiento de oferta, sin detrimento de la acción que le compete a “EL MAG”, para reclamar los daños y perjuicios resultantes</w:t>
      </w:r>
      <w:r w:rsidRPr="003C5564">
        <w:rPr>
          <w:rFonts w:ascii="Bookman Old Style" w:hAnsi="Bookman Old Style" w:cs="Arial"/>
          <w:sz w:val="22"/>
          <w:szCs w:val="22"/>
          <w:lang w:val="es-SV"/>
        </w:rPr>
        <w:t xml:space="preserve">.y b) </w:t>
      </w:r>
      <w:r w:rsidRPr="003C5564">
        <w:rPr>
          <w:rFonts w:ascii="Bookman Old Style" w:hAnsi="Bookman Old Style" w:cs="Arial"/>
          <w:b/>
          <w:sz w:val="22"/>
          <w:szCs w:val="22"/>
          <w:lang w:val="es-SV"/>
        </w:rPr>
        <w:t>GARANTIA DE BUENA CALIDAD DE BIENES</w:t>
      </w:r>
      <w:r w:rsidRPr="003C5564">
        <w:rPr>
          <w:rFonts w:ascii="Bookman Old Style" w:hAnsi="Bookman Old Style" w:cs="Arial"/>
          <w:sz w:val="22"/>
          <w:szCs w:val="22"/>
          <w:lang w:val="es-SV"/>
        </w:rPr>
        <w:t xml:space="preserve">. LA CONTRATISTA deberá otorgar una Garantía de Buena Calidad de Bienes, la que puede ser una Fianza emitida a favor del MAG, por un Banco, Compañía de Seguros o Sociedad Afianzadora debidamente autorizados por la Superintendencia del Sistema Financiero de El Salvador, para operar en El Salvador, por un monto igual al diez por ciento del monto final del contrato, y su vigencia será de DOCE MESES, contados a partir de la fecha de suscripción del acta de recepción y deberá entregarse en la Oficina de Adquisiciones y Contrataciones del MAG, dentro de los diez días hábiles posteriores a la fecha del acta de recepción; esta garantía será devuelta a LA CONTRATISTA una vez haya concluido el plazo de vigencia y no exista reclamo alguno de parte del Contratante. </w:t>
      </w:r>
      <w:r w:rsidRPr="003C5564">
        <w:rPr>
          <w:rFonts w:ascii="Bookman Old Style" w:hAnsi="Bookman Old Style" w:cs="Tahoma"/>
          <w:b/>
          <w:sz w:val="22"/>
          <w:szCs w:val="22"/>
        </w:rPr>
        <w:t>IX.- INCUMPLIMIENTO</w:t>
      </w:r>
      <w:r w:rsidRPr="003C5564">
        <w:rPr>
          <w:rFonts w:ascii="Bookman Old Style" w:hAnsi="Bookman Old Style" w:cs="Tahoma"/>
          <w:sz w:val="22"/>
          <w:szCs w:val="22"/>
        </w:rPr>
        <w:t xml:space="preserve">. En caso de mora de </w:t>
      </w:r>
      <w:r w:rsidRPr="003C5564">
        <w:rPr>
          <w:rFonts w:ascii="Bookman Old Style" w:hAnsi="Bookman Old Style" w:cs="Tahoma"/>
          <w:b/>
          <w:bCs/>
          <w:sz w:val="22"/>
          <w:szCs w:val="22"/>
        </w:rPr>
        <w:t>“</w:t>
      </w:r>
      <w:r w:rsidRPr="003C5564">
        <w:rPr>
          <w:rFonts w:ascii="Bookman Old Style" w:hAnsi="Bookman Old Style" w:cs="Tahoma"/>
          <w:b/>
          <w:sz w:val="22"/>
          <w:szCs w:val="22"/>
        </w:rPr>
        <w:t>LA CONTRATISTA</w:t>
      </w:r>
      <w:r w:rsidRPr="003C5564">
        <w:rPr>
          <w:rFonts w:ascii="Bookman Old Style" w:hAnsi="Bookman Old Style" w:cs="Tahoma"/>
          <w:b/>
          <w:bCs/>
          <w:sz w:val="22"/>
          <w:szCs w:val="22"/>
        </w:rPr>
        <w:t>”</w:t>
      </w:r>
      <w:r w:rsidRPr="003C5564">
        <w:rPr>
          <w:rFonts w:ascii="Bookman Old Style" w:hAnsi="Bookman Old Style" w:cs="Tahoma"/>
          <w:sz w:val="22"/>
          <w:szCs w:val="22"/>
        </w:rPr>
        <w:t xml:space="preserve"> en el cumplimiento de las obligaciones emanadas del presente contrato se le aplicarán las multas establecidas en el artículo ochenta y cinco de la Ley de Adquisiciones y Contrataciones de la Administración Pública.</w:t>
      </w:r>
      <w:r>
        <w:rPr>
          <w:rFonts w:ascii="Bookman Old Style" w:hAnsi="Bookman Old Style" w:cs="Tahoma"/>
          <w:sz w:val="22"/>
          <w:szCs w:val="22"/>
        </w:rPr>
        <w:t xml:space="preserve"> </w:t>
      </w:r>
      <w:r w:rsidRPr="003C5564">
        <w:rPr>
          <w:rFonts w:ascii="Bookman Old Style" w:hAnsi="Bookman Old Style" w:cs="Tahoma"/>
          <w:b/>
          <w:sz w:val="22"/>
          <w:szCs w:val="22"/>
        </w:rPr>
        <w:t>X.- CADUCIDAD</w:t>
      </w:r>
      <w:r w:rsidRPr="003C5564">
        <w:rPr>
          <w:rFonts w:ascii="Bookman Old Style" w:hAnsi="Bookman Old Style" w:cs="Tahoma"/>
          <w:color w:val="0000FF"/>
          <w:sz w:val="22"/>
          <w:szCs w:val="22"/>
        </w:rPr>
        <w:t xml:space="preserve">. </w:t>
      </w:r>
      <w:r w:rsidRPr="003C5564">
        <w:rPr>
          <w:rFonts w:ascii="Bookman Old Style" w:hAnsi="Bookman Old Style" w:cs="Tahoma"/>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a) </w:t>
      </w:r>
      <w:r w:rsidRPr="003C5564">
        <w:rPr>
          <w:rFonts w:ascii="Bookman Old Style" w:hAnsi="Bookman Old Style" w:cs="Tahoma"/>
          <w:sz w:val="22"/>
          <w:szCs w:val="22"/>
        </w:rPr>
        <w:lastRenderedPageBreak/>
        <w:t>Por entregar bienes de una inferior calidad o en diferentes condiciones de lo ofertado y b) traspasar o ceder a cualquier título los derechos y obligaciones que emanan del presente contrato</w:t>
      </w:r>
      <w:r w:rsidRPr="003C5564">
        <w:rPr>
          <w:rFonts w:ascii="Bookman Old Style" w:hAnsi="Bookman Old Style"/>
          <w:color w:val="0000FF"/>
          <w:sz w:val="22"/>
          <w:szCs w:val="22"/>
        </w:rPr>
        <w:t>.</w:t>
      </w:r>
      <w:r>
        <w:rPr>
          <w:rFonts w:ascii="Bookman Old Style" w:hAnsi="Bookman Old Style"/>
          <w:color w:val="0000FF"/>
          <w:sz w:val="22"/>
          <w:szCs w:val="22"/>
        </w:rPr>
        <w:t xml:space="preserve"> </w:t>
      </w:r>
      <w:r w:rsidRPr="003C5564">
        <w:rPr>
          <w:rFonts w:ascii="Bookman Old Style" w:hAnsi="Bookman Old Style" w:cs="Tahoma"/>
          <w:b/>
          <w:sz w:val="22"/>
          <w:szCs w:val="22"/>
        </w:rPr>
        <w:t>XI.- PLAZO DE RECLAMOS</w:t>
      </w:r>
      <w:r w:rsidRPr="003C5564">
        <w:rPr>
          <w:rFonts w:ascii="Bookman Old Style" w:hAnsi="Bookman Old Style" w:cs="Tahoma"/>
          <w:sz w:val="22"/>
          <w:szCs w:val="22"/>
        </w:rPr>
        <w:t xml:space="preserve">. A partir de la recepción formal de los bienes objeto de este contrato, </w:t>
      </w:r>
      <w:r w:rsidRPr="003C5564">
        <w:rPr>
          <w:rFonts w:ascii="Bookman Old Style" w:hAnsi="Bookman Old Style" w:cs="Tahoma"/>
          <w:b/>
          <w:sz w:val="22"/>
          <w:szCs w:val="22"/>
        </w:rPr>
        <w:t xml:space="preserve">EL MAG </w:t>
      </w:r>
      <w:r w:rsidRPr="003C5564">
        <w:rPr>
          <w:rFonts w:ascii="Bookman Old Style" w:hAnsi="Bookman Old Style" w:cs="Tahoma"/>
          <w:sz w:val="22"/>
          <w:szCs w:val="22"/>
        </w:rPr>
        <w:t>tendrá un plazo de diez días hábiles para efectuar cualquier reclamo relacionado con el suministro. “</w:t>
      </w:r>
      <w:r w:rsidR="00141665" w:rsidRPr="003C5564">
        <w:rPr>
          <w:rFonts w:ascii="Bookman Old Style" w:hAnsi="Bookman Old Style" w:cs="Tahoma"/>
          <w:b/>
          <w:sz w:val="22"/>
          <w:szCs w:val="22"/>
        </w:rPr>
        <w:fldChar w:fldCharType="begin"/>
      </w:r>
      <w:r w:rsidRPr="003C5564">
        <w:rPr>
          <w:rFonts w:ascii="Bookman Old Style" w:hAnsi="Bookman Old Style" w:cs="Tahoma"/>
          <w:b/>
          <w:sz w:val="22"/>
          <w:szCs w:val="22"/>
        </w:rPr>
        <w:instrText xml:space="preserve"> MERGEFIELD "Forma_como_se_denominara_el_Proveedor" </w:instrText>
      </w:r>
      <w:r w:rsidR="00141665" w:rsidRPr="003C5564">
        <w:rPr>
          <w:rFonts w:ascii="Bookman Old Style" w:hAnsi="Bookman Old Style" w:cs="Tahoma"/>
          <w:b/>
          <w:sz w:val="22"/>
          <w:szCs w:val="22"/>
        </w:rPr>
        <w:fldChar w:fldCharType="separate"/>
      </w:r>
      <w:r w:rsidRPr="003C5564">
        <w:rPr>
          <w:rFonts w:ascii="Bookman Old Style" w:hAnsi="Bookman Old Style" w:cs="Tahoma"/>
          <w:b/>
          <w:sz w:val="22"/>
          <w:szCs w:val="22"/>
        </w:rPr>
        <w:t>LA CONTRATISTA</w:t>
      </w:r>
      <w:r w:rsidR="00141665" w:rsidRPr="003C5564">
        <w:rPr>
          <w:rFonts w:ascii="Bookman Old Style" w:hAnsi="Bookman Old Style" w:cs="Tahoma"/>
          <w:b/>
          <w:sz w:val="22"/>
          <w:szCs w:val="22"/>
        </w:rPr>
        <w:fldChar w:fldCharType="end"/>
      </w:r>
      <w:r w:rsidRPr="003C5564">
        <w:rPr>
          <w:rFonts w:ascii="Bookman Old Style" w:hAnsi="Bookman Old Style" w:cs="Tahoma"/>
          <w:sz w:val="22"/>
          <w:szCs w:val="22"/>
        </w:rPr>
        <w:t xml:space="preserve">” deberá reponer o cumplir a satisfacción del MAG dentro del plazo establecido en la nota de reclamo, si </w:t>
      </w:r>
      <w:r w:rsidR="00141665" w:rsidRPr="003C5564">
        <w:rPr>
          <w:rFonts w:ascii="Bookman Old Style" w:hAnsi="Bookman Old Style" w:cs="Tahoma"/>
          <w:b/>
          <w:sz w:val="22"/>
          <w:szCs w:val="22"/>
        </w:rPr>
        <w:fldChar w:fldCharType="begin"/>
      </w:r>
      <w:r w:rsidRPr="003C5564">
        <w:rPr>
          <w:rFonts w:ascii="Bookman Old Style" w:hAnsi="Bookman Old Style" w:cs="Tahoma"/>
          <w:b/>
          <w:sz w:val="22"/>
          <w:szCs w:val="22"/>
        </w:rPr>
        <w:instrText xml:space="preserve"> MERGEFIELD "Forma_como_se_denominara_el_Proveedor" </w:instrText>
      </w:r>
      <w:r w:rsidR="00141665" w:rsidRPr="003C5564">
        <w:rPr>
          <w:rFonts w:ascii="Bookman Old Style" w:hAnsi="Bookman Old Style" w:cs="Tahoma"/>
          <w:b/>
          <w:sz w:val="22"/>
          <w:szCs w:val="22"/>
        </w:rPr>
        <w:fldChar w:fldCharType="separate"/>
      </w:r>
      <w:r w:rsidRPr="003C5564">
        <w:rPr>
          <w:rFonts w:ascii="Bookman Old Style" w:hAnsi="Bookman Old Style" w:cs="Tahoma"/>
          <w:b/>
          <w:sz w:val="22"/>
          <w:szCs w:val="22"/>
        </w:rPr>
        <w:t>LA CONTRATISTA</w:t>
      </w:r>
      <w:r w:rsidR="00141665" w:rsidRPr="003C5564">
        <w:rPr>
          <w:rFonts w:ascii="Bookman Old Style" w:hAnsi="Bookman Old Style" w:cs="Tahoma"/>
          <w:b/>
          <w:sz w:val="22"/>
          <w:szCs w:val="22"/>
        </w:rPr>
        <w:fldChar w:fldCharType="end"/>
      </w:r>
      <w:r w:rsidRPr="003C5564">
        <w:rPr>
          <w:rFonts w:ascii="Bookman Old Style" w:hAnsi="Bookman Old Style" w:cs="Tahoma"/>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3C5564">
        <w:rPr>
          <w:rFonts w:ascii="Bookman Old Style" w:hAnsi="Bookman Old Style"/>
          <w:color w:val="0000FF"/>
          <w:sz w:val="22"/>
          <w:szCs w:val="22"/>
          <w:lang w:val="es-ES_tradnl"/>
        </w:rPr>
        <w:t xml:space="preserve">. </w:t>
      </w:r>
      <w:r w:rsidRPr="003C5564">
        <w:rPr>
          <w:rFonts w:ascii="Bookman Old Style" w:hAnsi="Bookman Old Style" w:cs="Arial"/>
          <w:b/>
          <w:bCs/>
          <w:sz w:val="22"/>
          <w:szCs w:val="22"/>
        </w:rPr>
        <w:t xml:space="preserve">XII.- </w:t>
      </w:r>
      <w:r w:rsidRPr="003C5564">
        <w:rPr>
          <w:rFonts w:ascii="Bookman Old Style" w:hAnsi="Bookman Old Style"/>
          <w:b/>
          <w:sz w:val="22"/>
          <w:szCs w:val="22"/>
        </w:rPr>
        <w:t>MODIFICACIONES, PRORROGAS Y PROHIBICIONES EN EL CONTRATO.</w:t>
      </w:r>
      <w:r w:rsidRPr="003C5564">
        <w:rPr>
          <w:rFonts w:ascii="Bookman Old Style" w:hAnsi="Bookman Old Style"/>
          <w:sz w:val="22"/>
          <w:szCs w:val="22"/>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w:t>
      </w:r>
      <w:r w:rsidRPr="003C5564">
        <w:rPr>
          <w:rFonts w:ascii="Bookman Old Style" w:hAnsi="Bookman Old Style"/>
          <w:sz w:val="22"/>
          <w:szCs w:val="22"/>
        </w:rPr>
        <w:lastRenderedPageBreak/>
        <w:t>CONTRATISTA”</w:t>
      </w:r>
      <w:r w:rsidRPr="003C5564">
        <w:rPr>
          <w:rFonts w:ascii="Bookman Old Style" w:hAnsi="Bookman Old Style" w:cs="Arial"/>
          <w:bCs/>
          <w:sz w:val="22"/>
          <w:szCs w:val="22"/>
        </w:rPr>
        <w:t>.</w:t>
      </w:r>
      <w:r w:rsidRPr="003C5564">
        <w:rPr>
          <w:rFonts w:ascii="Bookman Old Style" w:hAnsi="Bookman Old Style" w:cs="Tahoma"/>
          <w:b/>
          <w:sz w:val="22"/>
          <w:szCs w:val="22"/>
          <w:lang w:eastAsia="ar-SA"/>
        </w:rPr>
        <w:t>XIII.- DOCUMENTOS CONTRACTUALES.</w:t>
      </w:r>
      <w:r w:rsidRPr="003C5564">
        <w:rPr>
          <w:rFonts w:ascii="Bookman Old Style" w:hAnsi="Bookman Old Style" w:cs="Tahoma"/>
          <w:sz w:val="22"/>
          <w:szCs w:val="22"/>
          <w:lang w:eastAsia="ar-SA"/>
        </w:rPr>
        <w:t xml:space="preserve"> Forman parte integrante del presente contrato los siguientes documentos: a. Bases de licitación; b. Oferta de fecha diez de agosto de dos mil dieciséis; c. Resolución de adjudicación; d. Garantías; e. Resoluciones modificativas y otros documentos que emanaren del presente contrato, l</w:t>
      </w:r>
      <w:r w:rsidRPr="003C5564">
        <w:rPr>
          <w:rFonts w:ascii="Bookman Old Style" w:hAnsi="Bookman Old Style" w:cs="Tahoma"/>
          <w:sz w:val="22"/>
          <w:szCs w:val="22"/>
          <w:lang w:val="es-ES_tradnl"/>
        </w:rPr>
        <w:t>os cuales son complementarios entre si y se interpretaran en forma conjunta.</w:t>
      </w:r>
      <w:r w:rsidRPr="003C5564">
        <w:rPr>
          <w:rFonts w:ascii="Bookman Old Style" w:hAnsi="Bookman Old Style" w:cs="Tahoma"/>
          <w:b/>
          <w:sz w:val="22"/>
          <w:szCs w:val="22"/>
          <w:lang w:eastAsia="ar-SA"/>
        </w:rPr>
        <w:t>XIV.- INTERPRETACIÓN DEL CONTRATO.</w:t>
      </w:r>
      <w:r w:rsidRPr="003C5564">
        <w:rPr>
          <w:rFonts w:ascii="Bookman Old Style" w:hAnsi="Bookman Old Style" w:cs="Tahoma"/>
          <w:sz w:val="22"/>
          <w:szCs w:val="22"/>
          <w:lang w:eastAsia="ar-SA"/>
        </w:rPr>
        <w:t xml:space="preserve"> De conformidad con el artículo ochenta y cuatro Incisos primero y segundo de la LACAP, “EL MAG” se reserva la facultad de interpretar el presente contrato de conformidad con la Constitución de la República, el Tratado de Libre Comercio entre Estados Unidos y los países de Centro América y República Dominicana (DR-CAFTA), la Ley de Adquisiciones y Contrataciones de la Administración Pública (LACAP) y su Reglamento,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MAG”, las cuales le serán comunicadas por medio de los  Administradores del Contrato. </w:t>
      </w:r>
      <w:r w:rsidRPr="003C5564">
        <w:rPr>
          <w:rFonts w:ascii="Bookman Old Style" w:hAnsi="Bookman Old Style" w:cs="Tahoma"/>
          <w:b/>
          <w:sz w:val="22"/>
          <w:szCs w:val="22"/>
          <w:lang w:eastAsia="ar-SA"/>
        </w:rPr>
        <w:t>XV.- CASO FORTUITO Y FUERZA MAYOR.</w:t>
      </w:r>
      <w:r w:rsidRPr="003C5564">
        <w:rPr>
          <w:rFonts w:ascii="Bookman Old Style" w:hAnsi="Bookman Old Style" w:cs="Tahoma"/>
          <w:sz w:val="22"/>
          <w:szCs w:val="22"/>
        </w:rPr>
        <w:t xml:space="preserve">En situaciones de caso fortuito o fuerza mayor y de conformidad con el artículo ochenta y seis de la Ley de Adquisiciones y Contrataciones de la Administración Pública, </w:t>
      </w:r>
      <w:r w:rsidRPr="003C5564">
        <w:rPr>
          <w:rFonts w:ascii="Bookman Old Style" w:hAnsi="Bookman Old Style" w:cs="Tahoma"/>
          <w:b/>
          <w:bCs/>
          <w:sz w:val="22"/>
          <w:szCs w:val="22"/>
        </w:rPr>
        <w:t>“</w:t>
      </w:r>
      <w:r w:rsidRPr="003C5564">
        <w:rPr>
          <w:rFonts w:ascii="Bookman Old Style" w:hAnsi="Bookman Old Style" w:cs="Tahoma"/>
          <w:b/>
          <w:sz w:val="22"/>
          <w:szCs w:val="22"/>
        </w:rPr>
        <w:t>LA CONTRATISTA”</w:t>
      </w:r>
      <w:r w:rsidRPr="003C5564">
        <w:rPr>
          <w:rFonts w:ascii="Bookman Old Style" w:hAnsi="Bookman Old Style" w:cs="Tahoma"/>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3C5564">
        <w:rPr>
          <w:rFonts w:ascii="Bookman Old Style" w:hAnsi="Bookman Old Style" w:cs="Tahoma"/>
          <w:b/>
          <w:sz w:val="22"/>
          <w:szCs w:val="22"/>
        </w:rPr>
        <w:t>XVI.- SOLUCIÓN DE CONFLICTOS</w:t>
      </w:r>
      <w:r w:rsidRPr="003C5564">
        <w:rPr>
          <w:rFonts w:ascii="Bookman Old Style" w:hAnsi="Bookman Old Style" w:cs="Tahoma"/>
          <w:sz w:val="22"/>
          <w:szCs w:val="22"/>
        </w:rPr>
        <w:t xml:space="preserve">. Para resolver las diferencias o conflictos que surgieren durante la ejecución del contrato, se acudirá a los tribunales comunes. </w:t>
      </w:r>
      <w:r w:rsidRPr="003C5564">
        <w:rPr>
          <w:rFonts w:ascii="Bookman Old Style" w:hAnsi="Bookman Old Style" w:cs="Tahoma"/>
          <w:b/>
          <w:sz w:val="22"/>
          <w:szCs w:val="22"/>
        </w:rPr>
        <w:t>XVII.- TERMINACIÓN BILATERAL</w:t>
      </w:r>
      <w:r w:rsidRPr="003C5564">
        <w:rPr>
          <w:rFonts w:ascii="Bookman Old Style" w:hAnsi="Bookman Old Style" w:cs="Tahoma"/>
          <w:sz w:val="22"/>
          <w:szCs w:val="22"/>
        </w:rPr>
        <w:t xml:space="preserve">. Las partes contratantes podrán de conformidad con el artículo noventa y cinco de la Ley de Adquisiciones y </w:t>
      </w:r>
      <w:r w:rsidRPr="003C5564">
        <w:rPr>
          <w:rFonts w:ascii="Bookman Old Style" w:hAnsi="Bookman Old Style" w:cs="Tahoma"/>
          <w:sz w:val="22"/>
          <w:szCs w:val="22"/>
        </w:rPr>
        <w:lastRenderedPageBreak/>
        <w:t xml:space="preserve">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3C5564">
        <w:rPr>
          <w:rFonts w:ascii="Bookman Old Style" w:hAnsi="Bookman Old Style" w:cs="Tahoma"/>
          <w:b/>
          <w:sz w:val="22"/>
          <w:szCs w:val="22"/>
        </w:rPr>
        <w:t>XVIII.- DOMICILIO ESPECIAL</w:t>
      </w:r>
      <w:r w:rsidRPr="003C5564">
        <w:rPr>
          <w:rFonts w:ascii="Bookman Old Style" w:hAnsi="Bookman Old Style" w:cs="Tahoma"/>
          <w:sz w:val="22"/>
          <w:szCs w:val="22"/>
        </w:rPr>
        <w:t xml:space="preserve">. Para los efectos jurisdiccionales de este contrato las partes señalan como domicilio especial el de la ciudad de Santa Tecla, a la competencia de cuyos tribunales se someten. </w:t>
      </w:r>
      <w:r w:rsidRPr="003C5564">
        <w:rPr>
          <w:rFonts w:ascii="Bookman Old Style" w:hAnsi="Bookman Old Style" w:cs="Tahoma"/>
          <w:b/>
          <w:sz w:val="22"/>
          <w:szCs w:val="22"/>
        </w:rPr>
        <w:t xml:space="preserve">XIX.- </w:t>
      </w:r>
      <w:r w:rsidRPr="003C5564">
        <w:rPr>
          <w:rFonts w:ascii="Bookman Old Style" w:hAnsi="Bookman Old Style" w:cs="Calibri"/>
          <w:b/>
          <w:bCs/>
          <w:sz w:val="22"/>
          <w:szCs w:val="22"/>
          <w:lang w:val="es-ES_tradnl"/>
        </w:rPr>
        <w:t xml:space="preserve">CUMPLIMIENTO POR PARTE DE LA CONTRATISTA DE LA NORMATIVA QUE PROHÍBE EL TRABAJO INFANTIL Y BRINDA PROTECCIÓN A LA PERSONA ADOLESCENTE TRABAJADORA. </w:t>
      </w:r>
      <w:r w:rsidRPr="003C5564">
        <w:rPr>
          <w:rFonts w:ascii="Bookman Old Style" w:hAnsi="Bookman Old Style" w:cs="Calibri"/>
          <w:sz w:val="22"/>
          <w:szCs w:val="22"/>
          <w:lang w:val="es-ES_tradnl"/>
        </w:rPr>
        <w:t>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Pr>
          <w:rFonts w:ascii="Bookman Old Style" w:hAnsi="Bookman Old Style" w:cs="Calibri"/>
          <w:sz w:val="22"/>
          <w:szCs w:val="22"/>
          <w:lang w:val="es-ES_tradnl"/>
        </w:rPr>
        <w:t xml:space="preserve"> </w:t>
      </w:r>
      <w:r w:rsidRPr="003C5564">
        <w:rPr>
          <w:rFonts w:ascii="Bookman Old Style" w:hAnsi="Bookman Old Style" w:cs="Tahoma"/>
          <w:b/>
          <w:sz w:val="22"/>
          <w:szCs w:val="22"/>
          <w:lang w:eastAsia="ar-SA"/>
        </w:rPr>
        <w:t>XIX.- NOTIFICACIONES.</w:t>
      </w:r>
      <w:r>
        <w:rPr>
          <w:rFonts w:ascii="Bookman Old Style" w:hAnsi="Bookman Old Style" w:cs="Tahoma"/>
          <w:b/>
          <w:sz w:val="22"/>
          <w:szCs w:val="22"/>
          <w:lang w:eastAsia="ar-SA"/>
        </w:rPr>
        <w:t xml:space="preserve"> </w:t>
      </w:r>
      <w:r w:rsidRPr="003C5564">
        <w:rPr>
          <w:rFonts w:ascii="Bookman Old Style" w:hAnsi="Bookman Old Style" w:cs="Tahoma"/>
          <w:sz w:val="22"/>
          <w:szCs w:val="22"/>
          <w:lang w:eastAsia="ar-SA"/>
        </w:rPr>
        <w:t>Todas las notificaciones referentes a la ejecución de este contrato, serán válidas solamente cuando sean hechas por escrito a “EL MAG” a través de los Administradores del Contrato, en las oficinas de la Dirección General de Sanidad Vegetal, Dirección General de Ganadería y la Dirección General de Ordenamiento Forestal, Cuencas y Riego, ubicadas en Cantón El Matazano, Soyapango, departamento de San Salvador, y a “LA CONTRATISTA” a través del señor</w:t>
      </w:r>
      <w:r>
        <w:rPr>
          <w:rFonts w:ascii="Bookman Old Style" w:hAnsi="Bookman Old Style" w:cs="Tahoma"/>
          <w:sz w:val="22"/>
          <w:szCs w:val="22"/>
          <w:lang w:eastAsia="ar-SA"/>
        </w:rPr>
        <w:t xml:space="preserve"> </w:t>
      </w:r>
      <w:r w:rsidRPr="003C5564">
        <w:rPr>
          <w:rFonts w:ascii="Bookman Old Style" w:hAnsi="Bookman Old Style" w:cs="Tahoma"/>
          <w:sz w:val="22"/>
          <w:szCs w:val="22"/>
          <w:lang w:eastAsia="ar-SA"/>
        </w:rPr>
        <w:t xml:space="preserve">Iván Evaristo Oliver O´dowd, </w:t>
      </w:r>
      <w:r w:rsidR="00603658" w:rsidRPr="00603658">
        <w:rPr>
          <w:rFonts w:ascii="Bookman Old Style" w:hAnsi="Bookman Old Style" w:cs="Tahoma"/>
          <w:sz w:val="22"/>
          <w:szCs w:val="22"/>
          <w:highlight w:val="black"/>
          <w:lang w:eastAsia="ar-SA"/>
        </w:rPr>
        <w:t>**************************************************************</w:t>
      </w:r>
      <w:r w:rsidRPr="003C5564">
        <w:rPr>
          <w:rFonts w:ascii="Bookman Old Style" w:hAnsi="Bookman Old Style" w:cs="Tahoma"/>
          <w:sz w:val="22"/>
          <w:szCs w:val="22"/>
          <w:lang w:eastAsia="ar-SA"/>
        </w:rPr>
        <w:t xml:space="preserve">. Así nos expresamos los otorgantes, quienes enterados y conscientes de los términos y efectos legales del presente contrato, por convenir así a los intereses de nuestros representados, </w:t>
      </w:r>
      <w:r w:rsidRPr="003C5564">
        <w:rPr>
          <w:rFonts w:ascii="Bookman Old Style" w:hAnsi="Bookman Old Style" w:cs="Tahoma"/>
          <w:sz w:val="22"/>
          <w:szCs w:val="22"/>
          <w:lang w:eastAsia="ar-SA"/>
        </w:rPr>
        <w:lastRenderedPageBreak/>
        <w:t xml:space="preserve">ratificamos su contenido, en fe de lo cual firmamos, en la ciudad de San Salvador, a los un días del mes de noviembre de dos mil dieciséis.                  </w:t>
      </w:r>
    </w:p>
    <w:p w:rsidR="00B13CF0" w:rsidRDefault="00B13CF0" w:rsidP="00C46D95">
      <w:pPr>
        <w:suppressAutoHyphens/>
        <w:spacing w:line="360" w:lineRule="auto"/>
        <w:jc w:val="both"/>
        <w:rPr>
          <w:rFonts w:ascii="Bookman Old Style" w:hAnsi="Bookman Old Style" w:cs="Tahoma"/>
          <w:sz w:val="21"/>
          <w:szCs w:val="21"/>
          <w:lang w:eastAsia="ar-SA"/>
        </w:rPr>
      </w:pPr>
    </w:p>
    <w:p w:rsidR="00B13CF0" w:rsidRDefault="00B13CF0" w:rsidP="00C46D95">
      <w:pPr>
        <w:suppressAutoHyphens/>
        <w:spacing w:line="360" w:lineRule="auto"/>
        <w:jc w:val="both"/>
        <w:rPr>
          <w:rFonts w:ascii="Bookman Old Style" w:hAnsi="Bookman Old Style" w:cs="Tahoma"/>
          <w:sz w:val="21"/>
          <w:szCs w:val="21"/>
          <w:lang w:eastAsia="ar-SA"/>
        </w:rPr>
      </w:pPr>
    </w:p>
    <w:p w:rsidR="00B13CF0" w:rsidRDefault="00B13CF0" w:rsidP="00C46D95">
      <w:pPr>
        <w:suppressAutoHyphens/>
        <w:spacing w:line="360" w:lineRule="auto"/>
        <w:jc w:val="both"/>
        <w:rPr>
          <w:rFonts w:ascii="Bookman Old Style" w:hAnsi="Bookman Old Style" w:cs="Tahoma"/>
          <w:sz w:val="21"/>
          <w:szCs w:val="21"/>
          <w:lang w:eastAsia="ar-SA"/>
        </w:rPr>
      </w:pPr>
    </w:p>
    <w:p w:rsidR="00B13CF0" w:rsidRDefault="00B13CF0" w:rsidP="00C46D95">
      <w:pPr>
        <w:suppressAutoHyphens/>
        <w:spacing w:line="360" w:lineRule="auto"/>
        <w:jc w:val="both"/>
        <w:rPr>
          <w:rFonts w:ascii="Bookman Old Style" w:hAnsi="Bookman Old Style" w:cs="Tahoma"/>
          <w:sz w:val="21"/>
          <w:szCs w:val="21"/>
          <w:lang w:eastAsia="ar-SA"/>
        </w:rPr>
      </w:pPr>
    </w:p>
    <w:p w:rsidR="00B13CF0" w:rsidRPr="00C46D95" w:rsidRDefault="00B13CF0" w:rsidP="00C46D95">
      <w:pPr>
        <w:suppressAutoHyphens/>
        <w:spacing w:line="360" w:lineRule="auto"/>
        <w:jc w:val="both"/>
        <w:rPr>
          <w:rFonts w:ascii="Bookman Old Style" w:hAnsi="Bookman Old Style" w:cs="Tahoma"/>
          <w:sz w:val="21"/>
          <w:szCs w:val="21"/>
          <w:lang w:eastAsia="ar-SA"/>
        </w:rPr>
      </w:pPr>
    </w:p>
    <w:p w:rsidR="00B13CF0" w:rsidRPr="00C46D95" w:rsidRDefault="00B13CF0" w:rsidP="00C46D95">
      <w:pPr>
        <w:suppressAutoHyphens/>
        <w:spacing w:line="360" w:lineRule="auto"/>
        <w:jc w:val="both"/>
        <w:rPr>
          <w:rFonts w:ascii="Bookman Old Style" w:hAnsi="Bookman Old Style" w:cs="Tahoma"/>
          <w:sz w:val="21"/>
          <w:szCs w:val="21"/>
          <w:lang w:eastAsia="ar-SA"/>
        </w:rPr>
      </w:pPr>
    </w:p>
    <w:p w:rsidR="00B13CF0" w:rsidRPr="00C46D95" w:rsidRDefault="00B13CF0" w:rsidP="00C46D95">
      <w:pPr>
        <w:suppressAutoHyphens/>
        <w:spacing w:line="360" w:lineRule="auto"/>
        <w:jc w:val="both"/>
        <w:rPr>
          <w:rFonts w:ascii="Calibri" w:hAnsi="Calibri" w:cs="Tahoma"/>
          <w:b/>
          <w:sz w:val="16"/>
          <w:szCs w:val="16"/>
          <w:lang w:val="pt-BR" w:eastAsia="ar-SA"/>
        </w:rPr>
      </w:pPr>
      <w:r w:rsidRPr="00E61C1A">
        <w:rPr>
          <w:rFonts w:ascii="Calibri" w:hAnsi="Calibri" w:cs="Tahoma"/>
          <w:sz w:val="16"/>
          <w:szCs w:val="16"/>
          <w:lang w:val="pt-BR" w:eastAsia="ar-SA"/>
        </w:rPr>
        <w:t>____</w:t>
      </w:r>
      <w:r w:rsidRPr="00C46D95">
        <w:rPr>
          <w:rFonts w:ascii="Calibri" w:hAnsi="Calibri" w:cs="Tahoma"/>
          <w:sz w:val="16"/>
          <w:szCs w:val="16"/>
          <w:lang w:val="pt-BR" w:eastAsia="ar-SA"/>
        </w:rPr>
        <w:t>__</w:t>
      </w:r>
      <w:r w:rsidRPr="00C46D95">
        <w:rPr>
          <w:rFonts w:ascii="Calibri" w:hAnsi="Calibri" w:cs="Tahoma"/>
          <w:b/>
          <w:sz w:val="16"/>
          <w:szCs w:val="16"/>
          <w:lang w:val="pt-BR" w:eastAsia="ar-SA"/>
        </w:rPr>
        <w:t>___________________________________               _______________________________________</w:t>
      </w:r>
    </w:p>
    <w:p w:rsidR="00B13CF0" w:rsidRPr="00C46D95" w:rsidRDefault="00B13CF0" w:rsidP="00C46D95">
      <w:pPr>
        <w:suppressAutoHyphens/>
        <w:jc w:val="both"/>
        <w:rPr>
          <w:rFonts w:ascii="Calibri" w:hAnsi="Calibri" w:cs="Tahoma"/>
          <w:b/>
          <w:caps/>
          <w:sz w:val="16"/>
          <w:szCs w:val="16"/>
          <w:lang w:val="pt-BR" w:eastAsia="ar-SA"/>
        </w:rPr>
      </w:pPr>
      <w:r w:rsidRPr="00C46D95">
        <w:rPr>
          <w:rFonts w:ascii="Calibri" w:hAnsi="Calibri" w:cs="Tahoma"/>
          <w:b/>
          <w:sz w:val="16"/>
          <w:szCs w:val="16"/>
          <w:lang w:val="pt-BR" w:eastAsia="ar-SA"/>
        </w:rPr>
        <w:t xml:space="preserve">             DOUGLAS ARQUIMIDES MELENDEZ RUIZ                                                                  IVAN EVARISTO OLIVER O´</w:t>
      </w:r>
      <w:r w:rsidRPr="00C46D95">
        <w:rPr>
          <w:rFonts w:ascii="Calibri" w:hAnsi="Calibri" w:cs="Tahoma"/>
          <w:b/>
          <w:caps/>
          <w:sz w:val="16"/>
          <w:szCs w:val="16"/>
          <w:lang w:val="pt-BR" w:eastAsia="ar-SA"/>
        </w:rPr>
        <w:t>dowd</w:t>
      </w:r>
    </w:p>
    <w:p w:rsidR="00B13CF0" w:rsidRPr="00C46D95" w:rsidRDefault="00B13CF0" w:rsidP="00C46D95">
      <w:pPr>
        <w:suppressAutoHyphens/>
        <w:jc w:val="both"/>
        <w:rPr>
          <w:rFonts w:ascii="Calibri" w:hAnsi="Calibri" w:cs="Tahoma"/>
          <w:sz w:val="16"/>
          <w:szCs w:val="16"/>
          <w:lang w:eastAsia="ar-SA"/>
        </w:rPr>
      </w:pPr>
      <w:r w:rsidRPr="00C46D95">
        <w:rPr>
          <w:rFonts w:ascii="Calibri" w:hAnsi="Calibri" w:cs="Tahoma"/>
          <w:b/>
          <w:sz w:val="16"/>
          <w:szCs w:val="16"/>
          <w:lang w:eastAsia="ar-SA"/>
        </w:rPr>
        <w:t>“FISCAL GENERAL DE LA REPUBLICA”                                                                               “LA CONTRATISTA”</w:t>
      </w:r>
    </w:p>
    <w:p w:rsidR="00B13CF0" w:rsidRDefault="00B13CF0" w:rsidP="00C46D95">
      <w:pPr>
        <w:suppressAutoHyphens/>
        <w:jc w:val="both"/>
        <w:rPr>
          <w:rFonts w:ascii="Calibri" w:hAnsi="Calibri" w:cs="Tahoma"/>
          <w:b/>
          <w:sz w:val="21"/>
          <w:szCs w:val="21"/>
          <w:lang w:eastAsia="ar-SA"/>
        </w:rPr>
      </w:pPr>
    </w:p>
    <w:p w:rsidR="00B13CF0" w:rsidRDefault="00B13CF0" w:rsidP="00C46D95">
      <w:pPr>
        <w:suppressAutoHyphens/>
        <w:jc w:val="both"/>
        <w:rPr>
          <w:rFonts w:ascii="Calibri" w:hAnsi="Calibri" w:cs="Tahoma"/>
          <w:b/>
          <w:sz w:val="21"/>
          <w:szCs w:val="21"/>
          <w:lang w:eastAsia="ar-SA"/>
        </w:rPr>
      </w:pPr>
    </w:p>
    <w:p w:rsidR="00B13CF0" w:rsidRDefault="00B13CF0" w:rsidP="005757B1">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B13CF0" w:rsidRPr="00C46D95" w:rsidRDefault="00B13CF0" w:rsidP="005757B1">
      <w:pPr>
        <w:suppressAutoHyphens/>
        <w:jc w:val="both"/>
        <w:rPr>
          <w:rFonts w:ascii="Calibri" w:hAnsi="Calibri" w:cs="Tahoma"/>
          <w:b/>
          <w:sz w:val="21"/>
          <w:szCs w:val="21"/>
          <w:lang w:eastAsia="ar-SA"/>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B13CF0" w:rsidRPr="00C46D95" w:rsidSect="002E23F3">
      <w:foot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1DF" w:rsidRDefault="00A741DF" w:rsidP="00E61C1A">
      <w:r>
        <w:separator/>
      </w:r>
    </w:p>
  </w:endnote>
  <w:endnote w:type="continuationSeparator" w:id="1">
    <w:p w:rsidR="00A741DF" w:rsidRDefault="00A741DF" w:rsidP="00E61C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F0" w:rsidRDefault="00141665">
    <w:pPr>
      <w:pStyle w:val="Piedepgina"/>
      <w:jc w:val="center"/>
    </w:pPr>
    <w:fldSimple w:instr="PAGE   \* MERGEFORMAT">
      <w:r w:rsidR="00603658">
        <w:rPr>
          <w:noProof/>
        </w:rPr>
        <w:t>10</w:t>
      </w:r>
    </w:fldSimple>
  </w:p>
  <w:p w:rsidR="00B13CF0" w:rsidRDefault="00B13CF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1DF" w:rsidRDefault="00A741DF" w:rsidP="00E61C1A">
      <w:r>
        <w:separator/>
      </w:r>
    </w:p>
  </w:footnote>
  <w:footnote w:type="continuationSeparator" w:id="1">
    <w:p w:rsidR="00A741DF" w:rsidRDefault="00A741DF" w:rsidP="00E61C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7AC"/>
    <w:rsid w:val="000304C0"/>
    <w:rsid w:val="000B45C6"/>
    <w:rsid w:val="000F7EA4"/>
    <w:rsid w:val="0014012D"/>
    <w:rsid w:val="00141665"/>
    <w:rsid w:val="0017003A"/>
    <w:rsid w:val="00195EA4"/>
    <w:rsid w:val="00197FA6"/>
    <w:rsid w:val="001A22DE"/>
    <w:rsid w:val="001F0E49"/>
    <w:rsid w:val="002167F2"/>
    <w:rsid w:val="002374BF"/>
    <w:rsid w:val="00273A7D"/>
    <w:rsid w:val="00282C85"/>
    <w:rsid w:val="002911C5"/>
    <w:rsid w:val="002C6571"/>
    <w:rsid w:val="002E23F3"/>
    <w:rsid w:val="002F1232"/>
    <w:rsid w:val="0031479F"/>
    <w:rsid w:val="003B5E9C"/>
    <w:rsid w:val="003C5564"/>
    <w:rsid w:val="003C7440"/>
    <w:rsid w:val="003D3CF8"/>
    <w:rsid w:val="003F2BC3"/>
    <w:rsid w:val="00430D81"/>
    <w:rsid w:val="0043475B"/>
    <w:rsid w:val="004810E9"/>
    <w:rsid w:val="00485D45"/>
    <w:rsid w:val="00494F2E"/>
    <w:rsid w:val="00501438"/>
    <w:rsid w:val="005076F8"/>
    <w:rsid w:val="00523F01"/>
    <w:rsid w:val="00527A30"/>
    <w:rsid w:val="005757B1"/>
    <w:rsid w:val="005E4409"/>
    <w:rsid w:val="00603658"/>
    <w:rsid w:val="00606A00"/>
    <w:rsid w:val="006321F6"/>
    <w:rsid w:val="00670B6A"/>
    <w:rsid w:val="006713DF"/>
    <w:rsid w:val="00691C1E"/>
    <w:rsid w:val="00692482"/>
    <w:rsid w:val="006B0675"/>
    <w:rsid w:val="006D0CD1"/>
    <w:rsid w:val="006D7F74"/>
    <w:rsid w:val="006E573B"/>
    <w:rsid w:val="0071119F"/>
    <w:rsid w:val="00731178"/>
    <w:rsid w:val="007B547D"/>
    <w:rsid w:val="007E7776"/>
    <w:rsid w:val="007F68A2"/>
    <w:rsid w:val="00805CC3"/>
    <w:rsid w:val="00814AC7"/>
    <w:rsid w:val="00815048"/>
    <w:rsid w:val="008921B3"/>
    <w:rsid w:val="008A037E"/>
    <w:rsid w:val="008D4B09"/>
    <w:rsid w:val="008F58E4"/>
    <w:rsid w:val="00913DDA"/>
    <w:rsid w:val="009227F9"/>
    <w:rsid w:val="00923DCD"/>
    <w:rsid w:val="00946753"/>
    <w:rsid w:val="009470E6"/>
    <w:rsid w:val="009819F3"/>
    <w:rsid w:val="009D1092"/>
    <w:rsid w:val="009D480B"/>
    <w:rsid w:val="009E7923"/>
    <w:rsid w:val="00A21591"/>
    <w:rsid w:val="00A45F2D"/>
    <w:rsid w:val="00A741DF"/>
    <w:rsid w:val="00A777D9"/>
    <w:rsid w:val="00AB0CA0"/>
    <w:rsid w:val="00AB15DB"/>
    <w:rsid w:val="00AD002B"/>
    <w:rsid w:val="00AD625F"/>
    <w:rsid w:val="00AE6379"/>
    <w:rsid w:val="00B13CF0"/>
    <w:rsid w:val="00B34713"/>
    <w:rsid w:val="00B62420"/>
    <w:rsid w:val="00B75965"/>
    <w:rsid w:val="00B75FFF"/>
    <w:rsid w:val="00B771B3"/>
    <w:rsid w:val="00B937AC"/>
    <w:rsid w:val="00BC071C"/>
    <w:rsid w:val="00BC5887"/>
    <w:rsid w:val="00BC7FB9"/>
    <w:rsid w:val="00C23383"/>
    <w:rsid w:val="00C26D9D"/>
    <w:rsid w:val="00C279AC"/>
    <w:rsid w:val="00C46D95"/>
    <w:rsid w:val="00C866DD"/>
    <w:rsid w:val="00CF0A23"/>
    <w:rsid w:val="00D1375D"/>
    <w:rsid w:val="00D7079E"/>
    <w:rsid w:val="00DC537E"/>
    <w:rsid w:val="00DD2A5B"/>
    <w:rsid w:val="00E063D4"/>
    <w:rsid w:val="00E30FB8"/>
    <w:rsid w:val="00E4144B"/>
    <w:rsid w:val="00E4194A"/>
    <w:rsid w:val="00E433AF"/>
    <w:rsid w:val="00E61C1A"/>
    <w:rsid w:val="00E96999"/>
    <w:rsid w:val="00E96D11"/>
    <w:rsid w:val="00EB38C1"/>
    <w:rsid w:val="00EE748D"/>
    <w:rsid w:val="00F14E2D"/>
    <w:rsid w:val="00F22D88"/>
    <w:rsid w:val="00F44388"/>
    <w:rsid w:val="00F647C3"/>
    <w:rsid w:val="00F842DB"/>
    <w:rsid w:val="00F8655D"/>
    <w:rsid w:val="00FD0466"/>
    <w:rsid w:val="00FD2FD5"/>
    <w:rsid w:val="00FD7C6A"/>
    <w:rsid w:val="00FF1505"/>
    <w:rsid w:val="00FF52D8"/>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7AC"/>
    <w:rPr>
      <w:rFonts w:ascii="Times New Roman" w:eastAsia="Times New Roman" w:hAnsi="Times New Roman"/>
      <w:sz w:val="24"/>
      <w:szCs w:val="24"/>
      <w:lang w:val="es-ES" w:eastAsia="es-ES"/>
    </w:rPr>
  </w:style>
  <w:style w:type="paragraph" w:styleId="Ttulo3">
    <w:name w:val="heading 3"/>
    <w:basedOn w:val="Normal"/>
    <w:next w:val="Normal"/>
    <w:link w:val="Ttulo3Car"/>
    <w:uiPriority w:val="99"/>
    <w:qFormat/>
    <w:rsid w:val="00B937AC"/>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B937AC"/>
    <w:rPr>
      <w:rFonts w:ascii="Times New Roman Bold" w:hAnsi="Times New Roman Bold" w:cs="Times New Roman"/>
      <w:b/>
      <w:sz w:val="20"/>
      <w:szCs w:val="20"/>
      <w:lang w:val="en-US" w:eastAsia="es-ES"/>
    </w:rPr>
  </w:style>
  <w:style w:type="paragraph" w:styleId="Sinespaciado">
    <w:name w:val="No Spacing"/>
    <w:uiPriority w:val="99"/>
    <w:qFormat/>
    <w:rsid w:val="002F1232"/>
    <w:rPr>
      <w:rFonts w:ascii="Times New Roman" w:eastAsia="Times New Roman" w:hAnsi="Times New Roman"/>
      <w:sz w:val="24"/>
      <w:szCs w:val="24"/>
      <w:lang w:val="es-ES" w:eastAsia="es-ES"/>
    </w:rPr>
  </w:style>
  <w:style w:type="paragraph" w:styleId="Encabezado">
    <w:name w:val="header"/>
    <w:basedOn w:val="Normal"/>
    <w:link w:val="EncabezadoCar"/>
    <w:uiPriority w:val="99"/>
    <w:rsid w:val="00E61C1A"/>
    <w:pPr>
      <w:tabs>
        <w:tab w:val="center" w:pos="4419"/>
        <w:tab w:val="right" w:pos="8838"/>
      </w:tabs>
    </w:pPr>
  </w:style>
  <w:style w:type="character" w:customStyle="1" w:styleId="EncabezadoCar">
    <w:name w:val="Encabezado Car"/>
    <w:basedOn w:val="Fuentedeprrafopredeter"/>
    <w:link w:val="Encabezado"/>
    <w:uiPriority w:val="99"/>
    <w:locked/>
    <w:rsid w:val="00E61C1A"/>
    <w:rPr>
      <w:rFonts w:ascii="Times New Roman" w:hAnsi="Times New Roman" w:cs="Times New Roman"/>
      <w:sz w:val="24"/>
      <w:szCs w:val="24"/>
      <w:lang w:val="es-ES" w:eastAsia="es-ES"/>
    </w:rPr>
  </w:style>
  <w:style w:type="paragraph" w:styleId="Piedepgina">
    <w:name w:val="footer"/>
    <w:basedOn w:val="Normal"/>
    <w:link w:val="PiedepginaCar"/>
    <w:uiPriority w:val="99"/>
    <w:rsid w:val="00E61C1A"/>
    <w:pPr>
      <w:tabs>
        <w:tab w:val="center" w:pos="4419"/>
        <w:tab w:val="right" w:pos="8838"/>
      </w:tabs>
    </w:pPr>
  </w:style>
  <w:style w:type="character" w:customStyle="1" w:styleId="PiedepginaCar">
    <w:name w:val="Pie de página Car"/>
    <w:basedOn w:val="Fuentedeprrafopredeter"/>
    <w:link w:val="Piedepgina"/>
    <w:uiPriority w:val="99"/>
    <w:locked/>
    <w:rsid w:val="00E61C1A"/>
    <w:rPr>
      <w:rFonts w:ascii="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4046</Words>
  <Characters>22258</Characters>
  <Application>Microsoft Office Word</Application>
  <DocSecurity>0</DocSecurity>
  <Lines>185</Lines>
  <Paragraphs>52</Paragraphs>
  <ScaleCrop>false</ScaleCrop>
  <Company/>
  <LinksUpToDate>false</LinksUpToDate>
  <CharactersWithSpaces>26252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mirna.elias</cp:lastModifiedBy>
  <cp:revision>4</cp:revision>
  <cp:lastPrinted>2016-11-29T20:56:00Z</cp:lastPrinted>
  <dcterms:created xsi:type="dcterms:W3CDTF">2017-03-23T17:27:00Z</dcterms:created>
  <dcterms:modified xsi:type="dcterms:W3CDTF">2017-05-19T16:02:00Z</dcterms:modified>
</cp:coreProperties>
</file>