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0159" w:rsidRPr="00B243E0" w:rsidRDefault="00740159" w:rsidP="00F55BDD">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40159" w:rsidRPr="00F55BDD" w:rsidRDefault="00740159" w:rsidP="0001754D">
      <w:pPr>
        <w:pStyle w:val="Ttulo3"/>
        <w:rPr>
          <w:rFonts w:ascii="Calibri" w:hAnsi="Calibri" w:cs="Tahoma"/>
          <w:sz w:val="22"/>
          <w:szCs w:val="22"/>
          <w:lang w:val="es-ES"/>
        </w:rPr>
      </w:pPr>
    </w:p>
    <w:p w:rsidR="00740159" w:rsidRPr="00D019AB" w:rsidRDefault="00740159" w:rsidP="0001754D">
      <w:pPr>
        <w:pStyle w:val="Ttulo3"/>
        <w:rPr>
          <w:rFonts w:ascii="Calibri" w:hAnsi="Calibri" w:cs="Tahoma"/>
          <w:sz w:val="22"/>
          <w:szCs w:val="22"/>
          <w:lang w:val="es-ES_tradnl"/>
        </w:rPr>
      </w:pPr>
      <w:r w:rsidRPr="00D019AB">
        <w:rPr>
          <w:rFonts w:ascii="Calibri" w:hAnsi="Calibri" w:cs="Tahoma"/>
          <w:sz w:val="22"/>
          <w:szCs w:val="22"/>
          <w:lang w:val="es-ES_tradnl"/>
        </w:rPr>
        <w:t>CONTRATO MAG-No. 130/2016</w:t>
      </w:r>
    </w:p>
    <w:p w:rsidR="00740159" w:rsidRPr="00D019AB" w:rsidRDefault="00740159" w:rsidP="0001754D">
      <w:pPr>
        <w:pStyle w:val="Head21"/>
        <w:suppressAutoHyphens w:val="0"/>
        <w:rPr>
          <w:rFonts w:ascii="Calibri" w:hAnsi="Calibri" w:cs="Tahoma"/>
          <w:sz w:val="22"/>
          <w:szCs w:val="22"/>
        </w:rPr>
      </w:pPr>
      <w:r w:rsidRPr="00D019AB">
        <w:rPr>
          <w:rFonts w:ascii="Calibri" w:hAnsi="Calibri" w:cs="Tahoma"/>
          <w:sz w:val="22"/>
          <w:szCs w:val="22"/>
        </w:rPr>
        <w:t>“</w:t>
      </w:r>
      <w:r w:rsidR="00356098" w:rsidRPr="00D019AB">
        <w:rPr>
          <w:rFonts w:ascii="Calibri" w:hAnsi="Calibri" w:cs="Tahoma"/>
          <w:sz w:val="22"/>
          <w:szCs w:val="22"/>
        </w:rPr>
        <w:fldChar w:fldCharType="begin"/>
      </w:r>
      <w:r w:rsidRPr="00D019AB">
        <w:rPr>
          <w:rFonts w:ascii="Calibri" w:hAnsi="Calibri" w:cs="Tahoma"/>
          <w:sz w:val="22"/>
          <w:szCs w:val="22"/>
        </w:rPr>
        <w:instrText xml:space="preserve"> MERGEFIELD "Nombre_del_Contrato" </w:instrText>
      </w:r>
      <w:r w:rsidR="00356098" w:rsidRPr="00D019AB">
        <w:rPr>
          <w:rFonts w:ascii="Calibri" w:hAnsi="Calibri" w:cs="Tahoma"/>
          <w:sz w:val="22"/>
          <w:szCs w:val="22"/>
        </w:rPr>
        <w:fldChar w:fldCharType="separate"/>
      </w:r>
      <w:r w:rsidRPr="00D019AB">
        <w:rPr>
          <w:rFonts w:ascii="Calibri" w:hAnsi="Calibri" w:cs="Tahoma"/>
          <w:sz w:val="22"/>
          <w:szCs w:val="22"/>
        </w:rPr>
        <w:t>SUMINISTRO DE EQUIPOS MÉDICOS, REACTIVOS, MATERIALES E INSTRUMENTAL PARA LABORATORIO"</w:t>
      </w:r>
      <w:r w:rsidR="00356098" w:rsidRPr="00D019AB">
        <w:rPr>
          <w:rFonts w:ascii="Calibri" w:hAnsi="Calibri" w:cs="Tahoma"/>
          <w:sz w:val="22"/>
          <w:szCs w:val="22"/>
        </w:rPr>
        <w:fldChar w:fldCharType="end"/>
      </w:r>
    </w:p>
    <w:p w:rsidR="00740159" w:rsidRPr="00D019AB" w:rsidRDefault="00740159" w:rsidP="009B7D1E">
      <w:pPr>
        <w:rPr>
          <w:rFonts w:ascii="Calibri" w:hAnsi="Calibri"/>
          <w:sz w:val="22"/>
          <w:szCs w:val="22"/>
          <w:lang w:val="es-ES_tradnl"/>
        </w:rPr>
      </w:pPr>
    </w:p>
    <w:p w:rsidR="00740159" w:rsidRPr="00D019AB" w:rsidRDefault="00740159" w:rsidP="00DC72D6">
      <w:pPr>
        <w:spacing w:line="360" w:lineRule="auto"/>
        <w:jc w:val="both"/>
        <w:rPr>
          <w:rFonts w:ascii="Calibri" w:hAnsi="Calibri" w:cs="Tahoma"/>
          <w:i w:val="0"/>
          <w:sz w:val="22"/>
          <w:szCs w:val="22"/>
        </w:rPr>
      </w:pPr>
    </w:p>
    <w:p w:rsidR="00740159" w:rsidRPr="00D019AB" w:rsidRDefault="00740159" w:rsidP="00DC72D6">
      <w:pPr>
        <w:spacing w:line="360" w:lineRule="auto"/>
        <w:jc w:val="both"/>
        <w:rPr>
          <w:rFonts w:ascii="Calibri" w:hAnsi="Calibri" w:cs="Tahoma"/>
          <w:i w:val="0"/>
          <w:sz w:val="22"/>
          <w:szCs w:val="22"/>
        </w:rPr>
      </w:pPr>
      <w:r w:rsidRPr="00D019AB">
        <w:rPr>
          <w:rFonts w:ascii="Calibri" w:hAnsi="Calibri" w:cs="Tahoma"/>
          <w:i w:val="0"/>
          <w:sz w:val="22"/>
          <w:szCs w:val="22"/>
        </w:rPr>
        <w:t xml:space="preserve">Nosotros, </w:t>
      </w:r>
      <w:r w:rsidRPr="00D019AB">
        <w:rPr>
          <w:rFonts w:ascii="Calibri" w:hAnsi="Calibri" w:cs="Arial"/>
          <w:b/>
          <w:i w:val="0"/>
          <w:sz w:val="22"/>
          <w:szCs w:val="22"/>
        </w:rPr>
        <w:t>DOUGLAS ARQUIMIDES MELENDEZ RUIZ</w:t>
      </w:r>
      <w:r>
        <w:rPr>
          <w:rFonts w:ascii="Calibri" w:hAnsi="Calibri" w:cs="Arial"/>
          <w:i w:val="0"/>
          <w:sz w:val="22"/>
          <w:szCs w:val="22"/>
        </w:rPr>
        <w:t xml:space="preserve">, </w:t>
      </w:r>
      <w:r w:rsidR="004B3237" w:rsidRPr="004B3237">
        <w:rPr>
          <w:rFonts w:ascii="Calibri" w:hAnsi="Calibri" w:cs="Arial"/>
          <w:i w:val="0"/>
          <w:sz w:val="22"/>
          <w:szCs w:val="22"/>
          <w:highlight w:val="black"/>
        </w:rPr>
        <w:t>********************************************</w:t>
      </w:r>
      <w:r w:rsidRPr="00D019AB">
        <w:rPr>
          <w:rFonts w:ascii="Calibri" w:hAnsi="Calibri" w:cs="Arial"/>
          <w:i w:val="0"/>
          <w:sz w:val="22"/>
          <w:szCs w:val="22"/>
        </w:rPr>
        <w:t xml:space="preserve"> actuando en nombre y representación del Estado y Gobierno de El Salvador, </w:t>
      </w:r>
      <w:r w:rsidRPr="00D019AB">
        <w:rPr>
          <w:rFonts w:ascii="Calibri" w:hAnsi="Calibri" w:cs="Times New Roman"/>
          <w:i w:val="0"/>
          <w:sz w:val="22"/>
          <w:szCs w:val="22"/>
        </w:rPr>
        <w:t xml:space="preserve">específicamente </w:t>
      </w:r>
      <w:r w:rsidRPr="00D019AB">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D019AB">
        <w:rPr>
          <w:rFonts w:ascii="Calibri" w:hAnsi="Calibri" w:cs="Times New Roman"/>
          <w:i w:val="0"/>
          <w:sz w:val="22"/>
          <w:szCs w:val="22"/>
        </w:rPr>
        <w:t xml:space="preserve"> de la República </w:t>
      </w:r>
      <w:r w:rsidRPr="00D019AB">
        <w:rPr>
          <w:rFonts w:ascii="Calibri" w:hAnsi="Calibri" w:cs="Tahoma"/>
          <w:i w:val="0"/>
          <w:sz w:val="22"/>
          <w:szCs w:val="22"/>
        </w:rPr>
        <w:t xml:space="preserve">y que en el transcurso de este instrumento me denominaré </w:t>
      </w:r>
      <w:r w:rsidRPr="00D019AB">
        <w:rPr>
          <w:rFonts w:ascii="Calibri" w:hAnsi="Calibri" w:cs="Tahoma"/>
          <w:b/>
          <w:i w:val="0"/>
          <w:sz w:val="22"/>
          <w:szCs w:val="22"/>
        </w:rPr>
        <w:t xml:space="preserve">“EL CONTRATANTE </w:t>
      </w:r>
      <w:r w:rsidRPr="00D019AB">
        <w:rPr>
          <w:rFonts w:ascii="Calibri" w:hAnsi="Calibri" w:cs="Tahoma"/>
          <w:i w:val="0"/>
          <w:sz w:val="22"/>
          <w:szCs w:val="22"/>
        </w:rPr>
        <w:t>ó</w:t>
      </w:r>
      <w:r w:rsidRPr="00D019AB">
        <w:rPr>
          <w:rFonts w:ascii="Calibri" w:hAnsi="Calibri" w:cs="Tahoma"/>
          <w:b/>
          <w:i w:val="0"/>
          <w:sz w:val="22"/>
          <w:szCs w:val="22"/>
        </w:rPr>
        <w:t xml:space="preserve"> EL MAG”</w:t>
      </w:r>
      <w:r w:rsidRPr="00D019AB">
        <w:rPr>
          <w:rFonts w:ascii="Calibri" w:hAnsi="Calibri" w:cs="Tahoma"/>
          <w:i w:val="0"/>
          <w:sz w:val="22"/>
          <w:szCs w:val="22"/>
        </w:rPr>
        <w:t>,</w:t>
      </w:r>
      <w:r w:rsidRPr="00D019AB">
        <w:rPr>
          <w:rFonts w:ascii="Calibri" w:hAnsi="Calibri" w:cs="Arial"/>
          <w:i w:val="0"/>
          <w:sz w:val="22"/>
          <w:szCs w:val="22"/>
        </w:rPr>
        <w:t xml:space="preserve"> </w:t>
      </w:r>
      <w:r w:rsidRPr="00D019AB">
        <w:rPr>
          <w:rFonts w:ascii="Calibri" w:hAnsi="Calibri" w:cs="Tahoma"/>
          <w:i w:val="0"/>
          <w:sz w:val="22"/>
          <w:szCs w:val="22"/>
        </w:rPr>
        <w:t xml:space="preserve">y por otra parte </w:t>
      </w:r>
      <w:r w:rsidRPr="00D019AB">
        <w:rPr>
          <w:rFonts w:ascii="Calibri" w:hAnsi="Calibri" w:cs="Calibri"/>
          <w:b/>
          <w:i w:val="0"/>
          <w:noProof/>
          <w:sz w:val="22"/>
          <w:szCs w:val="22"/>
        </w:rPr>
        <w:t>IVÁN EVARISTO OLIVER O'DOWD</w:t>
      </w:r>
      <w:r w:rsidRPr="00D019AB">
        <w:rPr>
          <w:rFonts w:ascii="Calibri" w:hAnsi="Calibri" w:cs="Calibri"/>
          <w:i w:val="0"/>
          <w:sz w:val="22"/>
          <w:szCs w:val="22"/>
        </w:rPr>
        <w:t>,</w:t>
      </w:r>
      <w:r w:rsidRPr="00D019AB">
        <w:rPr>
          <w:rFonts w:ascii="Calibri" w:hAnsi="Calibri" w:cs="Calibri"/>
          <w:b/>
          <w:i w:val="0"/>
          <w:sz w:val="22"/>
          <w:szCs w:val="22"/>
        </w:rPr>
        <w:t xml:space="preserve"> </w:t>
      </w:r>
      <w:r w:rsidR="004B3237" w:rsidRPr="004B3237">
        <w:rPr>
          <w:rFonts w:ascii="Calibri" w:hAnsi="Calibri" w:cs="Calibri"/>
          <w:i w:val="0"/>
          <w:sz w:val="22"/>
          <w:szCs w:val="22"/>
          <w:highlight w:val="black"/>
        </w:rPr>
        <w:t>***************************************************************</w:t>
      </w:r>
      <w:r w:rsidRPr="00D019AB">
        <w:rPr>
          <w:rFonts w:ascii="Calibri" w:hAnsi="Calibri" w:cs="Calibri"/>
          <w:i w:val="0"/>
          <w:sz w:val="22"/>
          <w:szCs w:val="22"/>
          <w:lang w:val="es-ES_tradnl"/>
        </w:rPr>
        <w:t xml:space="preserve"> actuando en mi carácter de administrador único propietario y representante judicial y extrajudicial de la sociedad </w:t>
      </w:r>
      <w:r w:rsidRPr="00D019AB">
        <w:rPr>
          <w:rFonts w:ascii="Calibri" w:hAnsi="Calibri" w:cs="Calibri"/>
          <w:b/>
          <w:i w:val="0"/>
          <w:sz w:val="22"/>
          <w:szCs w:val="22"/>
          <w:lang w:val="es-ES_tradnl"/>
        </w:rPr>
        <w:t>CONSULTORES ASOCIADOS PROVEEDORES DE BIENES Y SERVICIOS, SOCIEDAD ANÓNIMA DE CAPITAL VARIABLE</w:t>
      </w:r>
      <w:r w:rsidRPr="00D019AB">
        <w:rPr>
          <w:rFonts w:ascii="Calibri" w:hAnsi="Calibri" w:cs="Calibri"/>
          <w:i w:val="0"/>
          <w:sz w:val="22"/>
          <w:szCs w:val="22"/>
          <w:lang w:val="es-ES_tradnl"/>
        </w:rPr>
        <w:t xml:space="preserve">, que puede abreviarse </w:t>
      </w:r>
      <w:r w:rsidRPr="00D019AB">
        <w:rPr>
          <w:rFonts w:ascii="Calibri" w:hAnsi="Calibri" w:cs="Calibri"/>
          <w:b/>
          <w:i w:val="0"/>
          <w:sz w:val="22"/>
          <w:szCs w:val="22"/>
          <w:lang w:val="es-ES_tradnl"/>
        </w:rPr>
        <w:t>COPROSER, S.A. DE C.V.</w:t>
      </w:r>
      <w:r w:rsidRPr="00D019AB">
        <w:rPr>
          <w:rFonts w:ascii="Calibri" w:hAnsi="Calibri" w:cs="Calibri"/>
          <w:i w:val="0"/>
          <w:sz w:val="22"/>
          <w:szCs w:val="22"/>
          <w:lang w:val="es-ES_tradnl"/>
        </w:rPr>
        <w:t xml:space="preserve"> persona jurídica del domicilio </w:t>
      </w:r>
      <w:r w:rsidR="004B3237" w:rsidRPr="004B3237">
        <w:rPr>
          <w:rFonts w:ascii="Calibri" w:hAnsi="Calibri" w:cs="Calibri"/>
          <w:i w:val="0"/>
          <w:sz w:val="22"/>
          <w:szCs w:val="22"/>
          <w:highlight w:val="black"/>
          <w:lang w:val="es-ES_tradnl"/>
        </w:rPr>
        <w:t>************************************************</w:t>
      </w:r>
      <w:r w:rsidRPr="00D019AB">
        <w:rPr>
          <w:rFonts w:ascii="Calibri" w:hAnsi="Calibri" w:cs="Calibri"/>
          <w:i w:val="0"/>
          <w:sz w:val="22"/>
          <w:szCs w:val="22"/>
          <w:lang w:val="es-ES_tradnl"/>
        </w:rPr>
        <w:t xml:space="preserve"> </w:t>
      </w:r>
      <w:r w:rsidRPr="00D019AB">
        <w:rPr>
          <w:rFonts w:ascii="Calibri" w:hAnsi="Calibri" w:cs="Tahoma"/>
          <w:i w:val="0"/>
          <w:sz w:val="22"/>
          <w:szCs w:val="22"/>
        </w:rPr>
        <w:t xml:space="preserve">que en el transcurso del presente instrumento me denominaré </w:t>
      </w:r>
      <w:r w:rsidRPr="00D019AB">
        <w:rPr>
          <w:rFonts w:ascii="Calibri" w:hAnsi="Calibri" w:cs="Tahoma"/>
          <w:b/>
          <w:i w:val="0"/>
          <w:sz w:val="22"/>
          <w:szCs w:val="22"/>
        </w:rPr>
        <w:t xml:space="preserve">“LA CONTRATISTA”; </w:t>
      </w:r>
      <w:r w:rsidRPr="00D019AB">
        <w:rPr>
          <w:rFonts w:ascii="Calibri" w:hAnsi="Calibri" w:cs="Tahoma"/>
          <w:i w:val="0"/>
          <w:sz w:val="22"/>
          <w:szCs w:val="22"/>
        </w:rPr>
        <w:t xml:space="preserve">y en los caracteres dichos </w:t>
      </w:r>
      <w:r w:rsidRPr="00D019AB">
        <w:rPr>
          <w:rFonts w:ascii="Calibri" w:hAnsi="Calibri" w:cs="Tahoma"/>
          <w:b/>
          <w:i w:val="0"/>
          <w:sz w:val="22"/>
          <w:szCs w:val="22"/>
        </w:rPr>
        <w:t>MANIFESTAMOS:</w:t>
      </w:r>
      <w:r w:rsidRPr="00D019AB">
        <w:rPr>
          <w:rFonts w:ascii="Calibri" w:hAnsi="Calibri" w:cs="Tahoma"/>
          <w:i w:val="0"/>
          <w:sz w:val="22"/>
          <w:szCs w:val="22"/>
        </w:rPr>
        <w:t xml:space="preserve"> Que hemos  acordado otorgar el presente Contrato proveniente del proceso de </w:t>
      </w:r>
      <w:r w:rsidRPr="00D019AB">
        <w:rPr>
          <w:rFonts w:ascii="Calibri" w:hAnsi="Calibri" w:cs="Tahoma"/>
          <w:b/>
          <w:i w:val="0"/>
          <w:sz w:val="22"/>
          <w:szCs w:val="22"/>
        </w:rPr>
        <w:t>LICITACION ABIERTA DR-CAFTA-LA N° 012/2016-MAG,</w:t>
      </w:r>
      <w:r w:rsidRPr="00D019AB">
        <w:rPr>
          <w:rFonts w:ascii="Calibri" w:hAnsi="Calibri" w:cs="Tahoma"/>
          <w:i w:val="0"/>
          <w:sz w:val="22"/>
          <w:szCs w:val="22"/>
        </w:rPr>
        <w:t xml:space="preserve"> denominada: </w:t>
      </w:r>
      <w:r w:rsidRPr="00D019AB">
        <w:rPr>
          <w:rFonts w:ascii="Calibri" w:hAnsi="Calibri" w:cs="Tahoma"/>
          <w:b/>
          <w:i w:val="0"/>
          <w:sz w:val="22"/>
          <w:szCs w:val="22"/>
        </w:rPr>
        <w:t>“SUMINISTRO DE EQUIPOS MEDICOS, REACTIVOS, MATERIAL</w:t>
      </w:r>
      <w:r>
        <w:rPr>
          <w:rFonts w:ascii="Calibri" w:hAnsi="Calibri" w:cs="Tahoma"/>
          <w:b/>
          <w:i w:val="0"/>
          <w:sz w:val="22"/>
          <w:szCs w:val="22"/>
        </w:rPr>
        <w:t>ES</w:t>
      </w:r>
      <w:r w:rsidRPr="00D019AB">
        <w:rPr>
          <w:rFonts w:ascii="Calibri" w:hAnsi="Calibri" w:cs="Tahoma"/>
          <w:b/>
          <w:i w:val="0"/>
          <w:sz w:val="22"/>
          <w:szCs w:val="22"/>
        </w:rPr>
        <w:t xml:space="preserve"> E INSTRUMENTAL PARA LABORATORIO”</w:t>
      </w:r>
      <w:r w:rsidRPr="00D019AB">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D019AB">
        <w:rPr>
          <w:rFonts w:ascii="Calibri" w:hAnsi="Calibri" w:cs="Tahoma"/>
          <w:b/>
          <w:i w:val="0"/>
          <w:sz w:val="22"/>
          <w:szCs w:val="22"/>
        </w:rPr>
        <w:t>I.- OBJETO DEL CONTRATO</w:t>
      </w:r>
      <w:r w:rsidRPr="00D019AB">
        <w:rPr>
          <w:rFonts w:ascii="Calibri" w:hAnsi="Calibri" w:cs="Tahoma"/>
          <w:i w:val="0"/>
          <w:sz w:val="22"/>
          <w:szCs w:val="22"/>
        </w:rPr>
        <w:t xml:space="preserve">. El objeto del presente contrato es el </w:t>
      </w:r>
      <w:r w:rsidRPr="00D019AB">
        <w:rPr>
          <w:rFonts w:ascii="Calibri" w:hAnsi="Calibri" w:cs="Tahoma"/>
          <w:b/>
          <w:i w:val="0"/>
          <w:sz w:val="22"/>
          <w:szCs w:val="22"/>
        </w:rPr>
        <w:t>“SUMINISTRO DE EQUIPOS MEDICOS, REACTIVOS, MATERIAL</w:t>
      </w:r>
      <w:r>
        <w:rPr>
          <w:rFonts w:ascii="Calibri" w:hAnsi="Calibri" w:cs="Tahoma"/>
          <w:b/>
          <w:i w:val="0"/>
          <w:sz w:val="22"/>
          <w:szCs w:val="22"/>
        </w:rPr>
        <w:t>ES</w:t>
      </w:r>
      <w:r w:rsidRPr="00D019AB">
        <w:rPr>
          <w:rFonts w:ascii="Calibri" w:hAnsi="Calibri" w:cs="Tahoma"/>
          <w:b/>
          <w:i w:val="0"/>
          <w:sz w:val="22"/>
          <w:szCs w:val="22"/>
        </w:rPr>
        <w:t xml:space="preserve"> E INSTRUMENTAL PARA LABORATORIO”</w:t>
      </w:r>
      <w:r w:rsidRPr="00D019AB">
        <w:rPr>
          <w:rFonts w:ascii="Calibri" w:hAnsi="Calibri" w:cs="Tahoma"/>
          <w:i w:val="0"/>
          <w:sz w:val="22"/>
          <w:szCs w:val="22"/>
        </w:rPr>
        <w:t>, según el siguiente detalle:</w:t>
      </w:r>
    </w:p>
    <w:p w:rsidR="00740159" w:rsidRDefault="00740159" w:rsidP="00DC72D6">
      <w:pPr>
        <w:spacing w:line="360" w:lineRule="auto"/>
        <w:jc w:val="both"/>
        <w:rPr>
          <w:rFonts w:cs="Tahoma"/>
          <w:i w:val="0"/>
          <w:sz w:val="20"/>
        </w:rPr>
      </w:pPr>
    </w:p>
    <w:p w:rsidR="00740159" w:rsidRDefault="00740159" w:rsidP="00DC72D6">
      <w:pPr>
        <w:spacing w:line="360" w:lineRule="auto"/>
        <w:jc w:val="both"/>
        <w:rPr>
          <w:rFonts w:cs="Tahoma"/>
          <w:i w:val="0"/>
          <w:sz w:val="20"/>
        </w:rPr>
      </w:pPr>
    </w:p>
    <w:p w:rsidR="00740159" w:rsidRDefault="00740159" w:rsidP="00DC72D6">
      <w:pPr>
        <w:spacing w:line="360" w:lineRule="auto"/>
        <w:jc w:val="both"/>
        <w:rPr>
          <w:rFonts w:cs="Tahoma"/>
          <w:i w:val="0"/>
          <w:sz w:val="20"/>
        </w:rPr>
      </w:pPr>
    </w:p>
    <w:p w:rsidR="00740159" w:rsidRDefault="00740159" w:rsidP="00DC72D6">
      <w:pPr>
        <w:spacing w:line="360" w:lineRule="auto"/>
        <w:jc w:val="both"/>
        <w:rPr>
          <w:rFonts w:cs="Tahoma"/>
          <w:i w:val="0"/>
          <w:sz w:val="20"/>
        </w:rPr>
      </w:pPr>
    </w:p>
    <w:p w:rsidR="00740159" w:rsidRPr="00324CAF" w:rsidRDefault="00740159" w:rsidP="00DC72D6">
      <w:pPr>
        <w:spacing w:line="360" w:lineRule="auto"/>
        <w:jc w:val="both"/>
        <w:rPr>
          <w:rFonts w:cs="Tahoma"/>
          <w:i w:val="0"/>
          <w:sz w:val="20"/>
        </w:rPr>
      </w:pPr>
    </w:p>
    <w:tbl>
      <w:tblPr>
        <w:tblW w:w="9500" w:type="dxa"/>
        <w:tblCellMar>
          <w:left w:w="70" w:type="dxa"/>
          <w:right w:w="70" w:type="dxa"/>
        </w:tblCellMar>
        <w:tblLook w:val="00A0"/>
      </w:tblPr>
      <w:tblGrid>
        <w:gridCol w:w="761"/>
        <w:gridCol w:w="3753"/>
        <w:gridCol w:w="975"/>
        <w:gridCol w:w="678"/>
        <w:gridCol w:w="1305"/>
        <w:gridCol w:w="975"/>
        <w:gridCol w:w="1053"/>
      </w:tblGrid>
      <w:tr w:rsidR="00740159" w:rsidRPr="00B35961" w:rsidTr="00B35961">
        <w:trPr>
          <w:trHeight w:val="465"/>
          <w:tblHeader/>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No. de Renglón</w:t>
            </w:r>
          </w:p>
        </w:tc>
        <w:tc>
          <w:tcPr>
            <w:tcW w:w="3753"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Descripción de los bienes</w:t>
            </w:r>
          </w:p>
        </w:tc>
        <w:tc>
          <w:tcPr>
            <w:tcW w:w="975"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Unidad de Medida</w:t>
            </w:r>
          </w:p>
        </w:tc>
        <w:tc>
          <w:tcPr>
            <w:tcW w:w="678"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Cant.</w:t>
            </w:r>
          </w:p>
        </w:tc>
        <w:tc>
          <w:tcPr>
            <w:tcW w:w="1305"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Marca</w:t>
            </w:r>
          </w:p>
        </w:tc>
        <w:tc>
          <w:tcPr>
            <w:tcW w:w="975"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Precio Unitario (US$)</w:t>
            </w:r>
          </w:p>
        </w:tc>
        <w:tc>
          <w:tcPr>
            <w:tcW w:w="1053" w:type="dxa"/>
            <w:tcBorders>
              <w:top w:val="single" w:sz="4" w:space="0" w:color="auto"/>
              <w:left w:val="nil"/>
              <w:bottom w:val="single" w:sz="4" w:space="0" w:color="auto"/>
              <w:right w:val="single" w:sz="4" w:space="0" w:color="auto"/>
            </w:tcBorders>
            <w:shd w:val="clear" w:color="000000" w:fill="C0C0C0"/>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Total (US$)</w:t>
            </w:r>
          </w:p>
        </w:tc>
      </w:tr>
      <w:tr w:rsidR="00740159" w:rsidRPr="00B35961" w:rsidTr="00B35961">
        <w:trPr>
          <w:trHeight w:val="612"/>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40159" w:rsidRPr="00D019AB" w:rsidRDefault="00740159" w:rsidP="006F31FD">
            <w:pPr>
              <w:rPr>
                <w:rFonts w:ascii="Palatino Linotype" w:hAnsi="Palatino Linotype" w:cs="Arial"/>
                <w:b/>
                <w:bCs/>
                <w:i w:val="0"/>
                <w:sz w:val="14"/>
                <w:szCs w:val="14"/>
              </w:rPr>
            </w:pPr>
            <w:r w:rsidRPr="00D019AB">
              <w:rPr>
                <w:rFonts w:ascii="Palatino Linotype" w:hAnsi="Palatino Linotype" w:cs="Arial"/>
                <w:b/>
                <w:bCs/>
                <w:i w:val="0"/>
                <w:sz w:val="14"/>
                <w:szCs w:val="14"/>
              </w:rPr>
              <w:t>LOTE No. 6- DIRECCIÓN GENERAL DE SANIDAD VEGETAL / FONDO DE ACTIVIDADES ESPECIALES (DGSVA)/COMPROBANTE DE CRÉDITO FISCAL A NOMBRE DE PAGADURÍA AUXILIAR DEL FONDO DE ACTIVIDADES ESPECIALES DE LA DIRECCIÓN GENERAL DE SANIDAD VEGETAL Y ANIMAL-DGSVA</w:t>
            </w:r>
          </w:p>
        </w:tc>
      </w:tr>
      <w:tr w:rsidR="00740159" w:rsidRPr="00B35961" w:rsidTr="00B35961">
        <w:trPr>
          <w:trHeight w:val="1461"/>
        </w:trPr>
        <w:tc>
          <w:tcPr>
            <w:tcW w:w="761" w:type="dxa"/>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lastRenderedPageBreak/>
              <w:t>1</w:t>
            </w:r>
          </w:p>
        </w:tc>
        <w:tc>
          <w:tcPr>
            <w:tcW w:w="3753"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 xml:space="preserve">Papel especial para germinación, Características: Medidas 12x18 pulgadas, Regular weight (38lb), Estéril de textura y resistencia, Textura tipo crepe, Resistencia a la perforación (ASTM Designation:D774-46, omitting Sec. 1, "Scope"), </w:t>
            </w:r>
            <w:smartTag w:uri="urn:schemas-microsoft-com:office:smarttags" w:element="metricconverter">
              <w:smartTagPr>
                <w:attr w:name="ProductID" w:val="26 lb"/>
              </w:smartTagPr>
              <w:r w:rsidRPr="00D019AB">
                <w:rPr>
                  <w:rFonts w:ascii="Palatino Linotype" w:hAnsi="Palatino Linotype" w:cs="Arial"/>
                  <w:i w:val="0"/>
                  <w:sz w:val="14"/>
                  <w:szCs w:val="14"/>
                </w:rPr>
                <w:t>26 lb</w:t>
              </w:r>
            </w:smartTag>
            <w:r w:rsidRPr="00D019AB">
              <w:rPr>
                <w:rFonts w:ascii="Palatino Linotype" w:hAnsi="Palatino Linotype" w:cs="Arial"/>
                <w:i w:val="0"/>
                <w:sz w:val="14"/>
                <w:szCs w:val="14"/>
              </w:rPr>
              <w:t xml:space="preserve"> psi, Tensión de rotura humedad (ASTM Designation:829-48, Method B, omitting Sec. 7(b)Dirección de la máquina, </w:t>
            </w:r>
            <w:smartTag w:uri="urn:schemas-microsoft-com:office:smarttags" w:element="metricconverter">
              <w:smartTagPr>
                <w:attr w:name="ProductID" w:val="4 libras"/>
              </w:smartTagPr>
              <w:r w:rsidRPr="00D019AB">
                <w:rPr>
                  <w:rFonts w:ascii="Palatino Linotype" w:hAnsi="Palatino Linotype" w:cs="Arial"/>
                  <w:i w:val="0"/>
                  <w:sz w:val="14"/>
                  <w:szCs w:val="14"/>
                </w:rPr>
                <w:t>4 libras</w:t>
              </w:r>
            </w:smartTag>
            <w:r w:rsidRPr="00D019AB">
              <w:rPr>
                <w:rFonts w:ascii="Palatino Linotype" w:hAnsi="Palatino Linotype" w:cs="Arial"/>
                <w:i w:val="0"/>
                <w:sz w:val="14"/>
                <w:szCs w:val="14"/>
              </w:rPr>
              <w:t xml:space="preserve">, dirección cruzada </w:t>
            </w:r>
            <w:smartTag w:uri="urn:schemas-microsoft-com:office:smarttags" w:element="metricconverter">
              <w:smartTagPr>
                <w:attr w:name="ProductID" w:val="2 libras"/>
              </w:smartTagPr>
              <w:r w:rsidRPr="00D019AB">
                <w:rPr>
                  <w:rFonts w:ascii="Palatino Linotype" w:hAnsi="Palatino Linotype" w:cs="Arial"/>
                  <w:i w:val="0"/>
                  <w:sz w:val="14"/>
                  <w:szCs w:val="14"/>
                </w:rPr>
                <w:t>2 libras</w:t>
              </w:r>
            </w:smartTag>
            <w:r w:rsidRPr="00D019AB">
              <w:rPr>
                <w:rFonts w:ascii="Palatino Linotype" w:hAnsi="Palatino Linotype" w:cs="Arial"/>
                <w:i w:val="0"/>
                <w:sz w:val="14"/>
                <w:szCs w:val="14"/>
              </w:rPr>
              <w:t>, Especial para germinación, las raíces de las plantas no lo penetran y se desarrollan en su superficie, , Modelo Regular 12x18”. Garantía de un año</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Pliego</w:t>
            </w:r>
          </w:p>
        </w:tc>
        <w:tc>
          <w:tcPr>
            <w:tcW w:w="678"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25,000</w:t>
            </w:r>
          </w:p>
        </w:tc>
        <w:tc>
          <w:tcPr>
            <w:tcW w:w="1305"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ANCHOR</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0.13</w:t>
            </w:r>
          </w:p>
        </w:tc>
        <w:tc>
          <w:tcPr>
            <w:tcW w:w="1053"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3,250.00</w:t>
            </w:r>
          </w:p>
        </w:tc>
      </w:tr>
      <w:tr w:rsidR="00740159" w:rsidRPr="00B35961" w:rsidTr="00B35961">
        <w:trPr>
          <w:trHeight w:val="320"/>
        </w:trPr>
        <w:tc>
          <w:tcPr>
            <w:tcW w:w="8447"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TOTAL LOTE No. 6</w:t>
            </w:r>
          </w:p>
        </w:tc>
        <w:tc>
          <w:tcPr>
            <w:tcW w:w="1053" w:type="dxa"/>
            <w:tcBorders>
              <w:top w:val="nil"/>
              <w:left w:val="nil"/>
              <w:bottom w:val="single" w:sz="4" w:space="0" w:color="auto"/>
              <w:right w:val="single" w:sz="4" w:space="0" w:color="auto"/>
            </w:tcBorders>
            <w:shd w:val="clear" w:color="000000" w:fill="FFFFFF"/>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3,250.00</w:t>
            </w:r>
          </w:p>
        </w:tc>
      </w:tr>
      <w:tr w:rsidR="00740159" w:rsidRPr="00B35961" w:rsidTr="00B35961">
        <w:trPr>
          <w:trHeight w:val="557"/>
        </w:trPr>
        <w:tc>
          <w:tcPr>
            <w:tcW w:w="9500" w:type="dxa"/>
            <w:gridSpan w:val="7"/>
            <w:tcBorders>
              <w:top w:val="single" w:sz="4" w:space="0" w:color="auto"/>
              <w:left w:val="single" w:sz="4" w:space="0" w:color="auto"/>
              <w:bottom w:val="nil"/>
              <w:right w:val="single" w:sz="4" w:space="0" w:color="auto"/>
            </w:tcBorders>
            <w:vAlign w:val="center"/>
          </w:tcPr>
          <w:p w:rsidR="00740159" w:rsidRPr="00D019AB" w:rsidRDefault="00740159" w:rsidP="006F31FD">
            <w:pPr>
              <w:rPr>
                <w:rFonts w:ascii="Palatino Linotype" w:hAnsi="Palatino Linotype" w:cs="Arial"/>
                <w:b/>
                <w:bCs/>
                <w:i w:val="0"/>
                <w:sz w:val="14"/>
                <w:szCs w:val="14"/>
              </w:rPr>
            </w:pPr>
            <w:r w:rsidRPr="00D019AB">
              <w:rPr>
                <w:rFonts w:ascii="Palatino Linotype" w:hAnsi="Palatino Linotype" w:cs="Arial"/>
                <w:b/>
                <w:bCs/>
                <w:i w:val="0"/>
                <w:sz w:val="14"/>
                <w:szCs w:val="14"/>
              </w:rPr>
              <w:t>LOTE No. 10 - DIRECCIÓN GENERAL DE GANADERIA / FONDO DE ACTIVIDADES ESPECIALES (DGSVA)/COMPROBANTE DE CRÉDITO FISCAL A NOMBRE DE PAGADURÍA AUXILIAR DEL FONDO DE ACTIVIDADES ESPECIALES DE LA DIRECCIÓN GENERAL DE SANIDAD VEGETAL Y ANIMAL-DGSVA</w:t>
            </w:r>
          </w:p>
        </w:tc>
      </w:tr>
      <w:tr w:rsidR="00740159" w:rsidRPr="00B35961" w:rsidTr="00B35961">
        <w:trPr>
          <w:trHeight w:val="974"/>
        </w:trPr>
        <w:tc>
          <w:tcPr>
            <w:tcW w:w="761" w:type="dxa"/>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1</w:t>
            </w:r>
          </w:p>
        </w:tc>
        <w:tc>
          <w:tcPr>
            <w:tcW w:w="3753"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 xml:space="preserve">Red oceanográfica para análisis cuantitativos de plankton, Aplicación vertical u horizontal, Material nylon NITEXtm, tiple costura, collar reforzado, Aro de acero inoxidable de 20cm de diámetro, Mesh, 20 micras, Incluye aro de acero inox, argolla de arrastre de 3 puntos y colector de 2 piezas de PVC (500ml), , Modelo #20, Garantía de un año </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Unidad</w:t>
            </w:r>
          </w:p>
        </w:tc>
        <w:tc>
          <w:tcPr>
            <w:tcW w:w="678"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1</w:t>
            </w:r>
          </w:p>
        </w:tc>
        <w:tc>
          <w:tcPr>
            <w:tcW w:w="1305"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ACUATIC RESEARCH INSTRUMENTS</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495.00</w:t>
            </w:r>
          </w:p>
        </w:tc>
        <w:tc>
          <w:tcPr>
            <w:tcW w:w="1053"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495.00</w:t>
            </w:r>
          </w:p>
        </w:tc>
      </w:tr>
      <w:tr w:rsidR="00740159" w:rsidRPr="00B35961" w:rsidTr="00B35961">
        <w:trPr>
          <w:trHeight w:val="655"/>
        </w:trPr>
        <w:tc>
          <w:tcPr>
            <w:tcW w:w="761" w:type="dxa"/>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2</w:t>
            </w:r>
          </w:p>
        </w:tc>
        <w:tc>
          <w:tcPr>
            <w:tcW w:w="3753"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 xml:space="preserve">Lumpe acuático para uso en pecera, Estilo cuadrado para acceso a los rincones, </w:t>
            </w:r>
            <w:smartTag w:uri="urn:schemas-microsoft-com:office:smarttags" w:element="metricconverter">
              <w:smartTagPr>
                <w:attr w:name="ProductID" w:val="6 pulgadas"/>
              </w:smartTagPr>
              <w:r w:rsidRPr="00D019AB">
                <w:rPr>
                  <w:rFonts w:ascii="Palatino Linotype" w:hAnsi="Palatino Linotype" w:cs="Arial"/>
                  <w:i w:val="0"/>
                  <w:sz w:val="14"/>
                  <w:szCs w:val="14"/>
                </w:rPr>
                <w:t>6 pulgadas</w:t>
              </w:r>
            </w:smartTag>
            <w:r w:rsidRPr="00D019AB">
              <w:rPr>
                <w:rFonts w:ascii="Palatino Linotype" w:hAnsi="Palatino Linotype" w:cs="Arial"/>
                <w:i w:val="0"/>
                <w:sz w:val="14"/>
                <w:szCs w:val="14"/>
              </w:rPr>
              <w:t xml:space="preserve">  de ancho, Longitud </w:t>
            </w:r>
            <w:smartTag w:uri="urn:schemas-microsoft-com:office:smarttags" w:element="metricconverter">
              <w:smartTagPr>
                <w:attr w:name="ProductID" w:val="10 pulgadas"/>
              </w:smartTagPr>
              <w:r w:rsidRPr="00D019AB">
                <w:rPr>
                  <w:rFonts w:ascii="Palatino Linotype" w:hAnsi="Palatino Linotype" w:cs="Arial"/>
                  <w:i w:val="0"/>
                  <w:sz w:val="14"/>
                  <w:szCs w:val="14"/>
                </w:rPr>
                <w:t>10 pulgadas</w:t>
              </w:r>
            </w:smartTag>
            <w:r w:rsidRPr="00D019AB">
              <w:rPr>
                <w:rFonts w:ascii="Palatino Linotype" w:hAnsi="Palatino Linotype" w:cs="Arial"/>
                <w:i w:val="0"/>
                <w:sz w:val="14"/>
                <w:szCs w:val="14"/>
              </w:rPr>
              <w:t xml:space="preserve">, , Modelo 11276. Garantía de 6 meses. </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Unidad</w:t>
            </w:r>
          </w:p>
        </w:tc>
        <w:tc>
          <w:tcPr>
            <w:tcW w:w="678"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4</w:t>
            </w:r>
          </w:p>
        </w:tc>
        <w:tc>
          <w:tcPr>
            <w:tcW w:w="1305"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MARINA</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18.50</w:t>
            </w:r>
          </w:p>
        </w:tc>
        <w:tc>
          <w:tcPr>
            <w:tcW w:w="1053"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74.00</w:t>
            </w:r>
          </w:p>
        </w:tc>
      </w:tr>
      <w:tr w:rsidR="00740159" w:rsidRPr="00B35961" w:rsidTr="00B35961">
        <w:trPr>
          <w:trHeight w:val="1123"/>
        </w:trPr>
        <w:tc>
          <w:tcPr>
            <w:tcW w:w="761" w:type="dxa"/>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3</w:t>
            </w:r>
          </w:p>
        </w:tc>
        <w:tc>
          <w:tcPr>
            <w:tcW w:w="3753"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 xml:space="preserve">Sonda multiparamétrica, Voltaje  115v, Equipo de medición de uso en cuerpos de agua, Mide: Oxígeno disuelto: Rango </w:t>
            </w:r>
            <w:smartTag w:uri="urn:schemas-microsoft-com:office:smarttags" w:element="metricconverter">
              <w:smartTagPr>
                <w:attr w:name="ProductID" w:val="0,0 a"/>
              </w:smartTagPr>
              <w:r w:rsidRPr="00D019AB">
                <w:rPr>
                  <w:rFonts w:ascii="Palatino Linotype" w:hAnsi="Palatino Linotype" w:cs="Arial"/>
                  <w:i w:val="0"/>
                  <w:sz w:val="14"/>
                  <w:szCs w:val="14"/>
                </w:rPr>
                <w:t>0,0 a</w:t>
              </w:r>
            </w:smartTag>
            <w:r w:rsidRPr="00D019AB">
              <w:rPr>
                <w:rFonts w:ascii="Palatino Linotype" w:hAnsi="Palatino Linotype" w:cs="Arial"/>
                <w:i w:val="0"/>
                <w:sz w:val="14"/>
                <w:szCs w:val="14"/>
              </w:rPr>
              <w:t xml:space="preserve"> 500,0%;, Resolución </w:t>
            </w:r>
            <w:smartTag w:uri="urn:schemas-microsoft-com:office:smarttags" w:element="metricconverter">
              <w:smartTagPr>
                <w:attr w:name="ProductID" w:val="0,00 a"/>
              </w:smartTagPr>
              <w:r w:rsidRPr="00D019AB">
                <w:rPr>
                  <w:rFonts w:ascii="Palatino Linotype" w:hAnsi="Palatino Linotype" w:cs="Arial"/>
                  <w:i w:val="0"/>
                  <w:sz w:val="14"/>
                  <w:szCs w:val="14"/>
                </w:rPr>
                <w:t>0,00 a</w:t>
              </w:r>
            </w:smartTag>
            <w:r w:rsidRPr="00D019AB">
              <w:rPr>
                <w:rFonts w:ascii="Palatino Linotype" w:hAnsi="Palatino Linotype" w:cs="Arial"/>
                <w:i w:val="0"/>
                <w:sz w:val="14"/>
                <w:szCs w:val="14"/>
              </w:rPr>
              <w:t xml:space="preserve"> 50,00 ppm 0,1%; 0,01 ppm</w:t>
            </w:r>
            <w:r w:rsidRPr="00D019AB">
              <w:rPr>
                <w:rFonts w:ascii="Palatino Linotype" w:hAnsi="Palatino Linotype" w:cs="Arial"/>
                <w:i w:val="0"/>
                <w:sz w:val="14"/>
                <w:szCs w:val="14"/>
              </w:rPr>
              <w:br/>
              <w:t xml:space="preserve">• pH: Rango </w:t>
            </w:r>
            <w:smartTag w:uri="urn:schemas-microsoft-com:office:smarttags" w:element="metricconverter">
              <w:smartTagPr>
                <w:attr w:name="ProductID" w:val="0,00 a"/>
              </w:smartTagPr>
              <w:r w:rsidRPr="00D019AB">
                <w:rPr>
                  <w:rFonts w:ascii="Palatino Linotype" w:hAnsi="Palatino Linotype" w:cs="Arial"/>
                  <w:i w:val="0"/>
                  <w:sz w:val="14"/>
                  <w:szCs w:val="14"/>
                </w:rPr>
                <w:t>0,00 a</w:t>
              </w:r>
            </w:smartTag>
            <w:r w:rsidRPr="00D019AB">
              <w:rPr>
                <w:rFonts w:ascii="Palatino Linotype" w:hAnsi="Palatino Linotype" w:cs="Arial"/>
                <w:i w:val="0"/>
                <w:sz w:val="14"/>
                <w:szCs w:val="14"/>
              </w:rPr>
              <w:t xml:space="preserve"> 14,00pH Resolución 0,01 pH</w:t>
            </w:r>
            <w:r w:rsidRPr="00D019AB">
              <w:rPr>
                <w:rFonts w:ascii="Palatino Linotype" w:hAnsi="Palatino Linotype" w:cs="Arial"/>
                <w:i w:val="0"/>
                <w:sz w:val="14"/>
                <w:szCs w:val="14"/>
              </w:rPr>
              <w:br/>
              <w:t xml:space="preserve">• Salinidad,: Rango Salinidad </w:t>
            </w:r>
            <w:smartTag w:uri="urn:schemas-microsoft-com:office:smarttags" w:element="metricconverter">
              <w:smartTagPr>
                <w:attr w:name="ProductID" w:val="0,00 a"/>
              </w:smartTagPr>
              <w:r w:rsidRPr="00D019AB">
                <w:rPr>
                  <w:rFonts w:ascii="Palatino Linotype" w:hAnsi="Palatino Linotype" w:cs="Arial"/>
                  <w:i w:val="0"/>
                  <w:sz w:val="14"/>
                  <w:szCs w:val="14"/>
                </w:rPr>
                <w:t>0,00 a</w:t>
              </w:r>
            </w:smartTag>
            <w:r w:rsidRPr="00D019AB">
              <w:rPr>
                <w:rFonts w:ascii="Palatino Linotype" w:hAnsi="Palatino Linotype" w:cs="Arial"/>
                <w:i w:val="0"/>
                <w:sz w:val="14"/>
                <w:szCs w:val="14"/>
              </w:rPr>
              <w:t xml:space="preserve"> 70,00 PSU Resolución 0,01 PSU; Temperatura: Rango </w:t>
            </w:r>
            <w:smartTag w:uri="urn:schemas-microsoft-com:office:smarttags" w:element="metricconverter">
              <w:smartTagPr>
                <w:attr w:name="ProductID" w:val="-5,00 a"/>
              </w:smartTagPr>
              <w:r w:rsidRPr="00D019AB">
                <w:rPr>
                  <w:rFonts w:ascii="Palatino Linotype" w:hAnsi="Palatino Linotype" w:cs="Arial"/>
                  <w:i w:val="0"/>
                  <w:sz w:val="14"/>
                  <w:szCs w:val="14"/>
                </w:rPr>
                <w:t>-5,00 a</w:t>
              </w:r>
            </w:smartTag>
            <w:r w:rsidRPr="00D019AB">
              <w:rPr>
                <w:rFonts w:ascii="Palatino Linotype" w:hAnsi="Palatino Linotype" w:cs="Arial"/>
                <w:i w:val="0"/>
                <w:sz w:val="14"/>
                <w:szCs w:val="14"/>
              </w:rPr>
              <w:t xml:space="preserve"> </w:t>
            </w:r>
            <w:smartTag w:uri="urn:schemas-microsoft-com:office:smarttags" w:element="metricconverter">
              <w:smartTagPr>
                <w:attr w:name="ProductID" w:val="55,00ºC"/>
              </w:smartTagPr>
              <w:r w:rsidRPr="00D019AB">
                <w:rPr>
                  <w:rFonts w:ascii="Palatino Linotype" w:hAnsi="Palatino Linotype" w:cs="Arial"/>
                  <w:i w:val="0"/>
                  <w:sz w:val="14"/>
                  <w:szCs w:val="14"/>
                </w:rPr>
                <w:t>55,00ºC</w:t>
              </w:r>
            </w:smartTag>
            <w:r w:rsidRPr="00D019AB">
              <w:rPr>
                <w:rFonts w:ascii="Palatino Linotype" w:hAnsi="Palatino Linotype" w:cs="Arial"/>
                <w:i w:val="0"/>
                <w:sz w:val="14"/>
                <w:szCs w:val="14"/>
              </w:rPr>
              <w:t xml:space="preserve">; • Resolución </w:t>
            </w:r>
            <w:smartTag w:uri="urn:schemas-microsoft-com:office:smarttags" w:element="metricconverter">
              <w:smartTagPr>
                <w:attr w:name="ProductID" w:val="0,01ºC"/>
              </w:smartTagPr>
              <w:r w:rsidRPr="00D019AB">
                <w:rPr>
                  <w:rFonts w:ascii="Palatino Linotype" w:hAnsi="Palatino Linotype" w:cs="Arial"/>
                  <w:i w:val="0"/>
                  <w:sz w:val="14"/>
                  <w:szCs w:val="14"/>
                </w:rPr>
                <w:t>0,01ºC</w:t>
              </w:r>
            </w:smartTag>
            <w:r w:rsidRPr="00D019AB">
              <w:rPr>
                <w:rFonts w:ascii="Palatino Linotype" w:hAnsi="Palatino Linotype" w:cs="Arial"/>
                <w:i w:val="0"/>
                <w:sz w:val="14"/>
                <w:szCs w:val="14"/>
              </w:rPr>
              <w:t xml:space="preserve">; • Conductividad, Rango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200 mS/cm (CE absoluto hasta 400mS/cm) Resolución, Manual: 1 µS/cm; 0,001mS/cm; 1 mS/cm. Automática: 1µS/cm de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9999 µS/cm (0,001mS/cm de </w:t>
            </w:r>
            <w:smartTag w:uri="urn:schemas-microsoft-com:office:smarttags" w:element="metricconverter">
              <w:smartTagPr>
                <w:attr w:name="ProductID" w:val="0,000 a"/>
              </w:smartTagPr>
              <w:r w:rsidRPr="00D019AB">
                <w:rPr>
                  <w:rFonts w:ascii="Palatino Linotype" w:hAnsi="Palatino Linotype" w:cs="Arial"/>
                  <w:i w:val="0"/>
                  <w:sz w:val="14"/>
                  <w:szCs w:val="14"/>
                </w:rPr>
                <w:t>0,000 a</w:t>
              </w:r>
            </w:smartTag>
            <w:r w:rsidRPr="00D019AB">
              <w:rPr>
                <w:rFonts w:ascii="Palatino Linotype" w:hAnsi="Palatino Linotype" w:cs="Arial"/>
                <w:i w:val="0"/>
                <w:sz w:val="14"/>
                <w:szCs w:val="14"/>
              </w:rPr>
              <w:t xml:space="preserve"> 9,999 mS/cm); 0,01 mS/cm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99,99 mS/cm; 0,1 mS/cm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400,0 mS/cm; • ORP, Rango ± 2000,0 mV, Precisión 0,1 mV; • Amoniaco (amonio): Rango </w:t>
            </w:r>
            <w:smartTag w:uri="urn:schemas-microsoft-com:office:smarttags" w:element="metricconverter">
              <w:smartTagPr>
                <w:attr w:name="ProductID" w:val="0,02 a"/>
              </w:smartTagPr>
              <w:r w:rsidRPr="00D019AB">
                <w:rPr>
                  <w:rFonts w:ascii="Palatino Linotype" w:hAnsi="Palatino Linotype" w:cs="Arial"/>
                  <w:i w:val="0"/>
                  <w:sz w:val="14"/>
                  <w:szCs w:val="14"/>
                </w:rPr>
                <w:t>0,02 a</w:t>
              </w:r>
            </w:smartTag>
            <w:r w:rsidRPr="00D019AB">
              <w:rPr>
                <w:rFonts w:ascii="Palatino Linotype" w:hAnsi="Palatino Linotype" w:cs="Arial"/>
                <w:i w:val="0"/>
                <w:sz w:val="14"/>
                <w:szCs w:val="14"/>
              </w:rPr>
              <w:t xml:space="preserve"> 200 ppm (como N) Resolución 0,01 ppm a 1 ppm; 0,1 ppm a 200 ppm</w:t>
            </w:r>
            <w:r w:rsidRPr="00D019AB">
              <w:rPr>
                <w:rFonts w:ascii="Palatino Linotype" w:hAnsi="Palatino Linotype" w:cs="Arial"/>
                <w:i w:val="0"/>
                <w:sz w:val="14"/>
                <w:szCs w:val="14"/>
              </w:rPr>
              <w:br/>
              <w:t xml:space="preserve">• Conductancia específica (conductividad): Rango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200 mS/cm (CE absoluto hasta 400mS/cm) Resolución, Manual: 1 µS/cm; 0,001mS/cm; 1 mS/cm. Automática: 1µS/cm de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9999 µS/cm (0,001mS/cm de </w:t>
            </w:r>
            <w:smartTag w:uri="urn:schemas-microsoft-com:office:smarttags" w:element="metricconverter">
              <w:smartTagPr>
                <w:attr w:name="ProductID" w:val="0,000 a"/>
              </w:smartTagPr>
              <w:r w:rsidRPr="00D019AB">
                <w:rPr>
                  <w:rFonts w:ascii="Palatino Linotype" w:hAnsi="Palatino Linotype" w:cs="Arial"/>
                  <w:i w:val="0"/>
                  <w:sz w:val="14"/>
                  <w:szCs w:val="14"/>
                </w:rPr>
                <w:t>0,000 a</w:t>
              </w:r>
            </w:smartTag>
            <w:r w:rsidRPr="00D019AB">
              <w:rPr>
                <w:rFonts w:ascii="Palatino Linotype" w:hAnsi="Palatino Linotype" w:cs="Arial"/>
                <w:i w:val="0"/>
                <w:sz w:val="14"/>
                <w:szCs w:val="14"/>
              </w:rPr>
              <w:t xml:space="preserve"> 9,999 mS/cm); 0,01 mS/cm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99,99 mS/cm; 0,1 mS/cm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400,0 mS/cm</w:t>
            </w:r>
            <w:r w:rsidRPr="00D019AB">
              <w:rPr>
                <w:rFonts w:ascii="Palatino Linotype" w:hAnsi="Palatino Linotype" w:cs="Arial"/>
                <w:i w:val="0"/>
                <w:sz w:val="14"/>
                <w:szCs w:val="14"/>
              </w:rPr>
              <w:br/>
              <w:t xml:space="preserve">• Resistividad: Rango,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999999 *cm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1000,0 k *cm 0 a1,0000 M *cm Resolución, Dependiendo de la lectura de resistividad.; • Sólidos totales (TDS). Rango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400000 mg/l ó ppm (el valor máximo depende del factor TDS) Resolución: Manual: 1 mg/l (ppm); 0,001 g/l (ppt); 0,01 g/l (ppt); 0,1 g/l (ppt). Autom.: 0,01mg/l (ppm) de </w:t>
            </w:r>
            <w:smartTag w:uri="urn:schemas-microsoft-com:office:smarttags" w:element="metricconverter">
              <w:smartTagPr>
                <w:attr w:name="ProductID" w:val="0 a"/>
              </w:smartTagPr>
              <w:r w:rsidRPr="00D019AB">
                <w:rPr>
                  <w:rFonts w:ascii="Palatino Linotype" w:hAnsi="Palatino Linotype" w:cs="Arial"/>
                  <w:i w:val="0"/>
                  <w:sz w:val="14"/>
                  <w:szCs w:val="14"/>
                </w:rPr>
                <w:t>0 a</w:t>
              </w:r>
            </w:smartTag>
            <w:r w:rsidRPr="00D019AB">
              <w:rPr>
                <w:rFonts w:ascii="Palatino Linotype" w:hAnsi="Palatino Linotype" w:cs="Arial"/>
                <w:i w:val="0"/>
                <w:sz w:val="14"/>
                <w:szCs w:val="14"/>
              </w:rPr>
              <w:t xml:space="preserve"> 9999 mg/l (ppm) [0,001g/l (ppt) de </w:t>
            </w:r>
            <w:smartTag w:uri="urn:schemas-microsoft-com:office:smarttags" w:element="metricconverter">
              <w:smartTagPr>
                <w:attr w:name="ProductID" w:val="0,000 a"/>
              </w:smartTagPr>
              <w:r w:rsidRPr="00D019AB">
                <w:rPr>
                  <w:rFonts w:ascii="Palatino Linotype" w:hAnsi="Palatino Linotype" w:cs="Arial"/>
                  <w:i w:val="0"/>
                  <w:sz w:val="14"/>
                  <w:szCs w:val="14"/>
                </w:rPr>
                <w:t>0,000 a</w:t>
              </w:r>
            </w:smartTag>
            <w:r w:rsidRPr="00D019AB">
              <w:rPr>
                <w:rFonts w:ascii="Palatino Linotype" w:hAnsi="Palatino Linotype" w:cs="Arial"/>
                <w:i w:val="0"/>
                <w:sz w:val="14"/>
                <w:szCs w:val="14"/>
              </w:rPr>
              <w:t xml:space="preserve"> 9,999 g/l (ppt)]; 0,01 g/l (ppt)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99,99 g/l (ppt); 0,1 g/l (ppt) de </w:t>
            </w:r>
            <w:smartTag w:uri="urn:schemas-microsoft-com:office:smarttags" w:element="metricconverter">
              <w:smartTagPr>
                <w:attr w:name="ProductID" w:val="100,0 a"/>
              </w:smartTagPr>
              <w:r w:rsidRPr="00D019AB">
                <w:rPr>
                  <w:rFonts w:ascii="Palatino Linotype" w:hAnsi="Palatino Linotype" w:cs="Arial"/>
                  <w:i w:val="0"/>
                  <w:sz w:val="14"/>
                  <w:szCs w:val="14"/>
                </w:rPr>
                <w:t>100,0 a</w:t>
              </w:r>
            </w:smartTag>
            <w:r w:rsidRPr="00D019AB">
              <w:rPr>
                <w:rFonts w:ascii="Palatino Linotype" w:hAnsi="Palatino Linotype" w:cs="Arial"/>
                <w:i w:val="0"/>
                <w:sz w:val="14"/>
                <w:szCs w:val="14"/>
              </w:rPr>
              <w:t xml:space="preserve"> 400,0 g/l (ppt). Incluye maleta de transporte rígida, Incluye sensor de pH-ORP (#HI7609829-1), temperatura, oxígeno disuelto (#HI7609829-2), conductividad (#HI7609829-3), Incluye Botes (500ml) de solución buffer pH 4, pH 7  y pH 10</w:t>
            </w:r>
            <w:r w:rsidRPr="00D019AB">
              <w:rPr>
                <w:rFonts w:ascii="Palatino Linotype" w:hAnsi="Palatino Linotype" w:cs="Arial"/>
                <w:i w:val="0"/>
                <w:sz w:val="14"/>
                <w:szCs w:val="14"/>
              </w:rPr>
              <w:br/>
              <w:t xml:space="preserve">solución de almacenamiento del electrodo de pH (#HI70300L,),  Incluye dos soluciones estándar de conductividad,  Solución de enjuague,  Incluye 4 baterías tipo C recargables,  Incluye sensor de pH-ORP (#HI7609829-1) y sensor de amonio (#HI7609829-10)  rango </w:t>
            </w:r>
            <w:smartTag w:uri="urn:schemas-microsoft-com:office:smarttags" w:element="metricconverter">
              <w:smartTagPr>
                <w:attr w:name="ProductID" w:val="0.02 a"/>
              </w:smartTagPr>
              <w:r w:rsidRPr="00D019AB">
                <w:rPr>
                  <w:rFonts w:ascii="Palatino Linotype" w:hAnsi="Palatino Linotype" w:cs="Arial"/>
                  <w:i w:val="0"/>
                  <w:sz w:val="14"/>
                  <w:szCs w:val="14"/>
                </w:rPr>
                <w:t>0.02 a</w:t>
              </w:r>
            </w:smartTag>
            <w:r w:rsidRPr="00D019AB">
              <w:rPr>
                <w:rFonts w:ascii="Palatino Linotype" w:hAnsi="Palatino Linotype" w:cs="Arial"/>
                <w:i w:val="0"/>
                <w:sz w:val="14"/>
                <w:szCs w:val="14"/>
              </w:rPr>
              <w:t xml:space="preserve"> 200.0 ppm as NH4 +-N.  Garanta contra </w:t>
            </w:r>
            <w:r w:rsidRPr="00D019AB">
              <w:rPr>
                <w:rFonts w:ascii="Palatino Linotype" w:hAnsi="Palatino Linotype" w:cs="Arial"/>
                <w:i w:val="0"/>
                <w:sz w:val="14"/>
                <w:szCs w:val="14"/>
              </w:rPr>
              <w:lastRenderedPageBreak/>
              <w:t>desperfectos: 1 año.</w:t>
            </w:r>
            <w:r w:rsidRPr="00D019AB">
              <w:rPr>
                <w:rFonts w:ascii="Palatino Linotype" w:hAnsi="Palatino Linotype" w:cs="Arial"/>
                <w:i w:val="0"/>
                <w:sz w:val="14"/>
                <w:szCs w:val="14"/>
              </w:rPr>
              <w:br/>
              <w:t>Incluye:</w:t>
            </w:r>
            <w:r w:rsidRPr="00D019AB">
              <w:rPr>
                <w:rFonts w:ascii="Palatino Linotype" w:hAnsi="Palatino Linotype" w:cs="Arial"/>
                <w:i w:val="0"/>
                <w:sz w:val="14"/>
                <w:szCs w:val="14"/>
              </w:rPr>
              <w:br/>
              <w:t>• Cable de la sonda de 4mt, • Kit de mantenimiento, • Maletín de transporte,</w:t>
            </w:r>
            <w:r w:rsidRPr="00D019AB">
              <w:rPr>
                <w:rFonts w:ascii="Palatino Linotype" w:hAnsi="Palatino Linotype" w:cs="Arial"/>
                <w:i w:val="0"/>
                <w:sz w:val="14"/>
                <w:szCs w:val="14"/>
              </w:rPr>
              <w:br/>
              <w:t xml:space="preserve">• Cable de alimentación,• Cargador de carro, • Solución de calibración, </w:t>
            </w:r>
            <w:r w:rsidRPr="00D019AB">
              <w:rPr>
                <w:rFonts w:ascii="Palatino Linotype" w:hAnsi="Palatino Linotype" w:cs="Arial"/>
                <w:i w:val="0"/>
                <w:sz w:val="14"/>
                <w:szCs w:val="14"/>
              </w:rPr>
              <w:br/>
              <w:t>• Vaso de calibración, • Manual</w:t>
            </w:r>
            <w:r w:rsidRPr="00D019AB">
              <w:rPr>
                <w:rFonts w:ascii="Palatino Linotype" w:hAnsi="Palatino Linotype" w:cs="Arial"/>
                <w:i w:val="0"/>
                <w:sz w:val="14"/>
                <w:szCs w:val="14"/>
              </w:rPr>
              <w:br/>
              <w:t>• Software, • Protector de sonda, • Cable USB para conexión a PC,</w:t>
            </w:r>
            <w:r w:rsidRPr="00D019AB">
              <w:rPr>
                <w:rFonts w:ascii="Palatino Linotype" w:hAnsi="Palatino Linotype" w:cs="Arial"/>
                <w:i w:val="0"/>
                <w:sz w:val="14"/>
                <w:szCs w:val="14"/>
              </w:rPr>
              <w:br/>
              <w:t>• Baterías recargables tipo C</w:t>
            </w:r>
            <w:r w:rsidRPr="00D019AB">
              <w:rPr>
                <w:rFonts w:ascii="Palatino Linotype" w:hAnsi="Palatino Linotype" w:cs="Arial"/>
                <w:i w:val="0"/>
                <w:sz w:val="14"/>
                <w:szCs w:val="14"/>
              </w:rPr>
              <w:br/>
              <w:t>Modelo HI9829-00041</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lastRenderedPageBreak/>
              <w:t>Unidad</w:t>
            </w:r>
          </w:p>
        </w:tc>
        <w:tc>
          <w:tcPr>
            <w:tcW w:w="678"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1</w:t>
            </w:r>
          </w:p>
        </w:tc>
        <w:tc>
          <w:tcPr>
            <w:tcW w:w="1305" w:type="dxa"/>
            <w:tcBorders>
              <w:top w:val="single" w:sz="4" w:space="0" w:color="auto"/>
              <w:left w:val="nil"/>
              <w:bottom w:val="single" w:sz="4" w:space="0" w:color="auto"/>
              <w:right w:val="single" w:sz="4" w:space="0" w:color="auto"/>
            </w:tcBorders>
            <w:vAlign w:val="center"/>
          </w:tcPr>
          <w:p w:rsidR="00740159" w:rsidRPr="00D019AB" w:rsidRDefault="00740159" w:rsidP="006F31FD">
            <w:pPr>
              <w:rPr>
                <w:rFonts w:ascii="Palatino Linotype" w:hAnsi="Palatino Linotype" w:cs="Arial"/>
                <w:i w:val="0"/>
                <w:sz w:val="14"/>
                <w:szCs w:val="14"/>
              </w:rPr>
            </w:pPr>
            <w:r w:rsidRPr="00D019AB">
              <w:rPr>
                <w:rFonts w:ascii="Palatino Linotype" w:hAnsi="Palatino Linotype" w:cs="Arial"/>
                <w:i w:val="0"/>
                <w:sz w:val="14"/>
                <w:szCs w:val="14"/>
              </w:rPr>
              <w:t>HANNA</w:t>
            </w:r>
          </w:p>
        </w:tc>
        <w:tc>
          <w:tcPr>
            <w:tcW w:w="975"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4,209.00</w:t>
            </w:r>
          </w:p>
        </w:tc>
        <w:tc>
          <w:tcPr>
            <w:tcW w:w="1053"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i w:val="0"/>
                <w:sz w:val="14"/>
                <w:szCs w:val="14"/>
              </w:rPr>
            </w:pPr>
            <w:r w:rsidRPr="00D019AB">
              <w:rPr>
                <w:rFonts w:ascii="Palatino Linotype" w:hAnsi="Palatino Linotype" w:cs="Arial"/>
                <w:i w:val="0"/>
                <w:sz w:val="14"/>
                <w:szCs w:val="14"/>
              </w:rPr>
              <w:t>4,209.00</w:t>
            </w:r>
          </w:p>
        </w:tc>
      </w:tr>
      <w:tr w:rsidR="00740159" w:rsidRPr="00B35961" w:rsidTr="00B35961">
        <w:trPr>
          <w:trHeight w:val="284"/>
        </w:trPr>
        <w:tc>
          <w:tcPr>
            <w:tcW w:w="8447" w:type="dxa"/>
            <w:gridSpan w:val="6"/>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lastRenderedPageBreak/>
              <w:t>TOTAL LOTE No. 10</w:t>
            </w:r>
          </w:p>
        </w:tc>
        <w:tc>
          <w:tcPr>
            <w:tcW w:w="1053" w:type="dxa"/>
            <w:tcBorders>
              <w:top w:val="single" w:sz="4" w:space="0" w:color="auto"/>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4,778.00</w:t>
            </w:r>
          </w:p>
        </w:tc>
      </w:tr>
      <w:tr w:rsidR="00740159" w:rsidRPr="00B35961" w:rsidTr="00B35961">
        <w:trPr>
          <w:trHeight w:val="284"/>
        </w:trPr>
        <w:tc>
          <w:tcPr>
            <w:tcW w:w="8447" w:type="dxa"/>
            <w:gridSpan w:val="6"/>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 xml:space="preserve">MONTO TOTAL </w:t>
            </w:r>
          </w:p>
        </w:tc>
        <w:tc>
          <w:tcPr>
            <w:tcW w:w="1053" w:type="dxa"/>
            <w:tcBorders>
              <w:top w:val="nil"/>
              <w:left w:val="nil"/>
              <w:bottom w:val="single" w:sz="4" w:space="0" w:color="auto"/>
              <w:right w:val="single" w:sz="4" w:space="0" w:color="auto"/>
            </w:tcBorders>
            <w:vAlign w:val="center"/>
          </w:tcPr>
          <w:p w:rsidR="00740159" w:rsidRPr="00D019AB" w:rsidRDefault="00740159" w:rsidP="006F31FD">
            <w:pPr>
              <w:jc w:val="center"/>
              <w:rPr>
                <w:rFonts w:ascii="Palatino Linotype" w:hAnsi="Palatino Linotype" w:cs="Arial"/>
                <w:b/>
                <w:bCs/>
                <w:i w:val="0"/>
                <w:sz w:val="14"/>
                <w:szCs w:val="14"/>
              </w:rPr>
            </w:pPr>
            <w:r w:rsidRPr="00D019AB">
              <w:rPr>
                <w:rFonts w:ascii="Palatino Linotype" w:hAnsi="Palatino Linotype" w:cs="Arial"/>
                <w:b/>
                <w:bCs/>
                <w:i w:val="0"/>
                <w:sz w:val="14"/>
                <w:szCs w:val="14"/>
              </w:rPr>
              <w:t>8,028.00</w:t>
            </w:r>
          </w:p>
        </w:tc>
      </w:tr>
      <w:tr w:rsidR="00740159" w:rsidRPr="00B35961" w:rsidTr="00B35961">
        <w:trPr>
          <w:trHeight w:val="284"/>
        </w:trPr>
        <w:tc>
          <w:tcPr>
            <w:tcW w:w="9500" w:type="dxa"/>
            <w:gridSpan w:val="7"/>
            <w:tcBorders>
              <w:top w:val="single" w:sz="4" w:space="0" w:color="auto"/>
              <w:left w:val="single" w:sz="4" w:space="0" w:color="auto"/>
              <w:bottom w:val="single" w:sz="4" w:space="0" w:color="auto"/>
              <w:right w:val="single" w:sz="4" w:space="0" w:color="auto"/>
            </w:tcBorders>
            <w:vAlign w:val="center"/>
          </w:tcPr>
          <w:p w:rsidR="00740159" w:rsidRPr="00D019AB" w:rsidRDefault="00740159" w:rsidP="006F31FD">
            <w:pPr>
              <w:jc w:val="both"/>
              <w:rPr>
                <w:rFonts w:ascii="Palatino Linotype" w:hAnsi="Palatino Linotype" w:cs="Arial"/>
                <w:b/>
                <w:bCs/>
                <w:i w:val="0"/>
                <w:sz w:val="14"/>
                <w:szCs w:val="14"/>
              </w:rPr>
            </w:pPr>
            <w:r w:rsidRPr="00D019AB">
              <w:rPr>
                <w:rFonts w:ascii="Palatino Linotype" w:hAnsi="Palatino Linotype" w:cs="Arial"/>
                <w:b/>
                <w:bCs/>
                <w:i w:val="0"/>
                <w:sz w:val="14"/>
                <w:szCs w:val="14"/>
              </w:rPr>
              <w:t xml:space="preserve">Lugar de entrega: bodega de la Dirección General de Sanidad Vegetal (DGSV), ubicada en Cantón El Matazano, Soyapango, departamento de San Salvador   </w:t>
            </w:r>
          </w:p>
        </w:tc>
      </w:tr>
    </w:tbl>
    <w:p w:rsidR="00740159" w:rsidRPr="00B35961" w:rsidRDefault="00740159" w:rsidP="007852C6">
      <w:pPr>
        <w:spacing w:line="360" w:lineRule="auto"/>
        <w:ind w:right="-286"/>
        <w:jc w:val="both"/>
        <w:rPr>
          <w:rFonts w:ascii="Calibri" w:hAnsi="Calibri" w:cs="Tahoma"/>
          <w:i w:val="0"/>
          <w:sz w:val="16"/>
          <w:szCs w:val="16"/>
        </w:rPr>
      </w:pPr>
    </w:p>
    <w:p w:rsidR="00740159" w:rsidRPr="00D019AB" w:rsidRDefault="00740159" w:rsidP="007852C6">
      <w:pPr>
        <w:spacing w:line="360" w:lineRule="auto"/>
        <w:ind w:right="-286"/>
        <w:jc w:val="both"/>
        <w:rPr>
          <w:rFonts w:ascii="Calibri" w:hAnsi="Calibri" w:cs="Tahoma"/>
          <w:i w:val="0"/>
          <w:color w:val="FF0000"/>
          <w:sz w:val="22"/>
          <w:szCs w:val="22"/>
        </w:rPr>
      </w:pPr>
      <w:r w:rsidRPr="00D019AB">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D019AB">
        <w:rPr>
          <w:rFonts w:ascii="Calibri" w:hAnsi="Calibri" w:cs="Tahoma"/>
          <w:b/>
          <w:bCs/>
          <w:i w:val="0"/>
          <w:sz w:val="22"/>
          <w:szCs w:val="22"/>
        </w:rPr>
        <w:t>“</w:t>
      </w:r>
      <w:r w:rsidRPr="00D019AB">
        <w:rPr>
          <w:rFonts w:ascii="Calibri" w:hAnsi="Calibri" w:cs="Tahoma"/>
          <w:b/>
          <w:i w:val="0"/>
          <w:sz w:val="22"/>
          <w:szCs w:val="22"/>
        </w:rPr>
        <w:t>EL MAG</w:t>
      </w:r>
      <w:r w:rsidRPr="00D019AB">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D019AB">
        <w:rPr>
          <w:rFonts w:ascii="Calibri" w:hAnsi="Calibri" w:cs="Tahoma"/>
          <w:b/>
          <w:i w:val="0"/>
          <w:sz w:val="22"/>
          <w:szCs w:val="22"/>
        </w:rPr>
        <w:t>II.- PRECIO Y FORMA DE PAGO</w:t>
      </w:r>
      <w:r w:rsidRPr="00D019AB">
        <w:rPr>
          <w:rFonts w:ascii="Calibri" w:hAnsi="Calibri" w:cs="Tahoma"/>
          <w:i w:val="0"/>
          <w:sz w:val="22"/>
          <w:szCs w:val="22"/>
        </w:rPr>
        <w:t xml:space="preserve">. El precio total del presente contrato es por la cantidad de </w:t>
      </w:r>
      <w:r w:rsidRPr="00D019AB">
        <w:rPr>
          <w:rFonts w:ascii="Calibri" w:hAnsi="Calibri" w:cs="Tahoma"/>
          <w:b/>
          <w:i w:val="0"/>
          <w:sz w:val="22"/>
          <w:szCs w:val="22"/>
        </w:rPr>
        <w:t>OCHO MIL VEINTIOCHO DOLARES DE LOS ESTADOS UNIDOS DE AMERICA</w:t>
      </w:r>
      <w:r w:rsidRPr="00D019AB">
        <w:rPr>
          <w:rFonts w:ascii="Calibri" w:hAnsi="Calibri" w:cs="Tahoma"/>
          <w:i w:val="0"/>
          <w:sz w:val="22"/>
          <w:szCs w:val="22"/>
        </w:rPr>
        <w:t xml:space="preserve"> </w:t>
      </w:r>
      <w:r w:rsidRPr="00D019AB">
        <w:rPr>
          <w:rFonts w:ascii="Calibri" w:hAnsi="Calibri" w:cs="Tahoma"/>
          <w:b/>
          <w:i w:val="0"/>
          <w:sz w:val="22"/>
          <w:szCs w:val="22"/>
          <w:lang w:val="es-ES_tradnl"/>
        </w:rPr>
        <w:t>(US$8,028.00)</w:t>
      </w:r>
      <w:r w:rsidRPr="00D019AB">
        <w:rPr>
          <w:rFonts w:ascii="Calibri" w:hAnsi="Calibri" w:cs="Tahoma"/>
          <w:i w:val="0"/>
          <w:sz w:val="22"/>
          <w:szCs w:val="22"/>
          <w:lang w:val="es-ES_tradnl"/>
        </w:rPr>
        <w:t xml:space="preserve">, </w:t>
      </w:r>
      <w:r w:rsidRPr="00D019AB">
        <w:rPr>
          <w:rFonts w:ascii="Calibri" w:hAnsi="Calibri" w:cs="Tahoma"/>
          <w:i w:val="0"/>
          <w:sz w:val="22"/>
          <w:szCs w:val="22"/>
        </w:rPr>
        <w:t xml:space="preserve">el cual incluye el Impuesto a la Transferencia de Bienes Muebles y a la Prestación de Servicios (IVA). </w:t>
      </w:r>
      <w:r w:rsidRPr="00D019AB">
        <w:rPr>
          <w:rFonts w:ascii="Calibri" w:hAnsi="Calibri" w:cs="Tahoma"/>
          <w:i w:val="0"/>
          <w:sz w:val="22"/>
          <w:szCs w:val="22"/>
          <w:lang w:val="es-ES_tradnl"/>
        </w:rPr>
        <w:t xml:space="preserve">EL MAG podrá efectuar el pago dentro de un lapso de </w:t>
      </w:r>
      <w:r w:rsidRPr="00D019AB">
        <w:rPr>
          <w:rFonts w:ascii="Calibri" w:hAnsi="Calibri" w:cs="Tahoma"/>
          <w:b/>
          <w:i w:val="0"/>
          <w:sz w:val="22"/>
          <w:szCs w:val="22"/>
          <w:lang w:val="es-ES_tradnl"/>
        </w:rPr>
        <w:t>treinta días calendario</w:t>
      </w:r>
      <w:r w:rsidRPr="00D019AB">
        <w:rPr>
          <w:rFonts w:ascii="Calibri" w:hAnsi="Calibri" w:cs="Tahoma"/>
          <w:i w:val="0"/>
          <w:sz w:val="22"/>
          <w:szCs w:val="22"/>
          <w:lang w:val="es-ES_tradnl"/>
        </w:rPr>
        <w:t xml:space="preserve">, posteriores al </w:t>
      </w:r>
      <w:r w:rsidRPr="00D019AB">
        <w:rPr>
          <w:rFonts w:ascii="Calibri" w:hAnsi="Calibri" w:cs="Tahoma"/>
          <w:i w:val="0"/>
          <w:sz w:val="22"/>
          <w:szCs w:val="22"/>
        </w:rPr>
        <w:t>recibo a satisfacción de los bienes por parte de los administradores del Contrato y de la presentación de los Comprobantes de Crédito Fiscal</w:t>
      </w:r>
      <w:r w:rsidRPr="00D019AB">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D019AB">
        <w:rPr>
          <w:rFonts w:ascii="Calibri" w:hAnsi="Calibri" w:cs="Tahoma"/>
          <w:i w:val="0"/>
          <w:color w:val="0000FF"/>
          <w:sz w:val="22"/>
          <w:szCs w:val="22"/>
          <w:lang w:val="es-ES_tradnl"/>
        </w:rPr>
        <w:t xml:space="preserve"> </w:t>
      </w:r>
      <w:r w:rsidRPr="00D019AB">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356098" w:rsidRPr="00D019AB">
        <w:rPr>
          <w:rFonts w:ascii="Calibri" w:hAnsi="Calibri" w:cs="Tahoma"/>
          <w:i w:val="0"/>
          <w:sz w:val="22"/>
          <w:szCs w:val="22"/>
          <w:lang w:val="es-ES_tradnl"/>
        </w:rPr>
        <w:fldChar w:fldCharType="begin"/>
      </w:r>
      <w:r w:rsidRPr="00D019AB">
        <w:rPr>
          <w:rFonts w:ascii="Calibri" w:hAnsi="Calibri" w:cs="Tahoma"/>
          <w:i w:val="0"/>
          <w:sz w:val="22"/>
          <w:szCs w:val="22"/>
          <w:lang w:val="es-ES_tradnl"/>
        </w:rPr>
        <w:instrText xml:space="preserve"> MERGEFIELD "RESOLUCIONES_MH" </w:instrText>
      </w:r>
      <w:r w:rsidR="00356098" w:rsidRPr="00D019AB">
        <w:rPr>
          <w:rFonts w:ascii="Calibri" w:hAnsi="Calibri" w:cs="Tahoma"/>
          <w:i w:val="0"/>
          <w:sz w:val="22"/>
          <w:szCs w:val="22"/>
          <w:lang w:val="es-ES_tradnl"/>
        </w:rPr>
        <w:fldChar w:fldCharType="separate"/>
      </w:r>
      <w:r w:rsidRPr="00D019AB">
        <w:rPr>
          <w:rFonts w:ascii="Calibri" w:hAnsi="Calibri" w:cs="Tahoma"/>
          <w:i w:val="0"/>
          <w:sz w:val="22"/>
          <w:szCs w:val="22"/>
          <w:lang w:val="es-ES_tradnl"/>
        </w:rPr>
        <w:t>Doce mil trescientos uno- NEX- dos mil ciento sesenta y tres- dos mil siete</w:t>
      </w:r>
      <w:r w:rsidR="00356098" w:rsidRPr="00D019AB">
        <w:rPr>
          <w:rFonts w:ascii="Calibri" w:hAnsi="Calibri" w:cs="Tahoma"/>
          <w:i w:val="0"/>
          <w:sz w:val="22"/>
          <w:szCs w:val="22"/>
          <w:lang w:val="es-ES_tradnl"/>
        </w:rPr>
        <w:fldChar w:fldCharType="end"/>
      </w:r>
      <w:r w:rsidRPr="00D019AB">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UNO </w:t>
      </w:r>
      <w:r w:rsidR="004B3237" w:rsidRPr="004B3237">
        <w:rPr>
          <w:rFonts w:ascii="Calibri" w:hAnsi="Calibri" w:cs="Tahoma"/>
          <w:i w:val="0"/>
          <w:sz w:val="22"/>
          <w:szCs w:val="22"/>
          <w:highlight w:val="black"/>
          <w:lang w:val="es-ES_tradnl"/>
        </w:rPr>
        <w:t>********************************</w:t>
      </w:r>
      <w:r w:rsidRPr="00D019AB">
        <w:rPr>
          <w:rFonts w:ascii="Calibri" w:hAnsi="Calibri" w:cs="Tahoma"/>
          <w:i w:val="0"/>
          <w:sz w:val="22"/>
          <w:szCs w:val="22"/>
          <w:lang w:val="es-ES_tradnl"/>
        </w:rPr>
        <w:t xml:space="preserve"> del Banco </w:t>
      </w:r>
      <w:r w:rsidR="004B3237" w:rsidRPr="004B3237">
        <w:rPr>
          <w:rFonts w:ascii="Calibri" w:hAnsi="Calibri" w:cs="Tahoma"/>
          <w:i w:val="0"/>
          <w:sz w:val="22"/>
          <w:szCs w:val="22"/>
          <w:highlight w:val="black"/>
          <w:lang w:val="es-ES_tradnl"/>
        </w:rPr>
        <w:t>*******************</w:t>
      </w:r>
      <w:r w:rsidRPr="00D019AB">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D019AB">
        <w:rPr>
          <w:rFonts w:ascii="Calibri" w:hAnsi="Calibri" w:cs="Tahoma"/>
          <w:b/>
          <w:i w:val="0"/>
          <w:sz w:val="22"/>
          <w:szCs w:val="22"/>
        </w:rPr>
        <w:t>III.- VIGENCIA DEL CONTRATO</w:t>
      </w:r>
      <w:r w:rsidRPr="00D019AB">
        <w:rPr>
          <w:rFonts w:ascii="Calibri" w:hAnsi="Calibri" w:cs="Tahoma"/>
          <w:i w:val="0"/>
          <w:sz w:val="22"/>
          <w:szCs w:val="22"/>
        </w:rPr>
        <w:t xml:space="preserve">. La </w:t>
      </w:r>
      <w:r w:rsidRPr="00D019AB">
        <w:rPr>
          <w:rFonts w:ascii="Calibri" w:hAnsi="Calibri" w:cs="Tahoma"/>
          <w:i w:val="0"/>
          <w:sz w:val="22"/>
          <w:szCs w:val="22"/>
        </w:rPr>
        <w:lastRenderedPageBreak/>
        <w:t xml:space="preserve">vigencia del presente contrato será a partir de la fecha de su suscripción hasta el treinta y uno de diciembre de dos mil dieciséis. Se podrá prorrogar el plazo del contrato de conformidad con la LACAP y su Reglamento. </w:t>
      </w:r>
      <w:r w:rsidRPr="00D019AB">
        <w:rPr>
          <w:rFonts w:ascii="Calibri" w:hAnsi="Calibri" w:cs="Tahoma"/>
          <w:b/>
          <w:i w:val="0"/>
          <w:sz w:val="22"/>
          <w:szCs w:val="22"/>
        </w:rPr>
        <w:t>IV.- FORMA Y PLAZO DE ENTREGA Y RECEPCIÓN</w:t>
      </w:r>
      <w:r w:rsidRPr="00D019AB">
        <w:rPr>
          <w:rFonts w:ascii="Calibri" w:hAnsi="Calibri" w:cs="Tahoma"/>
          <w:b/>
          <w:bCs/>
          <w:i w:val="0"/>
          <w:sz w:val="22"/>
          <w:szCs w:val="22"/>
        </w:rPr>
        <w:t>.</w:t>
      </w:r>
      <w:r w:rsidRPr="00D019AB">
        <w:rPr>
          <w:rFonts w:ascii="Calibri" w:hAnsi="Calibri" w:cs="Tahoma"/>
          <w:i w:val="0"/>
          <w:sz w:val="22"/>
          <w:szCs w:val="22"/>
        </w:rPr>
        <w:t xml:space="preserve"> </w:t>
      </w:r>
      <w:r w:rsidRPr="00D019AB">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356098" w:rsidRPr="00D019AB">
        <w:rPr>
          <w:rFonts w:ascii="Calibri" w:hAnsi="Calibri" w:cs="Tahoma"/>
          <w:bCs/>
          <w:i w:val="0"/>
          <w:sz w:val="22"/>
          <w:szCs w:val="22"/>
          <w:lang w:val="es-ES_tradnl"/>
        </w:rPr>
        <w:fldChar w:fldCharType="begin"/>
      </w:r>
      <w:r w:rsidRPr="00D019AB">
        <w:rPr>
          <w:rFonts w:ascii="Calibri" w:hAnsi="Calibri" w:cs="Tahoma"/>
          <w:bCs/>
          <w:i w:val="0"/>
          <w:sz w:val="22"/>
          <w:szCs w:val="22"/>
          <w:lang w:val="es-ES_tradnl"/>
        </w:rPr>
        <w:instrText xml:space="preserve"> MERGEFIELD "Forma_como_se_denominara_el_Proveedor" </w:instrText>
      </w:r>
      <w:r w:rsidR="00356098" w:rsidRPr="00D019AB">
        <w:rPr>
          <w:rFonts w:ascii="Calibri" w:hAnsi="Calibri" w:cs="Tahoma"/>
          <w:bCs/>
          <w:i w:val="0"/>
          <w:sz w:val="22"/>
          <w:szCs w:val="22"/>
          <w:lang w:val="es-ES_tradnl"/>
        </w:rPr>
        <w:fldChar w:fldCharType="separate"/>
      </w:r>
      <w:r w:rsidRPr="00D019AB">
        <w:rPr>
          <w:rFonts w:ascii="Calibri" w:hAnsi="Calibri" w:cs="Tahoma"/>
          <w:bCs/>
          <w:i w:val="0"/>
          <w:noProof/>
          <w:sz w:val="22"/>
          <w:szCs w:val="22"/>
          <w:lang w:val="es-ES_tradnl"/>
        </w:rPr>
        <w:t>LA CONTRATISTA</w:t>
      </w:r>
      <w:r w:rsidR="00356098" w:rsidRPr="00D019AB">
        <w:rPr>
          <w:rFonts w:ascii="Calibri" w:hAnsi="Calibri" w:cs="Tahoma"/>
          <w:bCs/>
          <w:i w:val="0"/>
          <w:sz w:val="22"/>
          <w:szCs w:val="22"/>
          <w:lang w:val="es-ES_tradnl"/>
        </w:rPr>
        <w:fldChar w:fldCharType="end"/>
      </w:r>
      <w:r w:rsidRPr="00D019AB">
        <w:rPr>
          <w:rFonts w:ascii="Calibri" w:hAnsi="Calibri" w:cs="Tahoma"/>
          <w:i w:val="0"/>
          <w:sz w:val="22"/>
          <w:szCs w:val="22"/>
          <w:lang w:val="es-ES_tradnl"/>
        </w:rPr>
        <w:t xml:space="preserve"> a </w:t>
      </w:r>
      <w:r w:rsidRPr="00D019AB">
        <w:rPr>
          <w:rFonts w:ascii="Calibri" w:hAnsi="Calibri" w:cs="Tahoma"/>
          <w:bCs/>
          <w:i w:val="0"/>
          <w:sz w:val="22"/>
          <w:szCs w:val="22"/>
          <w:lang w:val="es-ES_tradnl"/>
        </w:rPr>
        <w:t>EL MAG</w:t>
      </w:r>
      <w:r w:rsidRPr="00D019AB">
        <w:rPr>
          <w:rFonts w:ascii="Calibri" w:hAnsi="Calibri" w:cs="Tahoma"/>
          <w:b/>
          <w:bCs/>
          <w:i w:val="0"/>
          <w:sz w:val="22"/>
          <w:szCs w:val="22"/>
          <w:lang w:val="es-ES_tradnl"/>
        </w:rPr>
        <w:t xml:space="preserve"> </w:t>
      </w:r>
      <w:r w:rsidRPr="00D019AB">
        <w:rPr>
          <w:rFonts w:ascii="Calibri" w:hAnsi="Calibri" w:cs="Tahoma"/>
          <w:i w:val="0"/>
          <w:sz w:val="22"/>
          <w:szCs w:val="22"/>
          <w:lang w:val="es-ES_tradnl"/>
        </w:rPr>
        <w:t xml:space="preserve">en el plazo de VEINTICINCO DIAS hábiles contados a partir de la fecha establecida en la Orden de pedido, emitida por parte </w:t>
      </w:r>
      <w:r w:rsidR="00356098" w:rsidRPr="00D019AB">
        <w:rPr>
          <w:rFonts w:ascii="Calibri" w:hAnsi="Calibri" w:cs="Tahoma"/>
          <w:i w:val="0"/>
          <w:sz w:val="22"/>
          <w:szCs w:val="22"/>
          <w:lang w:val="es-ES_tradnl"/>
        </w:rPr>
        <w:fldChar w:fldCharType="begin"/>
      </w:r>
      <w:r w:rsidRPr="00D019AB">
        <w:rPr>
          <w:rFonts w:ascii="Calibri" w:hAnsi="Calibri" w:cs="Tahoma"/>
          <w:i w:val="0"/>
          <w:sz w:val="22"/>
          <w:szCs w:val="22"/>
          <w:lang w:val="es-ES_tradnl"/>
        </w:rPr>
        <w:instrText xml:space="preserve"> MERGEFIELD "Administrador_o_Administradores" </w:instrText>
      </w:r>
      <w:r w:rsidR="00356098" w:rsidRPr="00D019AB">
        <w:rPr>
          <w:rFonts w:ascii="Calibri" w:hAnsi="Calibri" w:cs="Tahoma"/>
          <w:i w:val="0"/>
          <w:sz w:val="22"/>
          <w:szCs w:val="22"/>
          <w:lang w:val="es-ES_tradnl"/>
        </w:rPr>
        <w:fldChar w:fldCharType="separate"/>
      </w:r>
      <w:r w:rsidRPr="00D019AB">
        <w:rPr>
          <w:rFonts w:ascii="Calibri" w:hAnsi="Calibri" w:cs="Tahoma"/>
          <w:i w:val="0"/>
          <w:sz w:val="22"/>
          <w:szCs w:val="22"/>
          <w:lang w:val="es-ES_tradnl"/>
        </w:rPr>
        <w:t>de los administradores</w:t>
      </w:r>
      <w:r w:rsidR="00356098" w:rsidRPr="00D019AB">
        <w:rPr>
          <w:rFonts w:ascii="Calibri" w:hAnsi="Calibri" w:cs="Tahoma"/>
          <w:i w:val="0"/>
          <w:sz w:val="22"/>
          <w:szCs w:val="22"/>
          <w:lang w:val="es-ES_tradnl"/>
        </w:rPr>
        <w:fldChar w:fldCharType="end"/>
      </w:r>
      <w:r w:rsidRPr="00D019AB">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356098" w:rsidRPr="00D019AB">
        <w:rPr>
          <w:rFonts w:ascii="Calibri" w:hAnsi="Calibri" w:cs="Tahoma"/>
          <w:i w:val="0"/>
          <w:sz w:val="22"/>
          <w:szCs w:val="22"/>
          <w:lang w:val="es-ES_tradnl"/>
        </w:rPr>
        <w:fldChar w:fldCharType="begin"/>
      </w:r>
      <w:r w:rsidRPr="00D019AB">
        <w:rPr>
          <w:rFonts w:ascii="Calibri" w:hAnsi="Calibri" w:cs="Tahoma"/>
          <w:i w:val="0"/>
          <w:sz w:val="22"/>
          <w:szCs w:val="22"/>
          <w:lang w:val="es-ES_tradnl"/>
        </w:rPr>
        <w:instrText xml:space="preserve"> MERGEFIELD "Forma_como_se_denominara_el_Proveedor" </w:instrText>
      </w:r>
      <w:r w:rsidR="00356098" w:rsidRPr="00D019AB">
        <w:rPr>
          <w:rFonts w:ascii="Calibri" w:hAnsi="Calibri" w:cs="Tahoma"/>
          <w:i w:val="0"/>
          <w:sz w:val="22"/>
          <w:szCs w:val="22"/>
          <w:lang w:val="es-ES_tradnl"/>
        </w:rPr>
        <w:fldChar w:fldCharType="separate"/>
      </w:r>
      <w:r w:rsidRPr="00D019AB">
        <w:rPr>
          <w:rFonts w:ascii="Calibri" w:hAnsi="Calibri" w:cs="Tahoma"/>
          <w:i w:val="0"/>
          <w:noProof/>
          <w:sz w:val="22"/>
          <w:szCs w:val="22"/>
          <w:lang w:val="es-ES_tradnl"/>
        </w:rPr>
        <w:t>LA CONTRATISTA</w:t>
      </w:r>
      <w:r w:rsidR="00356098" w:rsidRPr="00D019AB">
        <w:rPr>
          <w:rFonts w:ascii="Calibri" w:hAnsi="Calibri" w:cs="Tahoma"/>
          <w:i w:val="0"/>
          <w:sz w:val="22"/>
          <w:szCs w:val="22"/>
          <w:lang w:val="es-ES_tradnl"/>
        </w:rPr>
        <w:fldChar w:fldCharType="end"/>
      </w:r>
      <w:r w:rsidRPr="00D019AB">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D019AB">
        <w:rPr>
          <w:rFonts w:ascii="Calibri" w:hAnsi="Calibri" w:cs="Tahoma"/>
          <w:i w:val="0"/>
          <w:sz w:val="22"/>
          <w:szCs w:val="22"/>
          <w:lang w:val="es-MX"/>
        </w:rPr>
        <w:t xml:space="preserve">objeto del presente contrato serán </w:t>
      </w:r>
      <w:r w:rsidRPr="00D019AB">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D019AB">
        <w:rPr>
          <w:rFonts w:ascii="Calibri" w:hAnsi="Calibri" w:cs="Calibri"/>
          <w:i w:val="0"/>
          <w:sz w:val="22"/>
          <w:szCs w:val="22"/>
          <w:lang w:val="es-ES_tradnl"/>
        </w:rPr>
        <w:t>. Para los casos en que proceda la contratista deberá incluir el certificado de calidad y hoja de seguridad de cada producto (MSDS).</w:t>
      </w:r>
      <w:r w:rsidRPr="00D019AB">
        <w:rPr>
          <w:rFonts w:ascii="Calibri" w:hAnsi="Calibri" w:cs="Tahoma"/>
          <w:i w:val="0"/>
          <w:sz w:val="22"/>
          <w:szCs w:val="22"/>
        </w:rPr>
        <w:t xml:space="preserve"> </w:t>
      </w:r>
      <w:r w:rsidRPr="00D019AB">
        <w:rPr>
          <w:rFonts w:ascii="Calibri" w:hAnsi="Calibri" w:cs="Tahoma"/>
          <w:b/>
          <w:i w:val="0"/>
          <w:sz w:val="22"/>
          <w:szCs w:val="22"/>
        </w:rPr>
        <w:t xml:space="preserve">V.- OBLIGACIONES DE EL MAG. </w:t>
      </w:r>
      <w:r w:rsidRPr="00D019AB">
        <w:rPr>
          <w:rFonts w:ascii="Calibri" w:hAnsi="Calibri" w:cs="Tahoma"/>
          <w:i w:val="0"/>
          <w:sz w:val="22"/>
          <w:szCs w:val="22"/>
        </w:rPr>
        <w:t>EL MAG</w:t>
      </w:r>
      <w:r w:rsidRPr="00D019AB">
        <w:rPr>
          <w:rFonts w:ascii="Calibri" w:hAnsi="Calibri" w:cs="Tahoma"/>
          <w:b/>
          <w:i w:val="0"/>
          <w:sz w:val="22"/>
          <w:szCs w:val="22"/>
        </w:rPr>
        <w:t xml:space="preserve"> </w:t>
      </w:r>
      <w:r w:rsidRPr="00D019AB">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D019AB">
        <w:rPr>
          <w:rFonts w:ascii="Calibri" w:hAnsi="Calibri" w:cs="Tahoma"/>
          <w:b/>
          <w:i w:val="0"/>
          <w:sz w:val="22"/>
          <w:szCs w:val="22"/>
        </w:rPr>
        <w:t>VI.-ADMINISTRACIÓN DEL CONTRATO</w:t>
      </w:r>
      <w:r w:rsidRPr="00D019AB">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D019AB">
        <w:rPr>
          <w:rFonts w:ascii="Calibri" w:hAnsi="Calibri"/>
          <w:i w:val="0"/>
          <w:sz w:val="22"/>
          <w:szCs w:val="22"/>
        </w:rPr>
        <w:t xml:space="preserve">a) Ser los representantes de EL MAG en el desarrollo y ejecución del contrato así como emitir la Orden de Pedido de </w:t>
      </w:r>
      <w:r w:rsidRPr="00D019AB">
        <w:rPr>
          <w:rFonts w:ascii="Calibri" w:hAnsi="Calibri"/>
          <w:i w:val="0"/>
          <w:sz w:val="22"/>
          <w:szCs w:val="22"/>
        </w:rPr>
        <w:lastRenderedPageBreak/>
        <w:t>conformidad a los plazos normados en el contrato; b) Dar seguimiento a la ejecución de este contrato, y efectuar directamente los reclamos por escrito a “</w:t>
      </w:r>
      <w:r w:rsidR="00356098" w:rsidRPr="00D019AB">
        <w:rPr>
          <w:rFonts w:ascii="Calibri" w:hAnsi="Calibri"/>
          <w:b/>
          <w:bCs/>
          <w:i w:val="0"/>
          <w:sz w:val="22"/>
          <w:szCs w:val="22"/>
        </w:rPr>
        <w:fldChar w:fldCharType="begin"/>
      </w:r>
      <w:r w:rsidRPr="00D019AB">
        <w:rPr>
          <w:rFonts w:ascii="Calibri" w:hAnsi="Calibri"/>
          <w:b/>
          <w:bCs/>
          <w:i w:val="0"/>
          <w:sz w:val="22"/>
          <w:szCs w:val="22"/>
        </w:rPr>
        <w:instrText xml:space="preserve"> MERGEFIELD "Forma_como_se_denominara_el_Proveedor" </w:instrText>
      </w:r>
      <w:r w:rsidR="00356098" w:rsidRPr="00D019AB">
        <w:rPr>
          <w:rFonts w:ascii="Calibri" w:hAnsi="Calibri"/>
          <w:b/>
          <w:bCs/>
          <w:i w:val="0"/>
          <w:sz w:val="22"/>
          <w:szCs w:val="22"/>
        </w:rPr>
        <w:fldChar w:fldCharType="separate"/>
      </w:r>
      <w:r w:rsidRPr="00D019AB">
        <w:rPr>
          <w:rFonts w:ascii="Calibri" w:hAnsi="Calibri"/>
          <w:b/>
          <w:bCs/>
          <w:i w:val="0"/>
          <w:noProof/>
          <w:sz w:val="22"/>
          <w:szCs w:val="22"/>
        </w:rPr>
        <w:t>LA CONTRATISTA</w:t>
      </w:r>
      <w:r w:rsidR="00356098" w:rsidRPr="00D019AB">
        <w:rPr>
          <w:rFonts w:ascii="Calibri" w:hAnsi="Calibri"/>
          <w:b/>
          <w:bCs/>
          <w:i w:val="0"/>
          <w:sz w:val="22"/>
          <w:szCs w:val="22"/>
        </w:rPr>
        <w:fldChar w:fldCharType="end"/>
      </w:r>
      <w:r w:rsidRPr="00D019AB">
        <w:rPr>
          <w:rFonts w:ascii="Calibri" w:hAnsi="Calibri"/>
          <w:b/>
          <w:bCs/>
          <w:i w:val="0"/>
          <w:sz w:val="22"/>
          <w:szCs w:val="22"/>
        </w:rPr>
        <w:t xml:space="preserve">” </w:t>
      </w:r>
      <w:r w:rsidRPr="00D019AB">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D019AB">
        <w:rPr>
          <w:rFonts w:ascii="Calibri" w:hAnsi="Calibri"/>
          <w:i w:val="0"/>
          <w:sz w:val="22"/>
          <w:szCs w:val="22"/>
          <w:lang w:val="es-ES_tradnl"/>
        </w:rPr>
        <w:t xml:space="preserve">) </w:t>
      </w:r>
      <w:r w:rsidRPr="00D019AB">
        <w:rPr>
          <w:rFonts w:ascii="Calibri" w:hAnsi="Calibri"/>
          <w:i w:val="0"/>
          <w:sz w:val="22"/>
          <w:szCs w:val="22"/>
        </w:rPr>
        <w:t>La elaboración de las Actas de Recepción respectivas, conforme a lo establecido en el Art. 77 RELACAP</w:t>
      </w:r>
      <w:r w:rsidRPr="00D019AB">
        <w:rPr>
          <w:rFonts w:ascii="Calibri" w:hAnsi="Calibri"/>
          <w:i w:val="0"/>
          <w:sz w:val="22"/>
          <w:szCs w:val="22"/>
          <w:lang w:val="es-ES_tradnl"/>
        </w:rPr>
        <w:t>;</w:t>
      </w:r>
      <w:r w:rsidRPr="00D019AB">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019AB">
        <w:rPr>
          <w:rFonts w:ascii="Calibri" w:hAnsi="Calibri"/>
          <w:sz w:val="22"/>
          <w:szCs w:val="22"/>
        </w:rPr>
        <w:t xml:space="preserve"> </w:t>
      </w:r>
      <w:r w:rsidRPr="00D019AB">
        <w:rPr>
          <w:rFonts w:ascii="Calibri" w:hAnsi="Calibri" w:cs="Tahoma"/>
          <w:b/>
          <w:i w:val="0"/>
          <w:sz w:val="22"/>
          <w:szCs w:val="22"/>
        </w:rPr>
        <w:t>VII.- CESIÓN</w:t>
      </w:r>
      <w:r w:rsidRPr="00D019AB">
        <w:rPr>
          <w:rFonts w:ascii="Calibri" w:hAnsi="Calibri" w:cs="Tahoma"/>
          <w:i w:val="0"/>
          <w:sz w:val="22"/>
          <w:szCs w:val="22"/>
        </w:rPr>
        <w:t xml:space="preserve">. Queda expresamente prohibido a </w:t>
      </w:r>
      <w:r w:rsidRPr="00D019AB">
        <w:rPr>
          <w:rFonts w:ascii="Calibri" w:hAnsi="Calibri" w:cs="Tahoma"/>
          <w:b/>
          <w:i w:val="0"/>
          <w:sz w:val="22"/>
          <w:szCs w:val="22"/>
        </w:rPr>
        <w:t>“LA CONTRATISTA”</w:t>
      </w:r>
      <w:r w:rsidRPr="00D019AB">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D019AB">
        <w:rPr>
          <w:rFonts w:ascii="Calibri" w:hAnsi="Calibri" w:cs="Tahoma"/>
          <w:b/>
          <w:i w:val="0"/>
          <w:sz w:val="22"/>
          <w:szCs w:val="22"/>
        </w:rPr>
        <w:t>VIII.- GARANTÍA</w:t>
      </w:r>
      <w:r w:rsidRPr="00D019AB">
        <w:rPr>
          <w:rFonts w:ascii="Calibri" w:hAnsi="Calibri" w:cs="Tahoma"/>
          <w:i w:val="0"/>
          <w:sz w:val="22"/>
          <w:szCs w:val="22"/>
        </w:rPr>
        <w:t xml:space="preserve">. Para garantizar el cumplimiento de las obligaciones emanadas del presente contrato </w:t>
      </w:r>
      <w:r w:rsidRPr="00D019AB">
        <w:rPr>
          <w:rFonts w:ascii="Calibri" w:hAnsi="Calibri" w:cs="Tahoma"/>
          <w:b/>
          <w:bCs/>
          <w:i w:val="0"/>
          <w:sz w:val="22"/>
          <w:szCs w:val="22"/>
        </w:rPr>
        <w:t>“</w:t>
      </w:r>
      <w:r w:rsidRPr="00D019AB">
        <w:rPr>
          <w:rFonts w:ascii="Calibri" w:hAnsi="Calibri" w:cs="Tahoma"/>
          <w:b/>
          <w:i w:val="0"/>
          <w:sz w:val="22"/>
          <w:szCs w:val="22"/>
        </w:rPr>
        <w:t>LA CONTRATISTA</w:t>
      </w:r>
      <w:r w:rsidRPr="00D019AB">
        <w:rPr>
          <w:rFonts w:ascii="Calibri" w:hAnsi="Calibri" w:cs="Tahoma"/>
          <w:b/>
          <w:bCs/>
          <w:i w:val="0"/>
          <w:sz w:val="22"/>
          <w:szCs w:val="22"/>
        </w:rPr>
        <w:t>”</w:t>
      </w:r>
      <w:r w:rsidRPr="00D019AB">
        <w:rPr>
          <w:rFonts w:ascii="Calibri" w:hAnsi="Calibri" w:cs="Tahoma"/>
          <w:i w:val="0"/>
          <w:sz w:val="22"/>
          <w:szCs w:val="22"/>
        </w:rPr>
        <w:t xml:space="preserve"> se obliga a presentar a </w:t>
      </w:r>
      <w:r w:rsidRPr="00D019AB">
        <w:rPr>
          <w:rFonts w:ascii="Calibri" w:hAnsi="Calibri" w:cs="Tahoma"/>
          <w:b/>
          <w:bCs/>
          <w:i w:val="0"/>
          <w:sz w:val="22"/>
          <w:szCs w:val="22"/>
        </w:rPr>
        <w:t>EL MAG</w:t>
      </w:r>
      <w:r w:rsidRPr="00D019AB">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356098" w:rsidRPr="00D019AB">
        <w:rPr>
          <w:rFonts w:ascii="Calibri" w:hAnsi="Calibri" w:cs="Tahoma"/>
          <w:b/>
          <w:i w:val="0"/>
          <w:sz w:val="22"/>
          <w:szCs w:val="22"/>
          <w:lang w:val="es-ES_tradnl"/>
        </w:rPr>
        <w:fldChar w:fldCharType="begin"/>
      </w:r>
      <w:r w:rsidRPr="00D019AB">
        <w:rPr>
          <w:rFonts w:ascii="Calibri" w:hAnsi="Calibri" w:cs="Tahoma"/>
          <w:b/>
          <w:i w:val="0"/>
          <w:sz w:val="22"/>
          <w:szCs w:val="22"/>
          <w:lang w:val="es-ES_tradnl"/>
        </w:rPr>
        <w:instrText xml:space="preserve"> MERGEFIELD "Monto_de_la_Garantia_de_Cumplimiento_de_" </w:instrText>
      </w:r>
      <w:r w:rsidR="00356098" w:rsidRPr="00D019AB">
        <w:rPr>
          <w:rFonts w:ascii="Calibri" w:hAnsi="Calibri" w:cs="Tahoma"/>
          <w:b/>
          <w:i w:val="0"/>
          <w:sz w:val="22"/>
          <w:szCs w:val="22"/>
          <w:lang w:val="es-ES_tradnl"/>
        </w:rPr>
        <w:fldChar w:fldCharType="separate"/>
      </w:r>
      <w:r w:rsidRPr="00D019AB">
        <w:rPr>
          <w:rFonts w:ascii="Calibri" w:hAnsi="Calibri" w:cs="Tahoma"/>
          <w:b/>
          <w:i w:val="0"/>
          <w:noProof/>
          <w:sz w:val="22"/>
          <w:szCs w:val="22"/>
          <w:lang w:val="es-ES_tradnl"/>
        </w:rPr>
        <w:t>OCHOCIENTOS DOS DÓLARES CON OCHENTA CENTAVOS DE DÓLAR DE LOS ESTADOS UNIDOS DE AMÉRICA</w:t>
      </w:r>
      <w:r w:rsidR="00356098" w:rsidRPr="00D019AB">
        <w:rPr>
          <w:rFonts w:ascii="Calibri" w:hAnsi="Calibri" w:cs="Tahoma"/>
          <w:b/>
          <w:i w:val="0"/>
          <w:sz w:val="22"/>
          <w:szCs w:val="22"/>
          <w:lang w:val="es-ES_tradnl"/>
        </w:rPr>
        <w:fldChar w:fldCharType="end"/>
      </w:r>
      <w:r w:rsidRPr="00D019AB">
        <w:rPr>
          <w:rFonts w:ascii="Calibri" w:hAnsi="Calibri" w:cs="Tahoma"/>
          <w:b/>
          <w:i w:val="0"/>
          <w:sz w:val="22"/>
          <w:szCs w:val="22"/>
          <w:lang w:val="es-ES_tradnl"/>
        </w:rPr>
        <w:t xml:space="preserve"> </w:t>
      </w:r>
      <w:r w:rsidRPr="00D019AB">
        <w:rPr>
          <w:rFonts w:ascii="Calibri" w:hAnsi="Calibri" w:cs="Tahoma"/>
          <w:b/>
          <w:bCs/>
          <w:i w:val="0"/>
          <w:sz w:val="22"/>
          <w:szCs w:val="22"/>
          <w:lang w:val="es-ES_tradnl"/>
        </w:rPr>
        <w:t>(US$802.80)</w:t>
      </w:r>
      <w:r w:rsidRPr="00D019AB">
        <w:rPr>
          <w:rFonts w:ascii="Calibri" w:hAnsi="Calibri" w:cs="Tahoma"/>
          <w:b/>
          <w:i w:val="0"/>
          <w:sz w:val="22"/>
          <w:szCs w:val="22"/>
          <w:lang w:val="es-ES_tradnl"/>
        </w:rPr>
        <w:t>,</w:t>
      </w:r>
      <w:r w:rsidRPr="00D019AB">
        <w:rPr>
          <w:rFonts w:ascii="Calibri" w:hAnsi="Calibri" w:cs="Tahoma"/>
          <w:b/>
          <w:bCs/>
          <w:i w:val="0"/>
          <w:sz w:val="22"/>
          <w:szCs w:val="22"/>
          <w:lang w:val="es-ES_tradnl"/>
        </w:rPr>
        <w:t xml:space="preserve"> </w:t>
      </w:r>
      <w:r w:rsidRPr="00D019AB">
        <w:rPr>
          <w:rFonts w:ascii="Calibri" w:hAnsi="Calibri" w:cs="Tahoma"/>
          <w:i w:val="0"/>
          <w:sz w:val="22"/>
          <w:szCs w:val="22"/>
        </w:rPr>
        <w:t>equivalente al diez por ciento del monto del contrato. Dicha garantía deberá exceder en sesenta días el plazo de vigencia del contrato</w:t>
      </w:r>
      <w:r w:rsidRPr="00D019AB">
        <w:rPr>
          <w:rFonts w:ascii="Calibri" w:hAnsi="Calibri" w:cs="Tahoma"/>
          <w:i w:val="0"/>
          <w:sz w:val="22"/>
          <w:szCs w:val="22"/>
          <w:shd w:val="clear" w:color="auto" w:fill="FFFFFF"/>
        </w:rPr>
        <w:t xml:space="preserve">, </w:t>
      </w:r>
      <w:r w:rsidRPr="00D019AB">
        <w:rPr>
          <w:rFonts w:ascii="Calibri" w:hAnsi="Calibri" w:cs="Tahoma"/>
          <w:i w:val="0"/>
          <w:sz w:val="22"/>
          <w:szCs w:val="22"/>
        </w:rPr>
        <w:t xml:space="preserve">contados a partir de la suscripción del mismo, de conformidad con lo establecido en las bases de licitación y en el Art. 35 de la LACAP. Si no se presentare tal garantía en el </w:t>
      </w:r>
      <w:r w:rsidRPr="00D019AB">
        <w:rPr>
          <w:rFonts w:ascii="Calibri" w:hAnsi="Calibri" w:cs="Tahoma"/>
          <w:i w:val="0"/>
          <w:sz w:val="22"/>
          <w:szCs w:val="22"/>
        </w:rPr>
        <w:lastRenderedPageBreak/>
        <w:t>plazo establecido se tendrá por caducado el presente contrato y se entenderá que “</w:t>
      </w:r>
      <w:r w:rsidRPr="00D019AB">
        <w:rPr>
          <w:rFonts w:ascii="Calibri" w:hAnsi="Calibri" w:cs="Tahoma"/>
          <w:b/>
          <w:i w:val="0"/>
          <w:sz w:val="22"/>
          <w:szCs w:val="22"/>
        </w:rPr>
        <w:t>LA CONTRATISTA</w:t>
      </w:r>
      <w:r w:rsidRPr="00D019AB">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D019AB">
        <w:rPr>
          <w:rFonts w:ascii="Calibri" w:hAnsi="Calibri" w:cs="Tahoma"/>
          <w:b/>
          <w:i w:val="0"/>
          <w:sz w:val="22"/>
          <w:szCs w:val="22"/>
        </w:rPr>
        <w:t>IX.- INCUMPLIMIENTO</w:t>
      </w:r>
      <w:r w:rsidRPr="00D019AB">
        <w:rPr>
          <w:rFonts w:ascii="Calibri" w:hAnsi="Calibri" w:cs="Tahoma"/>
          <w:i w:val="0"/>
          <w:sz w:val="22"/>
          <w:szCs w:val="22"/>
        </w:rPr>
        <w:t xml:space="preserve">. En caso de mora de </w:t>
      </w:r>
      <w:r w:rsidRPr="00D019AB">
        <w:rPr>
          <w:rFonts w:ascii="Calibri" w:hAnsi="Calibri" w:cs="Tahoma"/>
          <w:b/>
          <w:bCs/>
          <w:i w:val="0"/>
          <w:sz w:val="22"/>
          <w:szCs w:val="22"/>
        </w:rPr>
        <w:t>“</w:t>
      </w:r>
      <w:r w:rsidRPr="00D019AB">
        <w:rPr>
          <w:rFonts w:ascii="Calibri" w:hAnsi="Calibri" w:cs="Tahoma"/>
          <w:b/>
          <w:i w:val="0"/>
          <w:sz w:val="22"/>
          <w:szCs w:val="22"/>
        </w:rPr>
        <w:t>LA CONTRATISTA</w:t>
      </w:r>
      <w:r w:rsidRPr="00D019AB">
        <w:rPr>
          <w:rFonts w:ascii="Calibri" w:hAnsi="Calibri" w:cs="Tahoma"/>
          <w:b/>
          <w:bCs/>
          <w:i w:val="0"/>
          <w:sz w:val="22"/>
          <w:szCs w:val="22"/>
        </w:rPr>
        <w:t>”</w:t>
      </w:r>
      <w:r w:rsidRPr="00D019AB">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D019AB">
        <w:rPr>
          <w:rFonts w:ascii="Calibri" w:hAnsi="Calibri" w:cs="Tahoma"/>
          <w:i w:val="0"/>
          <w:color w:val="FF0000"/>
          <w:sz w:val="22"/>
          <w:szCs w:val="22"/>
        </w:rPr>
        <w:t xml:space="preserve"> </w:t>
      </w:r>
      <w:r w:rsidRPr="00D019AB">
        <w:rPr>
          <w:rFonts w:ascii="Calibri" w:hAnsi="Calibri" w:cs="Tahoma"/>
          <w:b/>
          <w:i w:val="0"/>
          <w:sz w:val="22"/>
          <w:szCs w:val="22"/>
        </w:rPr>
        <w:t>X.- CADUCIDAD</w:t>
      </w:r>
      <w:r w:rsidRPr="00D019AB">
        <w:rPr>
          <w:rFonts w:ascii="Calibri" w:hAnsi="Calibri" w:cs="Tahoma"/>
          <w:i w:val="0"/>
          <w:color w:val="0000FF"/>
          <w:sz w:val="22"/>
          <w:szCs w:val="22"/>
        </w:rPr>
        <w:t xml:space="preserve">. </w:t>
      </w:r>
      <w:r w:rsidRPr="00D019AB">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D019AB">
        <w:rPr>
          <w:rFonts w:ascii="Calibri" w:hAnsi="Calibri"/>
          <w:i w:val="0"/>
          <w:color w:val="0000FF"/>
          <w:sz w:val="22"/>
          <w:szCs w:val="22"/>
        </w:rPr>
        <w:t>.</w:t>
      </w:r>
      <w:r w:rsidRPr="00D019AB">
        <w:rPr>
          <w:rFonts w:ascii="Calibri" w:hAnsi="Calibri" w:cs="Tahoma"/>
          <w:i w:val="0"/>
          <w:sz w:val="22"/>
          <w:szCs w:val="22"/>
        </w:rPr>
        <w:t xml:space="preserve"> </w:t>
      </w:r>
      <w:r w:rsidRPr="00D019AB">
        <w:rPr>
          <w:rFonts w:ascii="Calibri" w:hAnsi="Calibri" w:cs="Tahoma"/>
          <w:b/>
          <w:i w:val="0"/>
          <w:sz w:val="22"/>
          <w:szCs w:val="22"/>
        </w:rPr>
        <w:t>XI.- PLAZO DE RECLAMOS</w:t>
      </w:r>
      <w:r w:rsidRPr="00D019AB">
        <w:rPr>
          <w:rFonts w:ascii="Calibri" w:hAnsi="Calibri" w:cs="Tahoma"/>
          <w:i w:val="0"/>
          <w:sz w:val="22"/>
          <w:szCs w:val="22"/>
        </w:rPr>
        <w:t xml:space="preserve">. A partir de la recepción formal de los bienes objeto de este contrato, </w:t>
      </w:r>
      <w:r w:rsidRPr="00D019AB">
        <w:rPr>
          <w:rFonts w:ascii="Calibri" w:hAnsi="Calibri" w:cs="Tahoma"/>
          <w:b/>
          <w:i w:val="0"/>
          <w:sz w:val="22"/>
          <w:szCs w:val="22"/>
        </w:rPr>
        <w:t xml:space="preserve">EL MAG </w:t>
      </w:r>
      <w:r w:rsidRPr="00D019AB">
        <w:rPr>
          <w:rFonts w:ascii="Calibri" w:hAnsi="Calibri" w:cs="Tahoma"/>
          <w:i w:val="0"/>
          <w:sz w:val="22"/>
          <w:szCs w:val="22"/>
        </w:rPr>
        <w:t>tendrá un plazo de diez días hábiles para efectuar cualquier reclamo relacionado con el suministro. “</w:t>
      </w:r>
      <w:r w:rsidR="00356098" w:rsidRPr="00D019AB">
        <w:rPr>
          <w:rFonts w:ascii="Calibri" w:hAnsi="Calibri" w:cs="Tahoma"/>
          <w:b/>
          <w:i w:val="0"/>
          <w:sz w:val="22"/>
          <w:szCs w:val="22"/>
        </w:rPr>
        <w:fldChar w:fldCharType="begin"/>
      </w:r>
      <w:r w:rsidRPr="00D019AB">
        <w:rPr>
          <w:rFonts w:ascii="Calibri" w:hAnsi="Calibri" w:cs="Tahoma"/>
          <w:b/>
          <w:i w:val="0"/>
          <w:sz w:val="22"/>
          <w:szCs w:val="22"/>
        </w:rPr>
        <w:instrText xml:space="preserve"> MERGEFIELD "Forma_como_se_denominara_el_Proveedor" </w:instrText>
      </w:r>
      <w:r w:rsidR="00356098" w:rsidRPr="00D019AB">
        <w:rPr>
          <w:rFonts w:ascii="Calibri" w:hAnsi="Calibri" w:cs="Tahoma"/>
          <w:b/>
          <w:i w:val="0"/>
          <w:sz w:val="22"/>
          <w:szCs w:val="22"/>
        </w:rPr>
        <w:fldChar w:fldCharType="separate"/>
      </w:r>
      <w:r w:rsidRPr="00D019AB">
        <w:rPr>
          <w:rFonts w:ascii="Calibri" w:hAnsi="Calibri" w:cs="Tahoma"/>
          <w:b/>
          <w:i w:val="0"/>
          <w:sz w:val="22"/>
          <w:szCs w:val="22"/>
        </w:rPr>
        <w:t>LA CONTRATISTA</w:t>
      </w:r>
      <w:r w:rsidR="00356098" w:rsidRPr="00D019AB">
        <w:rPr>
          <w:rFonts w:ascii="Calibri" w:hAnsi="Calibri" w:cs="Tahoma"/>
          <w:b/>
          <w:i w:val="0"/>
          <w:sz w:val="22"/>
          <w:szCs w:val="22"/>
        </w:rPr>
        <w:fldChar w:fldCharType="end"/>
      </w:r>
      <w:r w:rsidRPr="00D019AB">
        <w:rPr>
          <w:rFonts w:ascii="Calibri" w:hAnsi="Calibri" w:cs="Tahoma"/>
          <w:i w:val="0"/>
          <w:sz w:val="22"/>
          <w:szCs w:val="22"/>
        </w:rPr>
        <w:t xml:space="preserve">” deberá reponer o cumplir a satisfacción del MAG dentro del plazo establecido en la nota de reclamo, si </w:t>
      </w:r>
      <w:r w:rsidR="00356098" w:rsidRPr="00D019AB">
        <w:rPr>
          <w:rFonts w:ascii="Calibri" w:hAnsi="Calibri" w:cs="Tahoma"/>
          <w:b/>
          <w:i w:val="0"/>
          <w:sz w:val="22"/>
          <w:szCs w:val="22"/>
        </w:rPr>
        <w:fldChar w:fldCharType="begin"/>
      </w:r>
      <w:r w:rsidRPr="00D019AB">
        <w:rPr>
          <w:rFonts w:ascii="Calibri" w:hAnsi="Calibri" w:cs="Tahoma"/>
          <w:b/>
          <w:i w:val="0"/>
          <w:sz w:val="22"/>
          <w:szCs w:val="22"/>
        </w:rPr>
        <w:instrText xml:space="preserve"> MERGEFIELD "Forma_como_se_denominara_el_Proveedor" </w:instrText>
      </w:r>
      <w:r w:rsidR="00356098" w:rsidRPr="00D019AB">
        <w:rPr>
          <w:rFonts w:ascii="Calibri" w:hAnsi="Calibri" w:cs="Tahoma"/>
          <w:b/>
          <w:i w:val="0"/>
          <w:sz w:val="22"/>
          <w:szCs w:val="22"/>
        </w:rPr>
        <w:fldChar w:fldCharType="separate"/>
      </w:r>
      <w:r w:rsidRPr="00D019AB">
        <w:rPr>
          <w:rFonts w:ascii="Calibri" w:hAnsi="Calibri" w:cs="Tahoma"/>
          <w:b/>
          <w:i w:val="0"/>
          <w:sz w:val="22"/>
          <w:szCs w:val="22"/>
        </w:rPr>
        <w:t>LA CONTRATISTA</w:t>
      </w:r>
      <w:r w:rsidR="00356098" w:rsidRPr="00D019AB">
        <w:rPr>
          <w:rFonts w:ascii="Calibri" w:hAnsi="Calibri" w:cs="Tahoma"/>
          <w:b/>
          <w:i w:val="0"/>
          <w:sz w:val="22"/>
          <w:szCs w:val="22"/>
        </w:rPr>
        <w:fldChar w:fldCharType="end"/>
      </w:r>
      <w:r w:rsidRPr="00D019AB">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D019AB">
        <w:rPr>
          <w:rFonts w:ascii="Calibri" w:hAnsi="Calibri"/>
          <w:i w:val="0"/>
          <w:color w:val="0000FF"/>
          <w:sz w:val="22"/>
          <w:szCs w:val="22"/>
          <w:lang w:val="es-ES_tradnl"/>
        </w:rPr>
        <w:t xml:space="preserve">. </w:t>
      </w:r>
      <w:r w:rsidRPr="00B43295">
        <w:rPr>
          <w:rFonts w:ascii="Calibri" w:hAnsi="Calibri" w:cs="Arial"/>
          <w:b/>
          <w:bCs/>
          <w:i w:val="0"/>
          <w:sz w:val="22"/>
          <w:szCs w:val="22"/>
        </w:rPr>
        <w:t xml:space="preserve">XII.- </w:t>
      </w:r>
      <w:r w:rsidRPr="00B43295">
        <w:rPr>
          <w:rFonts w:ascii="Calibri" w:hAnsi="Calibri"/>
          <w:b/>
          <w:i w:val="0"/>
          <w:sz w:val="22"/>
          <w:szCs w:val="22"/>
        </w:rPr>
        <w:t>MODIFICACIONES, PRORROGAS Y PROHIBICIONES EN EL CONTRATO.</w:t>
      </w:r>
      <w:r w:rsidRPr="00B43295">
        <w:rPr>
          <w:rFonts w:ascii="Calibri" w:hAnsi="Calibri" w:cs="Arial"/>
          <w:bCs/>
          <w:i w:val="0"/>
          <w:color w:val="0000FF"/>
          <w:sz w:val="22"/>
          <w:szCs w:val="22"/>
        </w:rPr>
        <w:t xml:space="preserve"> </w:t>
      </w:r>
      <w:r w:rsidRPr="00B43295">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Pr>
          <w:rFonts w:ascii="Calibri" w:hAnsi="Calibri"/>
          <w:i w:val="0"/>
          <w:sz w:val="22"/>
          <w:szCs w:val="22"/>
        </w:rPr>
        <w:t xml:space="preserve"> el Fiscal General de la República </w:t>
      </w:r>
      <w:r w:rsidRPr="00B43295">
        <w:rPr>
          <w:rFonts w:ascii="Calibri" w:hAnsi="Calibr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Pr>
          <w:rFonts w:ascii="Calibri" w:hAnsi="Calibri"/>
          <w:i w:val="0"/>
          <w:sz w:val="22"/>
          <w:szCs w:val="22"/>
        </w:rPr>
        <w:t>y por escrito al MAG, e indicará</w:t>
      </w:r>
      <w:r w:rsidRPr="00B43295">
        <w:rPr>
          <w:rFonts w:ascii="Calibri" w:hAnsi="Calibr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Pr>
          <w:rFonts w:ascii="Calibri" w:hAnsi="Calibri"/>
          <w:i w:val="0"/>
          <w:sz w:val="22"/>
          <w:szCs w:val="22"/>
        </w:rPr>
        <w:t>el Fiscal General de la República</w:t>
      </w:r>
      <w:r w:rsidRPr="00B43295">
        <w:rPr>
          <w:rFonts w:ascii="Calibri" w:hAnsi="Calibr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Pr="004138FA">
        <w:rPr>
          <w:rFonts w:ascii="Calibri" w:hAnsi="Calibri"/>
          <w:i w:val="0"/>
          <w:sz w:val="22"/>
          <w:szCs w:val="22"/>
        </w:rPr>
        <w:t xml:space="preserve">será autorizada mediante resolución razonada por EL MAG; y será firmada por </w:t>
      </w:r>
      <w:r>
        <w:rPr>
          <w:rFonts w:ascii="Calibri" w:hAnsi="Calibri"/>
          <w:i w:val="0"/>
          <w:sz w:val="22"/>
          <w:szCs w:val="22"/>
        </w:rPr>
        <w:lastRenderedPageBreak/>
        <w:t xml:space="preserve">el Fiscal General de la República </w:t>
      </w:r>
      <w:r w:rsidRPr="004138FA">
        <w:rPr>
          <w:rFonts w:ascii="Calibri" w:hAnsi="Calibri"/>
          <w:i w:val="0"/>
          <w:sz w:val="22"/>
          <w:szCs w:val="22"/>
        </w:rPr>
        <w:t>y por “LA CONTRATISTA”</w:t>
      </w:r>
      <w:r w:rsidRPr="004138FA">
        <w:rPr>
          <w:rFonts w:ascii="Calibri" w:hAnsi="Calibri" w:cs="Arial"/>
          <w:bCs/>
          <w:i w:val="0"/>
          <w:sz w:val="22"/>
          <w:szCs w:val="22"/>
        </w:rPr>
        <w:t>.</w:t>
      </w:r>
      <w:r>
        <w:rPr>
          <w:rFonts w:ascii="Calibri" w:hAnsi="Calibri" w:cs="Arial"/>
          <w:bCs/>
          <w:i w:val="0"/>
          <w:sz w:val="22"/>
          <w:szCs w:val="22"/>
        </w:rPr>
        <w:t xml:space="preserve"> </w:t>
      </w:r>
      <w:r w:rsidRPr="00D019AB">
        <w:rPr>
          <w:rFonts w:ascii="Calibri" w:hAnsi="Calibri" w:cs="Arial"/>
          <w:bCs/>
          <w:i w:val="0"/>
          <w:sz w:val="22"/>
          <w:szCs w:val="22"/>
        </w:rPr>
        <w:t xml:space="preserve"> </w:t>
      </w:r>
      <w:r w:rsidRPr="00D019AB">
        <w:rPr>
          <w:rFonts w:ascii="Calibri" w:hAnsi="Calibri" w:cs="Tahoma"/>
          <w:b/>
          <w:i w:val="0"/>
          <w:sz w:val="22"/>
          <w:szCs w:val="22"/>
        </w:rPr>
        <w:t>XIII.- DOCUMENTOS CONTRACTUALES</w:t>
      </w:r>
      <w:r w:rsidRPr="00D019AB">
        <w:rPr>
          <w:rFonts w:ascii="Calibri" w:hAnsi="Calibri" w:cs="Tahoma"/>
          <w:b/>
          <w:bCs/>
          <w:i w:val="0"/>
          <w:sz w:val="22"/>
          <w:szCs w:val="22"/>
        </w:rPr>
        <w:t>.</w:t>
      </w:r>
      <w:r w:rsidRPr="00D019AB">
        <w:rPr>
          <w:rFonts w:ascii="Calibri" w:hAnsi="Calibri" w:cs="Tahoma"/>
          <w:i w:val="0"/>
          <w:sz w:val="22"/>
          <w:szCs w:val="22"/>
        </w:rPr>
        <w:t xml:space="preserve"> </w:t>
      </w:r>
      <w:r w:rsidRPr="00D019AB">
        <w:rPr>
          <w:rFonts w:ascii="Calibri" w:hAnsi="Calibri" w:cs="Tahoma"/>
          <w:i w:val="0"/>
          <w:sz w:val="22"/>
          <w:szCs w:val="22"/>
          <w:lang w:val="es-ES_tradnl"/>
        </w:rPr>
        <w:t xml:space="preserve">Forman parte integrante del presente contrato los siguientes documentos: a. Bases del proceso de </w:t>
      </w:r>
      <w:r w:rsidR="00356098" w:rsidRPr="00D019AB">
        <w:rPr>
          <w:rFonts w:ascii="Calibri" w:hAnsi="Calibri" w:cs="Tahoma"/>
          <w:i w:val="0"/>
          <w:sz w:val="22"/>
          <w:szCs w:val="22"/>
          <w:lang w:val="es-ES_tradnl"/>
        </w:rPr>
        <w:fldChar w:fldCharType="begin"/>
      </w:r>
      <w:r w:rsidRPr="00D019AB">
        <w:rPr>
          <w:rFonts w:ascii="Calibri" w:hAnsi="Calibri" w:cs="Tahoma"/>
          <w:i w:val="0"/>
          <w:sz w:val="22"/>
          <w:szCs w:val="22"/>
          <w:lang w:val="es-ES_tradnl"/>
        </w:rPr>
        <w:instrText xml:space="preserve"> MERGEFIELD "Nombre_y_Numero_del_proceso_si_es_contra" </w:instrText>
      </w:r>
      <w:r w:rsidR="00356098" w:rsidRPr="00D019AB">
        <w:rPr>
          <w:rFonts w:ascii="Calibri" w:hAnsi="Calibri" w:cs="Tahoma"/>
          <w:i w:val="0"/>
          <w:sz w:val="22"/>
          <w:szCs w:val="22"/>
          <w:lang w:val="es-ES_tradnl"/>
        </w:rPr>
        <w:fldChar w:fldCharType="separate"/>
      </w:r>
      <w:r w:rsidRPr="00D019AB">
        <w:rPr>
          <w:rFonts w:ascii="Calibri" w:hAnsi="Calibri" w:cs="Tahoma"/>
          <w:i w:val="0"/>
          <w:noProof/>
          <w:sz w:val="22"/>
          <w:szCs w:val="22"/>
          <w:lang w:val="es-ES_tradnl"/>
        </w:rPr>
        <w:t>Licitación Abierta DR-CAFTA-LA Número 012/2016-MAG</w:t>
      </w:r>
      <w:r w:rsidR="00356098" w:rsidRPr="00D019AB">
        <w:rPr>
          <w:rFonts w:ascii="Calibri" w:hAnsi="Calibri" w:cs="Tahoma"/>
          <w:i w:val="0"/>
          <w:sz w:val="22"/>
          <w:szCs w:val="22"/>
          <w:lang w:val="es-ES_tradnl"/>
        </w:rPr>
        <w:fldChar w:fldCharType="end"/>
      </w:r>
      <w:r w:rsidRPr="00D019AB">
        <w:rPr>
          <w:rFonts w:ascii="Calibri" w:hAnsi="Calibri" w:cs="Tahoma"/>
          <w:i w:val="0"/>
          <w:sz w:val="22"/>
          <w:szCs w:val="22"/>
          <w:lang w:val="es-ES_tradnl"/>
        </w:rPr>
        <w:t>; b. Nota Aclaratoria N° 1  de fecha 22 de julio de dos mil dieciséis; c. Oferta de fecha</w:t>
      </w:r>
      <w:r w:rsidRPr="00D019AB">
        <w:rPr>
          <w:rFonts w:ascii="Calibri" w:hAnsi="Calibri" w:cs="Tahoma"/>
          <w:i w:val="0"/>
          <w:noProof/>
          <w:sz w:val="22"/>
          <w:szCs w:val="22"/>
          <w:lang w:val="es-ES_tradnl"/>
        </w:rPr>
        <w:t xml:space="preserve"> ocho de agosto de dos mil dieciséis</w:t>
      </w:r>
      <w:r w:rsidRPr="00D019AB">
        <w:rPr>
          <w:rFonts w:ascii="Calibri" w:hAnsi="Calibri" w:cs="Tahoma"/>
          <w:i w:val="0"/>
          <w:sz w:val="22"/>
          <w:szCs w:val="22"/>
          <w:lang w:val="es-ES_tradnl"/>
        </w:rPr>
        <w:t>; d. Resolución de adjudicación; e. Garantía;</w:t>
      </w:r>
      <w:r w:rsidRPr="00D019AB">
        <w:rPr>
          <w:rFonts w:ascii="Calibri" w:hAnsi="Calibri" w:cs="Tahoma"/>
          <w:i w:val="0"/>
          <w:sz w:val="22"/>
          <w:szCs w:val="22"/>
        </w:rPr>
        <w:t xml:space="preserve"> f. Resoluciones Modificativas</w:t>
      </w:r>
      <w:r w:rsidRPr="00D019AB">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D019AB">
        <w:rPr>
          <w:rFonts w:ascii="Calibri" w:hAnsi="Calibri" w:cs="Tahoma"/>
          <w:i w:val="0"/>
          <w:sz w:val="22"/>
          <w:szCs w:val="22"/>
        </w:rPr>
        <w:t xml:space="preserve"> </w:t>
      </w:r>
      <w:r w:rsidRPr="00D019AB">
        <w:rPr>
          <w:rFonts w:ascii="Calibri" w:hAnsi="Calibri" w:cs="Tahoma"/>
          <w:b/>
          <w:i w:val="0"/>
          <w:sz w:val="22"/>
          <w:szCs w:val="22"/>
        </w:rPr>
        <w:t>XIV.- INTERPRETACIÓN DEL CONTRATO</w:t>
      </w:r>
      <w:r w:rsidRPr="00D019AB">
        <w:rPr>
          <w:rFonts w:ascii="Calibri" w:hAnsi="Calibri" w:cs="Tahoma"/>
          <w:i w:val="0"/>
          <w:sz w:val="22"/>
          <w:szCs w:val="22"/>
        </w:rPr>
        <w:t xml:space="preserve">. De conformidad con el artículo ochenta y cuatro incisos primero y segundo de la Ley de Adquisiciones y Contrataciones de la Administración Pública </w:t>
      </w:r>
      <w:r w:rsidRPr="00D019AB">
        <w:rPr>
          <w:rFonts w:ascii="Calibri" w:hAnsi="Calibri" w:cs="Tahoma"/>
          <w:b/>
          <w:i w:val="0"/>
          <w:sz w:val="22"/>
          <w:szCs w:val="22"/>
        </w:rPr>
        <w:t>EL MAG</w:t>
      </w:r>
      <w:r w:rsidRPr="00D019AB">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D019AB">
        <w:rPr>
          <w:rFonts w:ascii="Calibri" w:hAnsi="Calibri" w:cs="Tahoma"/>
          <w:b/>
          <w:bCs/>
          <w:i w:val="0"/>
          <w:sz w:val="22"/>
          <w:szCs w:val="22"/>
        </w:rPr>
        <w:t>“</w:t>
      </w:r>
      <w:r w:rsidRPr="00D019AB">
        <w:rPr>
          <w:rFonts w:ascii="Calibri" w:hAnsi="Calibri" w:cs="Tahoma"/>
          <w:b/>
          <w:i w:val="0"/>
          <w:sz w:val="22"/>
          <w:szCs w:val="22"/>
        </w:rPr>
        <w:t>LA CONTRATISTA”</w:t>
      </w:r>
      <w:r w:rsidRPr="00D019AB">
        <w:rPr>
          <w:rFonts w:ascii="Calibri" w:hAnsi="Calibri" w:cs="Tahoma"/>
          <w:i w:val="0"/>
          <w:sz w:val="22"/>
          <w:szCs w:val="22"/>
        </w:rPr>
        <w:t xml:space="preserve"> expresamente acepta tal disposición y se obliga a dar estricto cumplimiento a las instrucciones que al respecto dicte </w:t>
      </w:r>
      <w:r w:rsidRPr="00D019AB">
        <w:rPr>
          <w:rFonts w:ascii="Calibri" w:hAnsi="Calibri" w:cs="Tahoma"/>
          <w:b/>
          <w:i w:val="0"/>
          <w:sz w:val="22"/>
          <w:szCs w:val="22"/>
        </w:rPr>
        <w:t>EL MAG</w:t>
      </w:r>
      <w:r w:rsidRPr="00D019AB">
        <w:rPr>
          <w:rFonts w:ascii="Calibri" w:hAnsi="Calibri" w:cs="Tahoma"/>
          <w:i w:val="0"/>
          <w:sz w:val="22"/>
          <w:szCs w:val="22"/>
        </w:rPr>
        <w:t xml:space="preserve"> las cuales le serán comunicadas por medio de los Administradores del Contrato. </w:t>
      </w:r>
      <w:r w:rsidRPr="00D019AB">
        <w:rPr>
          <w:rFonts w:ascii="Calibri" w:hAnsi="Calibri" w:cs="Tahoma"/>
          <w:b/>
          <w:i w:val="0"/>
          <w:sz w:val="22"/>
          <w:szCs w:val="22"/>
        </w:rPr>
        <w:t>XV.- FUERZA MAYOR O CASO FORTUITO.</w:t>
      </w:r>
      <w:r w:rsidRPr="00D019AB">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D019AB">
        <w:rPr>
          <w:rFonts w:ascii="Calibri" w:hAnsi="Calibri" w:cs="Tahoma"/>
          <w:b/>
          <w:bCs/>
          <w:i w:val="0"/>
          <w:sz w:val="22"/>
          <w:szCs w:val="22"/>
        </w:rPr>
        <w:t>“</w:t>
      </w:r>
      <w:r w:rsidRPr="00D019AB">
        <w:rPr>
          <w:rFonts w:ascii="Calibri" w:hAnsi="Calibri" w:cs="Tahoma"/>
          <w:b/>
          <w:i w:val="0"/>
          <w:sz w:val="22"/>
          <w:szCs w:val="22"/>
        </w:rPr>
        <w:t>LA CONTRATISTA”</w:t>
      </w:r>
      <w:r w:rsidRPr="00D019AB">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019AB">
        <w:rPr>
          <w:rFonts w:ascii="Calibri" w:hAnsi="Calibri" w:cs="Tahoma"/>
          <w:b/>
          <w:i w:val="0"/>
          <w:sz w:val="22"/>
          <w:szCs w:val="22"/>
        </w:rPr>
        <w:t>XVI.- SOLUCIÓN DE CONFLICTOS</w:t>
      </w:r>
      <w:r w:rsidRPr="00D019AB">
        <w:rPr>
          <w:rFonts w:ascii="Calibri" w:hAnsi="Calibri" w:cs="Tahoma"/>
          <w:i w:val="0"/>
          <w:sz w:val="22"/>
          <w:szCs w:val="22"/>
        </w:rPr>
        <w:t xml:space="preserve">. Para resolver las diferencias o conflictos que surgieren durante la ejecución del contrato, se acudirá a los tribunales comunes. </w:t>
      </w:r>
      <w:r w:rsidRPr="00D019AB">
        <w:rPr>
          <w:rFonts w:ascii="Calibri" w:hAnsi="Calibri" w:cs="Tahoma"/>
          <w:b/>
          <w:i w:val="0"/>
          <w:sz w:val="22"/>
          <w:szCs w:val="22"/>
        </w:rPr>
        <w:t>XVII.- TERMINACIÓN BILATERAL</w:t>
      </w:r>
      <w:r w:rsidRPr="00D019AB">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019AB">
        <w:rPr>
          <w:rFonts w:ascii="Calibri" w:hAnsi="Calibri" w:cs="Tahoma"/>
          <w:b/>
          <w:i w:val="0"/>
          <w:sz w:val="22"/>
          <w:szCs w:val="22"/>
        </w:rPr>
        <w:t>XVIII.- DOMICILIO ESPECIAL</w:t>
      </w:r>
      <w:r w:rsidRPr="00D019AB">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D019AB">
        <w:rPr>
          <w:rFonts w:ascii="Calibri" w:hAnsi="Calibri" w:cs="Tahoma"/>
          <w:b/>
          <w:i w:val="0"/>
          <w:sz w:val="22"/>
          <w:szCs w:val="22"/>
        </w:rPr>
        <w:t xml:space="preserve">XIX.- </w:t>
      </w:r>
      <w:r w:rsidRPr="00D019AB">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D019AB">
        <w:rPr>
          <w:rFonts w:ascii="Calibri" w:hAnsi="Calibri" w:cs="Calibri"/>
          <w:i w:val="0"/>
          <w:sz w:val="22"/>
          <w:szCs w:val="22"/>
          <w:lang w:val="es-ES_tradnl"/>
        </w:rPr>
        <w:t xml:space="preserve">Si durante la ejecución el contrato se comprobare por la Dirección General de Inspección de </w:t>
      </w:r>
      <w:r w:rsidRPr="00D019AB">
        <w:rPr>
          <w:rFonts w:ascii="Calibri" w:hAnsi="Calibri" w:cs="Calibri"/>
          <w:i w:val="0"/>
          <w:sz w:val="22"/>
          <w:szCs w:val="22"/>
          <w:lang w:val="es-ES_tradnl"/>
        </w:rPr>
        <w:lastRenderedPageBreak/>
        <w:t xml:space="preserve">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D019AB">
        <w:rPr>
          <w:rFonts w:ascii="Calibri" w:hAnsi="Calibri" w:cs="Calibri"/>
          <w:b/>
          <w:i w:val="0"/>
          <w:sz w:val="22"/>
          <w:szCs w:val="22"/>
          <w:lang w:val="es-ES_tradnl"/>
        </w:rPr>
        <w:t>XX.-</w:t>
      </w:r>
      <w:r w:rsidRPr="00D019AB">
        <w:rPr>
          <w:rFonts w:ascii="Calibri" w:hAnsi="Calibri" w:cs="Calibri"/>
          <w:i w:val="0"/>
          <w:sz w:val="22"/>
          <w:szCs w:val="22"/>
          <w:lang w:val="es-ES_tradnl"/>
        </w:rPr>
        <w:t xml:space="preserve"> </w:t>
      </w:r>
      <w:r w:rsidRPr="00D019AB">
        <w:rPr>
          <w:rFonts w:ascii="Calibri" w:hAnsi="Calibri" w:cs="Tahoma"/>
          <w:b/>
          <w:i w:val="0"/>
          <w:sz w:val="22"/>
          <w:szCs w:val="22"/>
        </w:rPr>
        <w:t>NOTIFICACIONES</w:t>
      </w:r>
      <w:r w:rsidRPr="00D019AB">
        <w:rPr>
          <w:rFonts w:ascii="Calibri" w:hAnsi="Calibri" w:cs="Tahoma"/>
          <w:i w:val="0"/>
          <w:sz w:val="22"/>
          <w:szCs w:val="22"/>
        </w:rPr>
        <w:t xml:space="preserve">. Todas las notificaciones referentes a la ejecución de este contrato, serán válidas solamente cuando sean hechas por escrito a </w:t>
      </w:r>
      <w:r w:rsidRPr="00D019AB">
        <w:rPr>
          <w:rFonts w:ascii="Calibri" w:hAnsi="Calibri" w:cs="Tahoma"/>
          <w:b/>
          <w:i w:val="0"/>
          <w:sz w:val="22"/>
          <w:szCs w:val="22"/>
        </w:rPr>
        <w:t>EL MAG</w:t>
      </w:r>
      <w:r w:rsidRPr="00D019AB">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D019AB">
        <w:rPr>
          <w:rFonts w:ascii="Calibri" w:hAnsi="Calibri" w:cs="Tahoma"/>
          <w:i w:val="0"/>
          <w:sz w:val="22"/>
          <w:szCs w:val="22"/>
        </w:rPr>
        <w:t xml:space="preserve">y a </w:t>
      </w:r>
      <w:r w:rsidRPr="00D019AB">
        <w:rPr>
          <w:rFonts w:ascii="Calibri" w:hAnsi="Calibri" w:cs="Tahoma"/>
          <w:b/>
          <w:bCs/>
          <w:i w:val="0"/>
          <w:sz w:val="22"/>
          <w:szCs w:val="22"/>
        </w:rPr>
        <w:t>“</w:t>
      </w:r>
      <w:r w:rsidRPr="00D019AB">
        <w:rPr>
          <w:rFonts w:ascii="Calibri" w:hAnsi="Calibri" w:cs="Tahoma"/>
          <w:b/>
          <w:i w:val="0"/>
          <w:sz w:val="22"/>
          <w:szCs w:val="22"/>
        </w:rPr>
        <w:t>LA CONTRATISTA</w:t>
      </w:r>
      <w:r w:rsidRPr="00D019AB">
        <w:rPr>
          <w:rFonts w:ascii="Calibri" w:hAnsi="Calibri" w:cs="Tahoma"/>
          <w:b/>
          <w:bCs/>
          <w:i w:val="0"/>
          <w:sz w:val="22"/>
          <w:szCs w:val="22"/>
        </w:rPr>
        <w:t>”</w:t>
      </w:r>
      <w:r w:rsidRPr="00D019AB">
        <w:rPr>
          <w:rFonts w:ascii="Calibri" w:hAnsi="Calibri" w:cs="Tahoma"/>
          <w:i w:val="0"/>
          <w:sz w:val="22"/>
          <w:szCs w:val="22"/>
        </w:rPr>
        <w:t xml:space="preserve"> a </w:t>
      </w:r>
      <w:r w:rsidRPr="00D019AB">
        <w:rPr>
          <w:rFonts w:ascii="Calibri" w:hAnsi="Calibri" w:cs="Calibri"/>
          <w:i w:val="0"/>
          <w:sz w:val="22"/>
          <w:szCs w:val="22"/>
          <w:lang w:val="es-ES_tradnl"/>
        </w:rPr>
        <w:t xml:space="preserve">través del señor Iván Evaristo Oliver O'Dowd, </w:t>
      </w:r>
      <w:r w:rsidR="004B3237" w:rsidRPr="004B3237">
        <w:rPr>
          <w:rFonts w:ascii="Calibri" w:hAnsi="Calibri" w:cs="Calibri"/>
          <w:i w:val="0"/>
          <w:sz w:val="22"/>
          <w:szCs w:val="22"/>
          <w:highlight w:val="black"/>
          <w:lang w:val="es-ES_tradnl"/>
        </w:rPr>
        <w:t>************************************************************************</w:t>
      </w:r>
      <w:r w:rsidRPr="00D019AB">
        <w:rPr>
          <w:rFonts w:ascii="Calibri" w:hAnsi="Calibri" w:cs="Calibri"/>
          <w:i w:val="0"/>
          <w:sz w:val="22"/>
          <w:szCs w:val="22"/>
          <w:lang w:val="es-ES_tradnl"/>
        </w:rPr>
        <w:t>.</w:t>
      </w:r>
      <w:r w:rsidRPr="00D019AB">
        <w:rPr>
          <w:rFonts w:ascii="Calibri" w:hAnsi="Calibri" w:cs="Tahoma"/>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veintiún días del mes de octubre de dos mil dieciséis.                                                                                                 </w:t>
      </w:r>
    </w:p>
    <w:p w:rsidR="00740159" w:rsidRPr="00D019AB" w:rsidRDefault="00740159" w:rsidP="007852C6">
      <w:pPr>
        <w:spacing w:line="360" w:lineRule="auto"/>
        <w:jc w:val="right"/>
        <w:rPr>
          <w:rFonts w:ascii="Calibri" w:hAnsi="Calibri" w:cs="Tahoma"/>
          <w:i w:val="0"/>
          <w:sz w:val="22"/>
          <w:szCs w:val="22"/>
        </w:rPr>
      </w:pPr>
      <w:r w:rsidRPr="00D019AB">
        <w:rPr>
          <w:rFonts w:ascii="Calibri" w:hAnsi="Calibri" w:cs="Tahoma"/>
          <w:b/>
          <w:i w:val="0"/>
          <w:sz w:val="22"/>
          <w:szCs w:val="22"/>
        </w:rPr>
        <w:t xml:space="preserve">                                                                                                             </w:t>
      </w:r>
    </w:p>
    <w:p w:rsidR="00740159" w:rsidRDefault="00740159" w:rsidP="007852C6">
      <w:pPr>
        <w:spacing w:line="360" w:lineRule="auto"/>
        <w:jc w:val="both"/>
        <w:rPr>
          <w:rFonts w:cs="Tahoma"/>
          <w:i w:val="0"/>
          <w:sz w:val="21"/>
          <w:szCs w:val="21"/>
        </w:rPr>
      </w:pPr>
    </w:p>
    <w:p w:rsidR="00740159" w:rsidRDefault="00740159" w:rsidP="007852C6">
      <w:pPr>
        <w:spacing w:line="360" w:lineRule="auto"/>
        <w:jc w:val="both"/>
        <w:rPr>
          <w:rFonts w:cs="Tahoma"/>
          <w:i w:val="0"/>
          <w:sz w:val="21"/>
          <w:szCs w:val="21"/>
        </w:rPr>
      </w:pPr>
    </w:p>
    <w:p w:rsidR="00740159" w:rsidRPr="00D019AB" w:rsidRDefault="00740159" w:rsidP="00037246">
      <w:pPr>
        <w:spacing w:line="360" w:lineRule="auto"/>
        <w:jc w:val="both"/>
        <w:rPr>
          <w:rFonts w:ascii="Calibri" w:hAnsi="Calibri" w:cs="Tahoma"/>
          <w:b/>
          <w:i w:val="0"/>
          <w:sz w:val="16"/>
          <w:szCs w:val="16"/>
          <w:lang w:val="pt-BR"/>
        </w:rPr>
      </w:pPr>
      <w:r w:rsidRPr="00D019AB">
        <w:rPr>
          <w:rFonts w:ascii="Calibri" w:hAnsi="Calibri" w:cs="Tahoma"/>
          <w:i w:val="0"/>
          <w:sz w:val="16"/>
          <w:szCs w:val="16"/>
          <w:lang w:val="es-SV"/>
        </w:rPr>
        <w:t xml:space="preserve">        </w:t>
      </w:r>
      <w:r w:rsidRPr="00D019AB">
        <w:rPr>
          <w:rFonts w:ascii="Calibri" w:hAnsi="Calibri" w:cs="Tahoma"/>
          <w:i w:val="0"/>
          <w:sz w:val="16"/>
          <w:szCs w:val="16"/>
          <w:lang w:val="pt-BR"/>
        </w:rPr>
        <w:t>_____</w:t>
      </w:r>
      <w:r w:rsidRPr="00D019AB">
        <w:rPr>
          <w:rFonts w:ascii="Calibri" w:hAnsi="Calibri" w:cs="Tahoma"/>
          <w:b/>
          <w:i w:val="0"/>
          <w:sz w:val="16"/>
          <w:szCs w:val="16"/>
          <w:lang w:val="pt-BR"/>
        </w:rPr>
        <w:t>_______________________________________________                _______________________________________________</w:t>
      </w:r>
    </w:p>
    <w:p w:rsidR="00740159" w:rsidRPr="00D019AB" w:rsidRDefault="00740159" w:rsidP="00037246">
      <w:pPr>
        <w:jc w:val="both"/>
        <w:rPr>
          <w:rFonts w:ascii="Calibri" w:hAnsi="Calibri" w:cs="Tahoma"/>
          <w:b/>
          <w:i w:val="0"/>
          <w:caps/>
          <w:sz w:val="16"/>
          <w:szCs w:val="16"/>
          <w:lang w:val="pt-BR"/>
        </w:rPr>
      </w:pPr>
      <w:r w:rsidRPr="00D019AB">
        <w:rPr>
          <w:rFonts w:ascii="Calibri" w:hAnsi="Calibri" w:cs="Tahoma"/>
          <w:b/>
          <w:i w:val="0"/>
          <w:sz w:val="16"/>
          <w:szCs w:val="16"/>
          <w:lang w:val="pt-BR"/>
        </w:rPr>
        <w:t xml:space="preserve">             DOUGLAS ARQUIMIDES MELENDEZ RUIZ                     </w:t>
      </w:r>
      <w:r>
        <w:rPr>
          <w:rFonts w:ascii="Calibri" w:hAnsi="Calibri" w:cs="Tahoma"/>
          <w:b/>
          <w:i w:val="0"/>
          <w:sz w:val="16"/>
          <w:szCs w:val="16"/>
          <w:lang w:val="pt-BR"/>
        </w:rPr>
        <w:t xml:space="preserve">                                        </w:t>
      </w:r>
      <w:r w:rsidRPr="00D019AB">
        <w:rPr>
          <w:rFonts w:ascii="Calibri" w:hAnsi="Calibri" w:cs="Tahoma"/>
          <w:b/>
          <w:i w:val="0"/>
          <w:sz w:val="16"/>
          <w:szCs w:val="16"/>
          <w:lang w:val="pt-BR"/>
        </w:rPr>
        <w:t xml:space="preserve">     IVAN EVARISTO OLIVER O´</w:t>
      </w:r>
      <w:r w:rsidRPr="00D019AB">
        <w:rPr>
          <w:rFonts w:ascii="Calibri" w:hAnsi="Calibri" w:cs="Tahoma"/>
          <w:b/>
          <w:i w:val="0"/>
          <w:caps/>
          <w:sz w:val="16"/>
          <w:szCs w:val="16"/>
          <w:lang w:val="pt-BR"/>
        </w:rPr>
        <w:t>dowd</w:t>
      </w:r>
    </w:p>
    <w:p w:rsidR="00740159" w:rsidRPr="00D019AB" w:rsidRDefault="00740159" w:rsidP="00037246">
      <w:pPr>
        <w:jc w:val="both"/>
        <w:rPr>
          <w:rFonts w:ascii="Calibri" w:hAnsi="Calibri" w:cs="Tahoma"/>
          <w:i w:val="0"/>
          <w:sz w:val="16"/>
          <w:szCs w:val="16"/>
        </w:rPr>
      </w:pPr>
      <w:r w:rsidRPr="009731F0">
        <w:rPr>
          <w:rFonts w:ascii="Calibri" w:hAnsi="Calibri" w:cs="Tahoma"/>
          <w:b/>
          <w:i w:val="0"/>
          <w:sz w:val="16"/>
          <w:szCs w:val="16"/>
          <w:lang w:val="pt-BR"/>
        </w:rPr>
        <w:t xml:space="preserve">               </w:t>
      </w:r>
      <w:r w:rsidRPr="00D019AB">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D019AB">
        <w:rPr>
          <w:rFonts w:ascii="Calibri" w:hAnsi="Calibri" w:cs="Tahoma"/>
          <w:b/>
          <w:i w:val="0"/>
          <w:sz w:val="16"/>
          <w:szCs w:val="16"/>
        </w:rPr>
        <w:t>“LA CONTRATISTA”</w:t>
      </w:r>
    </w:p>
    <w:p w:rsidR="00740159" w:rsidRPr="00D019AB" w:rsidRDefault="00740159" w:rsidP="00251D9E">
      <w:pPr>
        <w:jc w:val="both"/>
        <w:rPr>
          <w:rFonts w:ascii="Calibri" w:hAnsi="Calibri" w:cs="Tahoma"/>
          <w:b/>
          <w:i w:val="0"/>
          <w:sz w:val="21"/>
          <w:szCs w:val="21"/>
        </w:rPr>
      </w:pPr>
      <w:r w:rsidRPr="00D019AB">
        <w:rPr>
          <w:rFonts w:ascii="Calibri" w:hAnsi="Calibri" w:cs="Tahoma"/>
          <w:i w:val="0"/>
          <w:sz w:val="21"/>
          <w:szCs w:val="21"/>
        </w:rPr>
        <w:t xml:space="preserve">                       </w:t>
      </w:r>
    </w:p>
    <w:p w:rsidR="00740159" w:rsidRDefault="00740159" w:rsidP="00DD7D5D">
      <w:pPr>
        <w:spacing w:line="360" w:lineRule="auto"/>
        <w:jc w:val="both"/>
        <w:rPr>
          <w:rFonts w:ascii="Calibri" w:hAnsi="Calibri" w:cs="Tahoma"/>
          <w:i w:val="0"/>
          <w:sz w:val="22"/>
          <w:szCs w:val="22"/>
        </w:rPr>
      </w:pPr>
    </w:p>
    <w:p w:rsidR="00740159" w:rsidRPr="00B243E0" w:rsidRDefault="00740159" w:rsidP="00F55BDD">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40159" w:rsidRPr="00B243E0" w:rsidRDefault="00740159" w:rsidP="00F55BDD">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40159" w:rsidRPr="00EB1BD3" w:rsidRDefault="00740159" w:rsidP="00F55BDD">
      <w:pPr>
        <w:jc w:val="both"/>
        <w:outlineLvl w:val="0"/>
        <w:rPr>
          <w:rFonts w:ascii="Palatino Linotype" w:hAnsi="Palatino Linotype" w:cs="Palatino Linotype"/>
          <w:b/>
          <w:bCs/>
          <w:sz w:val="18"/>
          <w:szCs w:val="18"/>
        </w:rPr>
      </w:pPr>
    </w:p>
    <w:sectPr w:rsidR="00740159" w:rsidRPr="00EB1BD3"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93B" w:rsidRDefault="001C193B">
      <w:r>
        <w:separator/>
      </w:r>
    </w:p>
  </w:endnote>
  <w:endnote w:type="continuationSeparator" w:id="1">
    <w:p w:rsidR="001C193B" w:rsidRDefault="001C1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59" w:rsidRDefault="00356098" w:rsidP="00A03D15">
    <w:pPr>
      <w:pStyle w:val="Piedepgina"/>
      <w:framePr w:wrap="around" w:vAnchor="text" w:hAnchor="margin" w:xAlign="center" w:y="1"/>
      <w:rPr>
        <w:rStyle w:val="Nmerodepgina"/>
      </w:rPr>
    </w:pPr>
    <w:r>
      <w:rPr>
        <w:rStyle w:val="Nmerodepgina"/>
      </w:rPr>
      <w:fldChar w:fldCharType="begin"/>
    </w:r>
    <w:r w:rsidR="00740159">
      <w:rPr>
        <w:rStyle w:val="Nmerodepgina"/>
      </w:rPr>
      <w:instrText xml:space="preserve">PAGE  </w:instrText>
    </w:r>
    <w:r>
      <w:rPr>
        <w:rStyle w:val="Nmerodepgina"/>
      </w:rPr>
      <w:fldChar w:fldCharType="end"/>
    </w:r>
  </w:p>
  <w:p w:rsidR="00740159" w:rsidRDefault="0074015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59" w:rsidRDefault="00356098" w:rsidP="00A03D15">
    <w:pPr>
      <w:pStyle w:val="Piedepgina"/>
      <w:framePr w:wrap="around" w:vAnchor="text" w:hAnchor="margin" w:xAlign="center" w:y="1"/>
      <w:rPr>
        <w:rStyle w:val="Nmerodepgina"/>
      </w:rPr>
    </w:pPr>
    <w:r>
      <w:rPr>
        <w:rStyle w:val="Nmerodepgina"/>
      </w:rPr>
      <w:fldChar w:fldCharType="begin"/>
    </w:r>
    <w:r w:rsidR="00740159">
      <w:rPr>
        <w:rStyle w:val="Nmerodepgina"/>
      </w:rPr>
      <w:instrText xml:space="preserve">PAGE  </w:instrText>
    </w:r>
    <w:r>
      <w:rPr>
        <w:rStyle w:val="Nmerodepgina"/>
      </w:rPr>
      <w:fldChar w:fldCharType="separate"/>
    </w:r>
    <w:r w:rsidR="004B3237">
      <w:rPr>
        <w:rStyle w:val="Nmerodepgina"/>
        <w:noProof/>
      </w:rPr>
      <w:t>8</w:t>
    </w:r>
    <w:r>
      <w:rPr>
        <w:rStyle w:val="Nmerodepgina"/>
      </w:rPr>
      <w:fldChar w:fldCharType="end"/>
    </w:r>
  </w:p>
  <w:p w:rsidR="00740159" w:rsidRDefault="00356098">
    <w:pPr>
      <w:pStyle w:val="Piedepgina"/>
      <w:ind w:right="360"/>
    </w:pPr>
    <w:r w:rsidRPr="00356098">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740159" w:rsidRDefault="00740159" w:rsidP="00B7462E"/>
              <w:p w:rsidR="00740159" w:rsidRPr="00B7462E" w:rsidRDefault="00740159"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93B" w:rsidRDefault="001C193B">
      <w:r>
        <w:separator/>
      </w:r>
    </w:p>
  </w:footnote>
  <w:footnote w:type="continuationSeparator" w:id="1">
    <w:p w:rsidR="001C193B" w:rsidRDefault="001C1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2FF"/>
    <w:rsid w:val="00011D46"/>
    <w:rsid w:val="0001754D"/>
    <w:rsid w:val="000230D8"/>
    <w:rsid w:val="000315CC"/>
    <w:rsid w:val="000339EA"/>
    <w:rsid w:val="00037246"/>
    <w:rsid w:val="00050F34"/>
    <w:rsid w:val="00053A3F"/>
    <w:rsid w:val="00080D79"/>
    <w:rsid w:val="0008659D"/>
    <w:rsid w:val="000A01E3"/>
    <w:rsid w:val="000B254E"/>
    <w:rsid w:val="000B6C00"/>
    <w:rsid w:val="000C38C3"/>
    <w:rsid w:val="000D2D55"/>
    <w:rsid w:val="000E6E27"/>
    <w:rsid w:val="000F10BA"/>
    <w:rsid w:val="000F285B"/>
    <w:rsid w:val="000F475B"/>
    <w:rsid w:val="00101A83"/>
    <w:rsid w:val="00103FB8"/>
    <w:rsid w:val="00112163"/>
    <w:rsid w:val="00112316"/>
    <w:rsid w:val="00112871"/>
    <w:rsid w:val="001139E4"/>
    <w:rsid w:val="001160F1"/>
    <w:rsid w:val="00117250"/>
    <w:rsid w:val="00122760"/>
    <w:rsid w:val="0013735A"/>
    <w:rsid w:val="0015107A"/>
    <w:rsid w:val="0015735A"/>
    <w:rsid w:val="00165698"/>
    <w:rsid w:val="00165C53"/>
    <w:rsid w:val="00173F24"/>
    <w:rsid w:val="00175ADA"/>
    <w:rsid w:val="001804E4"/>
    <w:rsid w:val="001928C2"/>
    <w:rsid w:val="001A04EA"/>
    <w:rsid w:val="001A090B"/>
    <w:rsid w:val="001A3F8F"/>
    <w:rsid w:val="001A6B1C"/>
    <w:rsid w:val="001A6CD9"/>
    <w:rsid w:val="001B2AE5"/>
    <w:rsid w:val="001C07AB"/>
    <w:rsid w:val="001C13D8"/>
    <w:rsid w:val="001C193B"/>
    <w:rsid w:val="001C4B4A"/>
    <w:rsid w:val="001D2D73"/>
    <w:rsid w:val="001E0643"/>
    <w:rsid w:val="001E2672"/>
    <w:rsid w:val="001E4E58"/>
    <w:rsid w:val="001E5420"/>
    <w:rsid w:val="001F2C14"/>
    <w:rsid w:val="001F54BA"/>
    <w:rsid w:val="001F6AC7"/>
    <w:rsid w:val="00213DC8"/>
    <w:rsid w:val="00220025"/>
    <w:rsid w:val="00223B36"/>
    <w:rsid w:val="00232E61"/>
    <w:rsid w:val="00245C3A"/>
    <w:rsid w:val="00247142"/>
    <w:rsid w:val="00251D9E"/>
    <w:rsid w:val="00256789"/>
    <w:rsid w:val="00260AE9"/>
    <w:rsid w:val="00261979"/>
    <w:rsid w:val="002806B4"/>
    <w:rsid w:val="00281038"/>
    <w:rsid w:val="00283FCB"/>
    <w:rsid w:val="00287FB7"/>
    <w:rsid w:val="00292104"/>
    <w:rsid w:val="00294772"/>
    <w:rsid w:val="00294B5F"/>
    <w:rsid w:val="00297F06"/>
    <w:rsid w:val="002A2B8E"/>
    <w:rsid w:val="002A3894"/>
    <w:rsid w:val="002A3C0E"/>
    <w:rsid w:val="002B51D7"/>
    <w:rsid w:val="002C57E1"/>
    <w:rsid w:val="002D104C"/>
    <w:rsid w:val="002D4ED7"/>
    <w:rsid w:val="002E21B6"/>
    <w:rsid w:val="002E3B99"/>
    <w:rsid w:val="002E6523"/>
    <w:rsid w:val="002F7520"/>
    <w:rsid w:val="003128D1"/>
    <w:rsid w:val="00316E0A"/>
    <w:rsid w:val="0031751E"/>
    <w:rsid w:val="003221F0"/>
    <w:rsid w:val="00324CAF"/>
    <w:rsid w:val="00326767"/>
    <w:rsid w:val="0032716D"/>
    <w:rsid w:val="00327942"/>
    <w:rsid w:val="003301B5"/>
    <w:rsid w:val="00346F75"/>
    <w:rsid w:val="00347D09"/>
    <w:rsid w:val="00351165"/>
    <w:rsid w:val="00352E5A"/>
    <w:rsid w:val="003545C0"/>
    <w:rsid w:val="00356098"/>
    <w:rsid w:val="00367AA1"/>
    <w:rsid w:val="00372F88"/>
    <w:rsid w:val="00374913"/>
    <w:rsid w:val="00374D17"/>
    <w:rsid w:val="0038008E"/>
    <w:rsid w:val="00380DFB"/>
    <w:rsid w:val="00390462"/>
    <w:rsid w:val="00390FA3"/>
    <w:rsid w:val="0039656A"/>
    <w:rsid w:val="003A318F"/>
    <w:rsid w:val="003B590F"/>
    <w:rsid w:val="003B7542"/>
    <w:rsid w:val="003D2FE2"/>
    <w:rsid w:val="003D3071"/>
    <w:rsid w:val="003D455F"/>
    <w:rsid w:val="003D63F5"/>
    <w:rsid w:val="003E4EBB"/>
    <w:rsid w:val="003E6A85"/>
    <w:rsid w:val="003F22E2"/>
    <w:rsid w:val="003F299B"/>
    <w:rsid w:val="003F58BA"/>
    <w:rsid w:val="0040549D"/>
    <w:rsid w:val="004059BC"/>
    <w:rsid w:val="004126E8"/>
    <w:rsid w:val="004138FA"/>
    <w:rsid w:val="00415970"/>
    <w:rsid w:val="00415FE4"/>
    <w:rsid w:val="0042794E"/>
    <w:rsid w:val="00432A3F"/>
    <w:rsid w:val="004540DD"/>
    <w:rsid w:val="004630D6"/>
    <w:rsid w:val="004648A1"/>
    <w:rsid w:val="00472F73"/>
    <w:rsid w:val="004770D0"/>
    <w:rsid w:val="00486662"/>
    <w:rsid w:val="004870A9"/>
    <w:rsid w:val="00490F33"/>
    <w:rsid w:val="0049248F"/>
    <w:rsid w:val="004937F0"/>
    <w:rsid w:val="004B3237"/>
    <w:rsid w:val="004D5E4E"/>
    <w:rsid w:val="004E1AD3"/>
    <w:rsid w:val="004E3900"/>
    <w:rsid w:val="004E637D"/>
    <w:rsid w:val="004F3C52"/>
    <w:rsid w:val="004F3DBF"/>
    <w:rsid w:val="00502328"/>
    <w:rsid w:val="00502F4A"/>
    <w:rsid w:val="005057BC"/>
    <w:rsid w:val="00511401"/>
    <w:rsid w:val="00512E90"/>
    <w:rsid w:val="00527151"/>
    <w:rsid w:val="005354CB"/>
    <w:rsid w:val="00535880"/>
    <w:rsid w:val="00537CC3"/>
    <w:rsid w:val="005411FE"/>
    <w:rsid w:val="005471BA"/>
    <w:rsid w:val="00553E81"/>
    <w:rsid w:val="00554738"/>
    <w:rsid w:val="00556AC3"/>
    <w:rsid w:val="00557585"/>
    <w:rsid w:val="005605E1"/>
    <w:rsid w:val="005724EA"/>
    <w:rsid w:val="005C1B01"/>
    <w:rsid w:val="005C6E24"/>
    <w:rsid w:val="005D0670"/>
    <w:rsid w:val="005D38A0"/>
    <w:rsid w:val="005D4029"/>
    <w:rsid w:val="005E2025"/>
    <w:rsid w:val="005E56C2"/>
    <w:rsid w:val="005F0498"/>
    <w:rsid w:val="005F04D8"/>
    <w:rsid w:val="005F3D5B"/>
    <w:rsid w:val="00600E41"/>
    <w:rsid w:val="006025C3"/>
    <w:rsid w:val="006225B1"/>
    <w:rsid w:val="006446C4"/>
    <w:rsid w:val="00651829"/>
    <w:rsid w:val="00651835"/>
    <w:rsid w:val="00653ECC"/>
    <w:rsid w:val="00661A36"/>
    <w:rsid w:val="00662660"/>
    <w:rsid w:val="00675C7B"/>
    <w:rsid w:val="00693E58"/>
    <w:rsid w:val="00695591"/>
    <w:rsid w:val="00695C51"/>
    <w:rsid w:val="00697044"/>
    <w:rsid w:val="006A17E1"/>
    <w:rsid w:val="006A6C5F"/>
    <w:rsid w:val="006B7AA4"/>
    <w:rsid w:val="006D28FD"/>
    <w:rsid w:val="006E42C2"/>
    <w:rsid w:val="006F1957"/>
    <w:rsid w:val="006F31FD"/>
    <w:rsid w:val="006F3202"/>
    <w:rsid w:val="006F7A73"/>
    <w:rsid w:val="00702320"/>
    <w:rsid w:val="00707F6B"/>
    <w:rsid w:val="007206A8"/>
    <w:rsid w:val="00733033"/>
    <w:rsid w:val="00735757"/>
    <w:rsid w:val="00740159"/>
    <w:rsid w:val="00746E08"/>
    <w:rsid w:val="00764CB2"/>
    <w:rsid w:val="00771E43"/>
    <w:rsid w:val="007768F7"/>
    <w:rsid w:val="007852C6"/>
    <w:rsid w:val="00795AE5"/>
    <w:rsid w:val="007A7D4D"/>
    <w:rsid w:val="007B076B"/>
    <w:rsid w:val="007C379A"/>
    <w:rsid w:val="007D0CBE"/>
    <w:rsid w:val="007E4E2A"/>
    <w:rsid w:val="007E5229"/>
    <w:rsid w:val="007E5FD3"/>
    <w:rsid w:val="00802000"/>
    <w:rsid w:val="00810F17"/>
    <w:rsid w:val="0081114D"/>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200C"/>
    <w:rsid w:val="008A23D2"/>
    <w:rsid w:val="008A6E53"/>
    <w:rsid w:val="008B0F23"/>
    <w:rsid w:val="008B2C8E"/>
    <w:rsid w:val="008B3C44"/>
    <w:rsid w:val="008B52D0"/>
    <w:rsid w:val="008D502F"/>
    <w:rsid w:val="008D6340"/>
    <w:rsid w:val="008E0BDB"/>
    <w:rsid w:val="008E6E83"/>
    <w:rsid w:val="00904CF9"/>
    <w:rsid w:val="009057BE"/>
    <w:rsid w:val="0092176C"/>
    <w:rsid w:val="0092203A"/>
    <w:rsid w:val="00925329"/>
    <w:rsid w:val="00927934"/>
    <w:rsid w:val="0094024C"/>
    <w:rsid w:val="009428B6"/>
    <w:rsid w:val="009528FB"/>
    <w:rsid w:val="0097308C"/>
    <w:rsid w:val="009731F0"/>
    <w:rsid w:val="00973470"/>
    <w:rsid w:val="009845BC"/>
    <w:rsid w:val="00996B85"/>
    <w:rsid w:val="009A3855"/>
    <w:rsid w:val="009A4876"/>
    <w:rsid w:val="009B34DB"/>
    <w:rsid w:val="009B47FA"/>
    <w:rsid w:val="009B57DE"/>
    <w:rsid w:val="009B7D1E"/>
    <w:rsid w:val="009C0722"/>
    <w:rsid w:val="009C1E6C"/>
    <w:rsid w:val="009C6F1F"/>
    <w:rsid w:val="009D2709"/>
    <w:rsid w:val="009D46BF"/>
    <w:rsid w:val="009E37FE"/>
    <w:rsid w:val="009E5AB6"/>
    <w:rsid w:val="009F4E96"/>
    <w:rsid w:val="009F745C"/>
    <w:rsid w:val="00A03D15"/>
    <w:rsid w:val="00A04BB0"/>
    <w:rsid w:val="00A0577A"/>
    <w:rsid w:val="00A16679"/>
    <w:rsid w:val="00A16E6D"/>
    <w:rsid w:val="00A25370"/>
    <w:rsid w:val="00A25436"/>
    <w:rsid w:val="00A255D5"/>
    <w:rsid w:val="00A348A3"/>
    <w:rsid w:val="00A40764"/>
    <w:rsid w:val="00A423D3"/>
    <w:rsid w:val="00A427C1"/>
    <w:rsid w:val="00A51190"/>
    <w:rsid w:val="00A52B56"/>
    <w:rsid w:val="00A537C7"/>
    <w:rsid w:val="00A54A27"/>
    <w:rsid w:val="00A62466"/>
    <w:rsid w:val="00A66EC7"/>
    <w:rsid w:val="00A80107"/>
    <w:rsid w:val="00A9149C"/>
    <w:rsid w:val="00A95137"/>
    <w:rsid w:val="00AA60BA"/>
    <w:rsid w:val="00AB562F"/>
    <w:rsid w:val="00AD2DA0"/>
    <w:rsid w:val="00AF7ED4"/>
    <w:rsid w:val="00B00704"/>
    <w:rsid w:val="00B06BE5"/>
    <w:rsid w:val="00B23882"/>
    <w:rsid w:val="00B24151"/>
    <w:rsid w:val="00B243E0"/>
    <w:rsid w:val="00B25E73"/>
    <w:rsid w:val="00B3107A"/>
    <w:rsid w:val="00B35961"/>
    <w:rsid w:val="00B368DE"/>
    <w:rsid w:val="00B36D54"/>
    <w:rsid w:val="00B42A70"/>
    <w:rsid w:val="00B43295"/>
    <w:rsid w:val="00B502D1"/>
    <w:rsid w:val="00B5197A"/>
    <w:rsid w:val="00B55E1B"/>
    <w:rsid w:val="00B61BB1"/>
    <w:rsid w:val="00B62C13"/>
    <w:rsid w:val="00B7344D"/>
    <w:rsid w:val="00B73811"/>
    <w:rsid w:val="00B7462E"/>
    <w:rsid w:val="00B753D8"/>
    <w:rsid w:val="00B77C98"/>
    <w:rsid w:val="00B85D81"/>
    <w:rsid w:val="00B8757D"/>
    <w:rsid w:val="00B95997"/>
    <w:rsid w:val="00BA38CC"/>
    <w:rsid w:val="00BC226D"/>
    <w:rsid w:val="00BC604B"/>
    <w:rsid w:val="00BC6C59"/>
    <w:rsid w:val="00BD151B"/>
    <w:rsid w:val="00BD7B4E"/>
    <w:rsid w:val="00C00264"/>
    <w:rsid w:val="00C17CA1"/>
    <w:rsid w:val="00C330A5"/>
    <w:rsid w:val="00C35545"/>
    <w:rsid w:val="00C425E7"/>
    <w:rsid w:val="00C50FB2"/>
    <w:rsid w:val="00C51298"/>
    <w:rsid w:val="00C51ED5"/>
    <w:rsid w:val="00C63133"/>
    <w:rsid w:val="00C848BF"/>
    <w:rsid w:val="00C87D89"/>
    <w:rsid w:val="00C949E6"/>
    <w:rsid w:val="00CA2DCC"/>
    <w:rsid w:val="00CA4C6A"/>
    <w:rsid w:val="00CB2194"/>
    <w:rsid w:val="00CB5B74"/>
    <w:rsid w:val="00CB6401"/>
    <w:rsid w:val="00CB71EE"/>
    <w:rsid w:val="00CC4675"/>
    <w:rsid w:val="00CC6606"/>
    <w:rsid w:val="00CC76EA"/>
    <w:rsid w:val="00CD1BCE"/>
    <w:rsid w:val="00CD3559"/>
    <w:rsid w:val="00CE69E0"/>
    <w:rsid w:val="00CF1A72"/>
    <w:rsid w:val="00CF4881"/>
    <w:rsid w:val="00CF72C6"/>
    <w:rsid w:val="00D0079C"/>
    <w:rsid w:val="00D00BD2"/>
    <w:rsid w:val="00D00F35"/>
    <w:rsid w:val="00D01721"/>
    <w:rsid w:val="00D017FE"/>
    <w:rsid w:val="00D019AB"/>
    <w:rsid w:val="00D04C89"/>
    <w:rsid w:val="00D13E53"/>
    <w:rsid w:val="00D266BB"/>
    <w:rsid w:val="00D35678"/>
    <w:rsid w:val="00D36C19"/>
    <w:rsid w:val="00D379B6"/>
    <w:rsid w:val="00D40384"/>
    <w:rsid w:val="00D51F58"/>
    <w:rsid w:val="00D53C58"/>
    <w:rsid w:val="00D629ED"/>
    <w:rsid w:val="00D6484C"/>
    <w:rsid w:val="00D67CBB"/>
    <w:rsid w:val="00D81D93"/>
    <w:rsid w:val="00D8796C"/>
    <w:rsid w:val="00D92030"/>
    <w:rsid w:val="00D92D3A"/>
    <w:rsid w:val="00DA3908"/>
    <w:rsid w:val="00DB2BF6"/>
    <w:rsid w:val="00DB3D3C"/>
    <w:rsid w:val="00DB466C"/>
    <w:rsid w:val="00DC34BA"/>
    <w:rsid w:val="00DC5227"/>
    <w:rsid w:val="00DC72D6"/>
    <w:rsid w:val="00DD28C3"/>
    <w:rsid w:val="00DD4CB0"/>
    <w:rsid w:val="00DD63F7"/>
    <w:rsid w:val="00DD7CA1"/>
    <w:rsid w:val="00DD7D5D"/>
    <w:rsid w:val="00DE6EF7"/>
    <w:rsid w:val="00E01143"/>
    <w:rsid w:val="00E14043"/>
    <w:rsid w:val="00E237B0"/>
    <w:rsid w:val="00E36DBD"/>
    <w:rsid w:val="00E47E9C"/>
    <w:rsid w:val="00E51905"/>
    <w:rsid w:val="00E53841"/>
    <w:rsid w:val="00E54202"/>
    <w:rsid w:val="00E544D8"/>
    <w:rsid w:val="00E603FC"/>
    <w:rsid w:val="00E620F5"/>
    <w:rsid w:val="00E65824"/>
    <w:rsid w:val="00E91CA8"/>
    <w:rsid w:val="00E92156"/>
    <w:rsid w:val="00E94E3F"/>
    <w:rsid w:val="00EA0167"/>
    <w:rsid w:val="00EB003D"/>
    <w:rsid w:val="00EB1AF6"/>
    <w:rsid w:val="00EB1BD3"/>
    <w:rsid w:val="00EB4608"/>
    <w:rsid w:val="00EB5668"/>
    <w:rsid w:val="00EE5825"/>
    <w:rsid w:val="00EF038A"/>
    <w:rsid w:val="00EF05B7"/>
    <w:rsid w:val="00EF14D9"/>
    <w:rsid w:val="00EF26D1"/>
    <w:rsid w:val="00EF5D1C"/>
    <w:rsid w:val="00EF6FC5"/>
    <w:rsid w:val="00F0345A"/>
    <w:rsid w:val="00F066B3"/>
    <w:rsid w:val="00F2599A"/>
    <w:rsid w:val="00F311A6"/>
    <w:rsid w:val="00F47EE3"/>
    <w:rsid w:val="00F55BDD"/>
    <w:rsid w:val="00F6163E"/>
    <w:rsid w:val="00F61CBA"/>
    <w:rsid w:val="00F636AD"/>
    <w:rsid w:val="00F831B4"/>
    <w:rsid w:val="00F945E4"/>
    <w:rsid w:val="00FA1F4F"/>
    <w:rsid w:val="00FA4320"/>
    <w:rsid w:val="00FB06B0"/>
    <w:rsid w:val="00FC33FD"/>
    <w:rsid w:val="00FC4E8D"/>
    <w:rsid w:val="00FD31C7"/>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0743E"/>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60743E"/>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60743E"/>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60743E"/>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60743E"/>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60743E"/>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43E"/>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60743E"/>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968314433">
      <w:marLeft w:val="0"/>
      <w:marRight w:val="0"/>
      <w:marTop w:val="0"/>
      <w:marBottom w:val="0"/>
      <w:divBdr>
        <w:top w:val="none" w:sz="0" w:space="0" w:color="auto"/>
        <w:left w:val="none" w:sz="0" w:space="0" w:color="auto"/>
        <w:bottom w:val="none" w:sz="0" w:space="0" w:color="auto"/>
        <w:right w:val="none" w:sz="0" w:space="0" w:color="auto"/>
      </w:divBdr>
    </w:div>
    <w:div w:id="968314434">
      <w:marLeft w:val="0"/>
      <w:marRight w:val="0"/>
      <w:marTop w:val="0"/>
      <w:marBottom w:val="0"/>
      <w:divBdr>
        <w:top w:val="none" w:sz="0" w:space="0" w:color="auto"/>
        <w:left w:val="none" w:sz="0" w:space="0" w:color="auto"/>
        <w:bottom w:val="none" w:sz="0" w:space="0" w:color="auto"/>
        <w:right w:val="none" w:sz="0" w:space="0" w:color="auto"/>
      </w:divBdr>
    </w:div>
    <w:div w:id="968314435">
      <w:marLeft w:val="0"/>
      <w:marRight w:val="0"/>
      <w:marTop w:val="0"/>
      <w:marBottom w:val="0"/>
      <w:divBdr>
        <w:top w:val="none" w:sz="0" w:space="0" w:color="auto"/>
        <w:left w:val="none" w:sz="0" w:space="0" w:color="auto"/>
        <w:bottom w:val="none" w:sz="0" w:space="0" w:color="auto"/>
        <w:right w:val="none" w:sz="0" w:space="0" w:color="auto"/>
      </w:divBdr>
    </w:div>
    <w:div w:id="968314436">
      <w:marLeft w:val="0"/>
      <w:marRight w:val="0"/>
      <w:marTop w:val="0"/>
      <w:marBottom w:val="0"/>
      <w:divBdr>
        <w:top w:val="none" w:sz="0" w:space="0" w:color="auto"/>
        <w:left w:val="none" w:sz="0" w:space="0" w:color="auto"/>
        <w:bottom w:val="none" w:sz="0" w:space="0" w:color="auto"/>
        <w:right w:val="none" w:sz="0" w:space="0" w:color="auto"/>
      </w:divBdr>
    </w:div>
    <w:div w:id="9683144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3949</Words>
  <Characters>21720</Characters>
  <Application>Microsoft Office Word</Application>
  <DocSecurity>0</DocSecurity>
  <Lines>181</Lines>
  <Paragraphs>51</Paragraphs>
  <ScaleCrop>false</ScaleCrop>
  <Company>mag</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2016-11-28T19:58:00Z</cp:lastPrinted>
  <dcterms:created xsi:type="dcterms:W3CDTF">2016-12-16T15:54:00Z</dcterms:created>
  <dcterms:modified xsi:type="dcterms:W3CDTF">2017-05-18T20:57:00Z</dcterms:modified>
</cp:coreProperties>
</file>