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35" w:rsidRPr="00B243E0" w:rsidRDefault="00EB6A35" w:rsidP="0007638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B6A35" w:rsidRPr="0007638B" w:rsidRDefault="00EB6A35" w:rsidP="007458F2">
      <w:pPr>
        <w:pStyle w:val="Sinespaciado"/>
        <w:jc w:val="center"/>
        <w:rPr>
          <w:rFonts w:ascii="Bookman Old Style" w:hAnsi="Bookman Old Style"/>
          <w:b/>
          <w:sz w:val="20"/>
          <w:szCs w:val="20"/>
        </w:rPr>
      </w:pPr>
    </w:p>
    <w:p w:rsidR="00EB6A35" w:rsidRPr="009268E3" w:rsidRDefault="00EB6A35" w:rsidP="007458F2">
      <w:pPr>
        <w:pStyle w:val="Sinespaciado"/>
        <w:jc w:val="center"/>
        <w:rPr>
          <w:rFonts w:ascii="Bookman Old Style" w:hAnsi="Bookman Old Style"/>
          <w:b/>
          <w:sz w:val="20"/>
          <w:szCs w:val="20"/>
          <w:lang w:val="es-ES_tradnl"/>
        </w:rPr>
      </w:pPr>
      <w:r w:rsidRPr="009268E3">
        <w:rPr>
          <w:rFonts w:ascii="Bookman Old Style" w:hAnsi="Bookman Old Style"/>
          <w:b/>
          <w:sz w:val="20"/>
          <w:szCs w:val="20"/>
          <w:lang w:val="es-ES_tradnl"/>
        </w:rPr>
        <w:t>CONTRATO MAG-No. 113/2016</w:t>
      </w:r>
    </w:p>
    <w:p w:rsidR="00EB6A35" w:rsidRPr="009268E3" w:rsidRDefault="00EB6A35" w:rsidP="0050541D">
      <w:pPr>
        <w:pStyle w:val="Head21"/>
        <w:suppressAutoHyphens w:val="0"/>
        <w:rPr>
          <w:rFonts w:ascii="Bookman Old Style" w:hAnsi="Bookman Old Style" w:cs="Arial"/>
          <w:color w:val="000000"/>
          <w:sz w:val="20"/>
          <w:lang w:val="es-ES"/>
        </w:rPr>
      </w:pPr>
      <w:r w:rsidRPr="009268E3">
        <w:rPr>
          <w:rFonts w:ascii="Bookman Old Style" w:hAnsi="Bookman Old Style" w:cs="Arial"/>
          <w:sz w:val="20"/>
          <w:lang w:val="es-ES"/>
        </w:rPr>
        <w:t xml:space="preserve">“SUMINISTRO DE CINCO MIL OCHOCIENTOS TREINTA Y TRES LITROS DE FUNGICIDA SISTÉMICO </w:t>
      </w:r>
      <w:r w:rsidRPr="009268E3">
        <w:rPr>
          <w:rFonts w:ascii="Bookman Old Style" w:hAnsi="Bookman Old Style" w:cs="Arial"/>
          <w:sz w:val="20"/>
        </w:rPr>
        <w:t>PARA EL CONTROL DE LA ROYA DEL CAFÉ</w:t>
      </w:r>
      <w:r w:rsidRPr="009268E3">
        <w:rPr>
          <w:rFonts w:ascii="Bookman Old Style" w:hAnsi="Bookman Old Style" w:cs="Arial"/>
          <w:color w:val="000000"/>
          <w:sz w:val="20"/>
          <w:lang w:val="es-ES"/>
        </w:rPr>
        <w:t>”</w:t>
      </w:r>
    </w:p>
    <w:p w:rsidR="00EB6A35" w:rsidRPr="0050541D" w:rsidRDefault="00EB6A35" w:rsidP="004512CA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EB6A35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255AC0" w:rsidRPr="00255AC0">
        <w:rPr>
          <w:rFonts w:ascii="Bookman Old Style" w:hAnsi="Bookman Old Style" w:cs="Calibri"/>
          <w:sz w:val="20"/>
          <w:szCs w:val="20"/>
          <w:highlight w:val="black"/>
          <w:lang w:val="es-MX"/>
        </w:rPr>
        <w:t>*****************************************************************************************************************************************************************************************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noProof/>
          <w:sz w:val="20"/>
          <w:szCs w:val="20"/>
        </w:rPr>
        <w:t>ROBERTO ALFREDO AVILES FLORES</w:t>
      </w:r>
      <w:r w:rsidRPr="00447EC0">
        <w:rPr>
          <w:rFonts w:ascii="Bookman Old Style" w:hAnsi="Bookman Old Style"/>
          <w:sz w:val="20"/>
          <w:szCs w:val="20"/>
        </w:rPr>
        <w:t xml:space="preserve">, </w:t>
      </w:r>
      <w:r w:rsidR="00255AC0" w:rsidRPr="00255AC0">
        <w:rPr>
          <w:rFonts w:ascii="Bookman Old Style" w:hAnsi="Bookman Old Style"/>
          <w:sz w:val="20"/>
          <w:szCs w:val="20"/>
          <w:highlight w:val="black"/>
          <w:lang w:val="es-ES_tradnl"/>
        </w:rPr>
        <w:t>******************************************************************************************************************************************************************************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actuando en mi carácter de </w:t>
      </w:r>
      <w:r>
        <w:rPr>
          <w:rFonts w:ascii="Bookman Old Style" w:hAnsi="Bookman Old Style"/>
          <w:sz w:val="20"/>
          <w:szCs w:val="20"/>
          <w:lang w:val="es-ES_tradnl"/>
        </w:rPr>
        <w:t>Vicepre</w:t>
      </w:r>
      <w:r w:rsidRPr="00447EC0">
        <w:rPr>
          <w:rFonts w:ascii="Bookman Old Style" w:hAnsi="Bookman Old Style"/>
          <w:sz w:val="20"/>
          <w:szCs w:val="20"/>
          <w:lang w:val="es-ES_tradnl"/>
        </w:rPr>
        <w:t>sidente de la Junta Directiva y Representante Legal 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“AGROQUIMICA INTERNACIONAL, SOCIEDAD ANONIMA DE CAPITAL VARIABLE” </w:t>
      </w:r>
      <w:r w:rsidRPr="00447EC0">
        <w:rPr>
          <w:rFonts w:ascii="Bookman Old Style" w:hAnsi="Bookman Old Style"/>
          <w:sz w:val="20"/>
          <w:szCs w:val="20"/>
          <w:lang w:val="es-ES_tradnl"/>
        </w:rPr>
        <w:t>que puede abreviarse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b/>
          <w:sz w:val="20"/>
          <w:szCs w:val="20"/>
        </w:rPr>
        <w:t xml:space="preserve">AGROQUIMICA INTERNACIONAL, </w:t>
      </w:r>
      <w:r w:rsidRPr="00447EC0">
        <w:rPr>
          <w:rFonts w:ascii="Bookman Old Style" w:hAnsi="Bookman Old Style"/>
          <w:b/>
          <w:sz w:val="20"/>
          <w:szCs w:val="20"/>
        </w:rPr>
        <w:t>S.A.</w:t>
      </w:r>
      <w:r>
        <w:rPr>
          <w:rFonts w:ascii="Bookman Old Style" w:hAnsi="Bookman Old Style"/>
          <w:b/>
          <w:sz w:val="20"/>
          <w:szCs w:val="20"/>
        </w:rPr>
        <w:t xml:space="preserve"> DE C.V.” o AGRINTER,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Sociedad del domicilio de </w:t>
      </w:r>
      <w:r>
        <w:rPr>
          <w:rFonts w:ascii="Bookman Old Style" w:hAnsi="Bookman Old Style"/>
          <w:sz w:val="20"/>
          <w:szCs w:val="20"/>
          <w:lang w:val="es-ES_tradnl"/>
        </w:rPr>
        <w:t>Antiguo Cuscatlán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, departamento de </w:t>
      </w:r>
      <w:r>
        <w:rPr>
          <w:rFonts w:ascii="Bookman Old Style" w:hAnsi="Bookman Old Style"/>
          <w:sz w:val="20"/>
          <w:szCs w:val="20"/>
          <w:lang w:val="es-ES_tradnl"/>
        </w:rPr>
        <w:t>La Libertad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con Número de Identificación Tributaria cero seiscientos catorce-</w:t>
      </w:r>
      <w:r>
        <w:rPr>
          <w:rFonts w:ascii="Bookman Old Style" w:hAnsi="Bookman Old Style"/>
          <w:sz w:val="20"/>
          <w:szCs w:val="20"/>
          <w:lang w:val="es-ES_tradnl"/>
        </w:rPr>
        <w:t>cero treinta y un mil ciento noventa y nueve- ciento uno-siete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5D7E01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5D7E01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447EC0">
        <w:rPr>
          <w:rFonts w:ascii="Bookman Old Style" w:hAnsi="Bookman Old Style"/>
          <w:b/>
          <w:bCs/>
          <w:sz w:val="20"/>
          <w:szCs w:val="20"/>
        </w:rPr>
        <w:t>MANIFESTAMOS</w:t>
      </w:r>
      <w:r w:rsidRPr="00447EC0">
        <w:rPr>
          <w:rFonts w:ascii="Bookman Old Style" w:hAnsi="Bookman Old Style"/>
          <w:sz w:val="20"/>
          <w:szCs w:val="20"/>
        </w:rPr>
        <w:t>: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447EC0">
        <w:rPr>
          <w:rFonts w:ascii="Bookman Old Style" w:hAnsi="Bookman Old Style"/>
          <w:sz w:val="20"/>
          <w:szCs w:val="20"/>
        </w:rPr>
        <w:t xml:space="preserve">del proceso de </w:t>
      </w:r>
      <w:r w:rsidRPr="00447EC0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447EC0">
        <w:rPr>
          <w:rFonts w:ascii="Bookman Old Style" w:hAnsi="Bookman Old Style"/>
          <w:sz w:val="20"/>
          <w:szCs w:val="20"/>
        </w:rPr>
        <w:t>,</w:t>
      </w:r>
      <w:r w:rsidRPr="00447EC0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denominado: “</w:t>
      </w:r>
      <w:r w:rsidRPr="00447EC0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I.- OBJETO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El objeto del presente contrato es el 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 xml:space="preserve">“SUMINISTRO DE </w:t>
      </w:r>
      <w:r>
        <w:rPr>
          <w:rFonts w:ascii="Bookman Old Style" w:hAnsi="Bookman Old Style"/>
          <w:b/>
          <w:sz w:val="20"/>
          <w:szCs w:val="20"/>
          <w:lang w:val="es-ES_tradnl"/>
        </w:rPr>
        <w:t xml:space="preserve">CINCO MIL OCHOCIENTOS TREINTA Y TRES LITROS DE 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FUNGICIDA</w:t>
      </w:r>
      <w:r>
        <w:rPr>
          <w:rFonts w:ascii="Bookman Old Style" w:hAnsi="Bookman Old Style"/>
          <w:b/>
          <w:sz w:val="20"/>
          <w:szCs w:val="20"/>
          <w:lang w:val="es-ES_tradnl"/>
        </w:rPr>
        <w:t xml:space="preserve"> SISTÉMICO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 xml:space="preserve"> PARA EL CONTROL DE LA ROYA DEL CAFÉ”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según el siguiente detalle:</w:t>
      </w:r>
    </w:p>
    <w:p w:rsidR="00EB6A35" w:rsidRPr="00447EC0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B6A35" w:rsidRPr="00447EC0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B6A35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9064" w:type="dxa"/>
        <w:jc w:val="center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41"/>
        <w:gridCol w:w="1078"/>
        <w:gridCol w:w="1073"/>
        <w:gridCol w:w="1107"/>
        <w:gridCol w:w="1865"/>
      </w:tblGrid>
      <w:tr w:rsidR="00EB6A35" w:rsidRPr="00A41F1A" w:rsidTr="009268E3">
        <w:trPr>
          <w:trHeight w:val="705"/>
          <w:jc w:val="center"/>
        </w:trPr>
        <w:tc>
          <w:tcPr>
            <w:tcW w:w="3941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DESCRIPCIÓN DEL PRODUCTO</w:t>
            </w:r>
          </w:p>
        </w:tc>
        <w:tc>
          <w:tcPr>
            <w:tcW w:w="1078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1073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107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PRECIO UNITARIO (US$) </w:t>
            </w: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lastRenderedPageBreak/>
              <w:t>EXENTO DE IVA</w:t>
            </w:r>
          </w:p>
        </w:tc>
        <w:tc>
          <w:tcPr>
            <w:tcW w:w="1865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lastRenderedPageBreak/>
              <w:t>MONTO TOTAL (US$) EXENTO DE IVA</w:t>
            </w:r>
          </w:p>
        </w:tc>
      </w:tr>
      <w:tr w:rsidR="00EB6A35" w:rsidRPr="00A41F1A" w:rsidTr="009268E3">
        <w:trPr>
          <w:trHeight w:val="360"/>
          <w:jc w:val="center"/>
        </w:trPr>
        <w:tc>
          <w:tcPr>
            <w:tcW w:w="3941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FUNGICIDA </w:t>
            </w:r>
            <w:r w:rsidRPr="009268E3">
              <w:rPr>
                <w:rFonts w:ascii="Palatino Linotype" w:hAnsi="Palatino Linotype" w:cs="Arial"/>
                <w:sz w:val="16"/>
                <w:szCs w:val="16"/>
              </w:rPr>
              <w:t>SISTÉMICO C</w:t>
            </w:r>
            <w:r w:rsidRPr="009268E3">
              <w:rPr>
                <w:rFonts w:ascii="Palatino Linotype" w:hAnsi="Palatino Linotype" w:cs="Arial"/>
                <w:color w:val="000000"/>
                <w:sz w:val="16"/>
                <w:szCs w:val="16"/>
              </w:rPr>
              <w:t>APORAL 25 DC, MARCA BAYER.</w:t>
            </w:r>
          </w:p>
        </w:tc>
        <w:tc>
          <w:tcPr>
            <w:tcW w:w="1078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color w:val="000000"/>
                <w:sz w:val="16"/>
                <w:szCs w:val="16"/>
              </w:rPr>
              <w:t>LITRO</w:t>
            </w:r>
          </w:p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color w:val="000000"/>
                <w:sz w:val="16"/>
                <w:szCs w:val="16"/>
              </w:rPr>
              <w:t>5,833</w:t>
            </w:r>
          </w:p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Cs/>
                <w:sz w:val="16"/>
                <w:szCs w:val="16"/>
              </w:rPr>
              <w:t>34.00</w:t>
            </w:r>
          </w:p>
          <w:p w:rsidR="00EB6A35" w:rsidRPr="009268E3" w:rsidRDefault="00EB6A35" w:rsidP="005D033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:rsidR="00EB6A35" w:rsidRPr="009268E3" w:rsidRDefault="00EB6A35" w:rsidP="005D033F">
            <w:pPr>
              <w:jc w:val="right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 w:rsidRPr="009268E3">
              <w:rPr>
                <w:rFonts w:ascii="Palatino Linotype" w:hAnsi="Palatino Linotype" w:cs="Arial"/>
                <w:bCs/>
                <w:sz w:val="16"/>
                <w:szCs w:val="16"/>
              </w:rPr>
              <w:t>198,322.00</w:t>
            </w:r>
          </w:p>
        </w:tc>
      </w:tr>
    </w:tbl>
    <w:p w:rsidR="00EB6A35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B6A35" w:rsidRPr="00447EC0" w:rsidRDefault="00EB6A35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447EC0">
        <w:rPr>
          <w:rFonts w:ascii="Bookman Old Style" w:hAnsi="Bookman Old Style"/>
          <w:sz w:val="20"/>
          <w:szCs w:val="20"/>
          <w:lang w:val="es-ES_tradnl"/>
        </w:rPr>
        <w:t>. E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l precio total </w:t>
      </w:r>
      <w:r w:rsidRPr="0050541D">
        <w:rPr>
          <w:rFonts w:ascii="Bookman Old Style" w:hAnsi="Bookman Old Style"/>
          <w:sz w:val="20"/>
          <w:szCs w:val="20"/>
          <w:lang w:val="es-SV"/>
        </w:rPr>
        <w:t xml:space="preserve">del presente contrato es por la cantidad de </w:t>
      </w:r>
      <w:r w:rsidRPr="0050541D">
        <w:rPr>
          <w:rFonts w:ascii="Bookman Old Style" w:hAnsi="Bookman Old Style" w:cs="Arial"/>
          <w:b/>
          <w:sz w:val="20"/>
          <w:szCs w:val="20"/>
          <w:lang w:val="es-ES_tradnl"/>
        </w:rPr>
        <w:t>CIENTO NOVENTA Y OCHO MIL TRESCIENTOS VEINTIDÓS DÓLARES DE LOS ESTADOS UNIDOS DE AMÉRICA (US$</w:t>
      </w:r>
      <w:r w:rsidRPr="0050541D">
        <w:rPr>
          <w:rFonts w:ascii="Bookman Old Style" w:hAnsi="Bookman Old Style" w:cs="Arial"/>
          <w:b/>
          <w:bCs/>
          <w:sz w:val="20"/>
          <w:szCs w:val="20"/>
        </w:rPr>
        <w:t>198,322.00</w:t>
      </w:r>
      <w:r w:rsidRPr="0050541D">
        <w:rPr>
          <w:rFonts w:ascii="Bookman Old Style" w:hAnsi="Bookman Old Style" w:cs="Arial"/>
          <w:b/>
          <w:sz w:val="20"/>
          <w:szCs w:val="20"/>
        </w:rPr>
        <w:t>)</w:t>
      </w:r>
      <w:r w:rsidRPr="0050541D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el cual se encuentra exento del Impuesto a la Transferencia de Bienes Muebles y a la Prestación de Servicios (IVA), en virtud de las </w:t>
      </w:r>
      <w:r w:rsidRPr="0050541D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Disposiciones Especiales y Transitorias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cinco de septiembre de dos mil dieciséis; los bienes objeto del presente contrato </w:t>
      </w:r>
      <w:r w:rsidRPr="002E2403">
        <w:rPr>
          <w:rFonts w:ascii="Bookman Old Style" w:hAnsi="Bookman Old Style" w:cs="Arial"/>
          <w:sz w:val="20"/>
          <w:szCs w:val="20"/>
          <w:lang w:val="es-ES_tradnl"/>
        </w:rPr>
        <w:t>serán suministrados por EL CONTRATISTA a EL MAG en un plazo máximo de quince días calendario; dicho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plazo será contado a partir de la fecha establecida en la orden de pedido emitida por el administrador del contrato. La recepción se efectuará de conformidad con lo ofertado y 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lastRenderedPageBreak/>
        <w:t xml:space="preserve">lo establecido en el artículo ciento veintiuno de la LACAP. Los bienes objeto del presente 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SUMINISTRO DE FUNGICIDAS SISTÉMICOS PARA EL CONTROL DE LA 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>La recepción se efectuará de conformidad con lo ofertado y a lo establecido en el artículo ciento veintiuno de la Ley de Adquisiciones y Contrataciones de 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la cláusula I de este contrato, a través de fondos de COOPERACIÓN FANTEL RENOVACIÓN PARQUE CAFETALERO, PROYECTO 91008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5D7E01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5D7E01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</w:t>
      </w:r>
      <w:r w:rsidRPr="00447EC0">
        <w:rPr>
          <w:rFonts w:ascii="Bookman Old Style" w:hAnsi="Bookman Old Style"/>
          <w:sz w:val="20"/>
          <w:szCs w:val="20"/>
        </w:rPr>
        <w:lastRenderedPageBreak/>
        <w:t xml:space="preserve">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en un plazo no mayor de diez días hábiles contados a partir de la fecha en que reciba la copia de contrato debidamente legalizado, una garantía de cumplimiento de contrato, por un monto de </w:t>
      </w:r>
      <w:r w:rsidRPr="00987A24">
        <w:rPr>
          <w:rFonts w:ascii="Bookman Old Style" w:hAnsi="Bookman Old Style" w:cs="Arial"/>
          <w:b/>
          <w:sz w:val="20"/>
          <w:szCs w:val="20"/>
          <w:lang w:val="es-ES_tradnl"/>
        </w:rPr>
        <w:t>DIECINUEVE MIL OCHOCIENTOS TREINTA Y DOS DÓLARES CON VEINTE CENTAVOS DE DÓLAR DE LOS ESTADOS UNIDOS DE AMÉRICA  (US$19,832.20</w:t>
      </w:r>
      <w:r w:rsidRPr="00987A24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987A24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987A24">
        <w:rPr>
          <w:rFonts w:ascii="Bookman Old Style" w:hAnsi="Bookman Old Style" w:cs="Arial"/>
          <w:sz w:val="20"/>
          <w:szCs w:val="20"/>
          <w:lang w:val="es-ES_tradnl"/>
        </w:rPr>
        <w:t xml:space="preserve"> equivalente al diez por ciento del monto del contrato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987A24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CIENTO SESENTA Y SIETE </w:t>
      </w:r>
      <w:r w:rsidRPr="00987A24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contados a partir de la fecha de suscripción del presente contrato, </w:t>
      </w:r>
      <w:r w:rsidRPr="00987A24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 de conformidad con lo establecido en las bases de licitación y en el Art. 35 de la LACAP. Si no se presentare tal garantía en el plazo establecido, se tendrá por caducado el presente contrato y se entenderá que “</w: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987A24">
        <w:rPr>
          <w:rFonts w:ascii="Bookman Old Style" w:hAnsi="Bookman Old Style"/>
          <w:sz w:val="20"/>
          <w:szCs w:val="20"/>
          <w:lang w:val="es-ES_tradnl"/>
        </w:rPr>
        <w:t>, para reclamar los daños y perjuicios resultantes.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5D7E01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5D7E01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5D7E01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5D7E01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</w:t>
      </w:r>
      <w:r w:rsidRPr="00447EC0">
        <w:rPr>
          <w:rFonts w:ascii="Bookman Old Style" w:hAnsi="Bookman Old Style"/>
          <w:sz w:val="20"/>
          <w:szCs w:val="20"/>
        </w:rPr>
        <w:lastRenderedPageBreak/>
        <w:t>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5D7E01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5D7E01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integrante del presente contrato los siguientes 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SUMINISTRO DE FUNGICIDAS SISTÉMICOS PARA EL CONTROL DE LA 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5D7E01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la ejecución de este contrato, serán válidas solamente cuando sean hechas por escrito a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>en las oficinas de CENTA-CAFÉ, ubicadas en kilómetro 33½ Carretera a Santa Ana, y a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50541D">
        <w:rPr>
          <w:rFonts w:ascii="Bookman Old Style" w:hAnsi="Bookman Old Style" w:cs="Arial"/>
          <w:sz w:val="20"/>
          <w:szCs w:val="20"/>
          <w:lang w:val="es-MX"/>
        </w:rPr>
        <w:t>y a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50541D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50541D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50541D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="00255AC0" w:rsidRPr="00255AC0">
        <w:rPr>
          <w:rFonts w:ascii="Bookman Old Style" w:hAnsi="Bookman Old Style" w:cs="Arial"/>
          <w:sz w:val="20"/>
          <w:szCs w:val="20"/>
          <w:highlight w:val="black"/>
          <w:lang w:val="es-ES_tradnl"/>
        </w:rPr>
        <w:t>**************************************************************************************************************************************************************************************</w:t>
      </w:r>
      <w:r w:rsidRPr="0050541D">
        <w:rPr>
          <w:rFonts w:ascii="Bookman Old Style" w:hAnsi="Bookman Old Style"/>
          <w:sz w:val="20"/>
          <w:szCs w:val="20"/>
          <w:lang w:val="es-ES_tradnl"/>
        </w:rPr>
        <w:t xml:space="preserve"> Así nos expresamos los otorgantes, quienes enterados y conscientes de los términos y efectos legales del presente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contrato, por convenir así a los intereses de nuestros representados, ratificamos su contenido, en fe de lo cual firmamos, en la ciudad de San Salvador, a los dieciséis días del mes de septiembre de </w:t>
      </w:r>
      <w:r w:rsidR="005D7E01" w:rsidRPr="00447EC0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5D7E01" w:rsidRPr="00447EC0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5D7E01" w:rsidRPr="00447EC0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EB6A35" w:rsidRPr="00447EC0" w:rsidRDefault="00EB6A35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EB6A35" w:rsidRPr="003D16E5" w:rsidRDefault="00EB6A3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B6A35" w:rsidRPr="003D16E5" w:rsidRDefault="00EB6A3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B6A35" w:rsidRDefault="00EB6A3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B6A35" w:rsidRDefault="00EB6A3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B6A35" w:rsidRPr="003D16E5" w:rsidRDefault="00EB6A35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EB6A35" w:rsidRPr="0050541D" w:rsidRDefault="00EB6A35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pt-BR"/>
        </w:rPr>
      </w:pP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</w:r>
      <w:r w:rsidRPr="0050541D">
        <w:rPr>
          <w:rFonts w:ascii="Bookman Old Style" w:hAnsi="Bookman Old Style" w:cs="Tahoma"/>
          <w:sz w:val="14"/>
          <w:szCs w:val="14"/>
          <w:lang w:val="pt-BR"/>
        </w:rPr>
        <w:softHyphen/>
        <w:t xml:space="preserve">   </w:t>
      </w:r>
      <w:r w:rsidRPr="0050541D">
        <w:rPr>
          <w:rFonts w:ascii="Bookman Old Style" w:hAnsi="Bookman Old Style" w:cs="Calibri"/>
          <w:sz w:val="14"/>
          <w:szCs w:val="14"/>
          <w:lang w:val="pt-BR"/>
        </w:rPr>
        <w:t>________________________________________________</w:t>
      </w:r>
      <w:r w:rsidRPr="0050541D">
        <w:rPr>
          <w:rFonts w:ascii="Bookman Old Style" w:hAnsi="Bookman Old Style" w:cs="Calibri"/>
          <w:sz w:val="14"/>
          <w:szCs w:val="14"/>
          <w:lang w:val="pt-BR"/>
        </w:rPr>
        <w:tab/>
        <w:t xml:space="preserve">                                      ____________________________________________</w:t>
      </w:r>
      <w:r w:rsidRPr="0050541D">
        <w:rPr>
          <w:rFonts w:ascii="Bookman Old Style" w:hAnsi="Bookman Old Style" w:cs="Calibri"/>
          <w:sz w:val="14"/>
          <w:szCs w:val="14"/>
          <w:lang w:val="pt-BR"/>
        </w:rPr>
        <w:tab/>
        <w:t xml:space="preserve">   </w:t>
      </w:r>
    </w:p>
    <w:p w:rsidR="00EB6A35" w:rsidRPr="0050541D" w:rsidRDefault="00EB6A35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pt-BR"/>
        </w:rPr>
      </w:pPr>
      <w:r w:rsidRPr="0050541D">
        <w:rPr>
          <w:rFonts w:ascii="Bookman Old Style" w:hAnsi="Bookman Old Style" w:cs="Calibri"/>
          <w:sz w:val="14"/>
          <w:szCs w:val="14"/>
          <w:lang w:val="pt-BR"/>
        </w:rPr>
        <w:t xml:space="preserve">                  </w:t>
      </w:r>
      <w:r w:rsidRPr="0050541D">
        <w:rPr>
          <w:rFonts w:ascii="Bookman Old Style" w:hAnsi="Bookman Old Style" w:cs="Calibri"/>
          <w:b/>
          <w:sz w:val="14"/>
          <w:szCs w:val="14"/>
          <w:lang w:val="pt-BR"/>
        </w:rPr>
        <w:t xml:space="preserve">WALTER ULISES MENJÍVAR DÍAZ                       </w:t>
      </w:r>
      <w:r w:rsidRPr="0050541D">
        <w:rPr>
          <w:rFonts w:ascii="Bookman Old Style" w:hAnsi="Bookman Old Style" w:cs="Calibri"/>
          <w:b/>
          <w:sz w:val="14"/>
          <w:szCs w:val="14"/>
          <w:lang w:val="pt-BR"/>
        </w:rPr>
        <w:tab/>
        <w:t xml:space="preserve">            ROBERTO ALFREDO AVILES FLORES</w:t>
      </w:r>
    </w:p>
    <w:p w:rsidR="00EB6A35" w:rsidRPr="00364B40" w:rsidRDefault="00EB6A35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50541D">
        <w:rPr>
          <w:rFonts w:ascii="Bookman Old Style" w:hAnsi="Bookman Old Style" w:cs="Calibri"/>
          <w:b/>
          <w:sz w:val="14"/>
          <w:szCs w:val="14"/>
          <w:lang w:val="pt-BR"/>
        </w:rPr>
        <w:t xml:space="preserve">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 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EB6A35" w:rsidRPr="00364B40" w:rsidRDefault="00EB6A35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EB6A35" w:rsidRDefault="00EB6A3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EB6A35" w:rsidRDefault="00EB6A3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EB6A35" w:rsidRDefault="00EB6A3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EB6A35" w:rsidRPr="00B243E0" w:rsidRDefault="00EB6A35" w:rsidP="0007638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EB6A35" w:rsidRPr="00B243E0" w:rsidRDefault="00EB6A35" w:rsidP="0007638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EB6A35" w:rsidRPr="004A0416" w:rsidRDefault="00EB6A35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</w:rPr>
      </w:pPr>
    </w:p>
    <w:sectPr w:rsidR="00EB6A35" w:rsidRPr="004A0416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33" w:rsidRDefault="00466433" w:rsidP="009C0237">
      <w:r>
        <w:separator/>
      </w:r>
    </w:p>
  </w:endnote>
  <w:endnote w:type="continuationSeparator" w:id="1">
    <w:p w:rsidR="00466433" w:rsidRDefault="00466433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35" w:rsidRDefault="005D7E01">
    <w:pPr>
      <w:pStyle w:val="Piedepgina"/>
      <w:jc w:val="center"/>
    </w:pPr>
    <w:fldSimple w:instr="PAGE   \* MERGEFORMAT">
      <w:r w:rsidR="00255AC0">
        <w:rPr>
          <w:noProof/>
        </w:rPr>
        <w:t>4</w:t>
      </w:r>
    </w:fldSimple>
  </w:p>
  <w:p w:rsidR="00EB6A35" w:rsidRDefault="00EB6A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33" w:rsidRDefault="00466433" w:rsidP="009C0237">
      <w:r>
        <w:separator/>
      </w:r>
    </w:p>
  </w:footnote>
  <w:footnote w:type="continuationSeparator" w:id="1">
    <w:p w:rsidR="00466433" w:rsidRDefault="00466433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9A0"/>
    <w:rsid w:val="00006D29"/>
    <w:rsid w:val="00015E08"/>
    <w:rsid w:val="000341DE"/>
    <w:rsid w:val="00037E60"/>
    <w:rsid w:val="00042238"/>
    <w:rsid w:val="000739D8"/>
    <w:rsid w:val="000754DB"/>
    <w:rsid w:val="0007638B"/>
    <w:rsid w:val="0008501E"/>
    <w:rsid w:val="00095DAA"/>
    <w:rsid w:val="000B5BD4"/>
    <w:rsid w:val="000B679E"/>
    <w:rsid w:val="000C3851"/>
    <w:rsid w:val="000D43C5"/>
    <w:rsid w:val="001023EE"/>
    <w:rsid w:val="00121E4A"/>
    <w:rsid w:val="00125F25"/>
    <w:rsid w:val="001439B3"/>
    <w:rsid w:val="00146F31"/>
    <w:rsid w:val="0015396A"/>
    <w:rsid w:val="00162F00"/>
    <w:rsid w:val="001641A3"/>
    <w:rsid w:val="00165DD3"/>
    <w:rsid w:val="0017494D"/>
    <w:rsid w:val="00180E98"/>
    <w:rsid w:val="001904DA"/>
    <w:rsid w:val="0019472B"/>
    <w:rsid w:val="00197ABD"/>
    <w:rsid w:val="001A0DEF"/>
    <w:rsid w:val="001A7657"/>
    <w:rsid w:val="001C3118"/>
    <w:rsid w:val="001E0803"/>
    <w:rsid w:val="001F5FEE"/>
    <w:rsid w:val="00204193"/>
    <w:rsid w:val="002048A9"/>
    <w:rsid w:val="00205575"/>
    <w:rsid w:val="002145C3"/>
    <w:rsid w:val="0021664C"/>
    <w:rsid w:val="00224657"/>
    <w:rsid w:val="00254BDA"/>
    <w:rsid w:val="00255AC0"/>
    <w:rsid w:val="00264D34"/>
    <w:rsid w:val="00267282"/>
    <w:rsid w:val="002862CF"/>
    <w:rsid w:val="00294C4D"/>
    <w:rsid w:val="002A5BC2"/>
    <w:rsid w:val="002C6B2B"/>
    <w:rsid w:val="002D18A0"/>
    <w:rsid w:val="002E2403"/>
    <w:rsid w:val="002F1FF6"/>
    <w:rsid w:val="003102B7"/>
    <w:rsid w:val="0031557C"/>
    <w:rsid w:val="00334109"/>
    <w:rsid w:val="00342A42"/>
    <w:rsid w:val="00353B4A"/>
    <w:rsid w:val="00364B40"/>
    <w:rsid w:val="00373FFB"/>
    <w:rsid w:val="003751F3"/>
    <w:rsid w:val="003813A5"/>
    <w:rsid w:val="00381C08"/>
    <w:rsid w:val="00391995"/>
    <w:rsid w:val="003B0BD9"/>
    <w:rsid w:val="003D16E5"/>
    <w:rsid w:val="003D18BF"/>
    <w:rsid w:val="003E4305"/>
    <w:rsid w:val="00405E45"/>
    <w:rsid w:val="004313D7"/>
    <w:rsid w:val="00435C6C"/>
    <w:rsid w:val="00444260"/>
    <w:rsid w:val="00445739"/>
    <w:rsid w:val="0044586A"/>
    <w:rsid w:val="00447EC0"/>
    <w:rsid w:val="004512CA"/>
    <w:rsid w:val="00466433"/>
    <w:rsid w:val="00470E18"/>
    <w:rsid w:val="00484464"/>
    <w:rsid w:val="00487C6F"/>
    <w:rsid w:val="004925CD"/>
    <w:rsid w:val="00492E41"/>
    <w:rsid w:val="00495A43"/>
    <w:rsid w:val="004A0416"/>
    <w:rsid w:val="004C6B53"/>
    <w:rsid w:val="0050541D"/>
    <w:rsid w:val="00516718"/>
    <w:rsid w:val="005249C7"/>
    <w:rsid w:val="0052684B"/>
    <w:rsid w:val="00532003"/>
    <w:rsid w:val="00532BB4"/>
    <w:rsid w:val="005710BD"/>
    <w:rsid w:val="0057189C"/>
    <w:rsid w:val="00575F82"/>
    <w:rsid w:val="00583A21"/>
    <w:rsid w:val="005852BE"/>
    <w:rsid w:val="00586954"/>
    <w:rsid w:val="005A34E3"/>
    <w:rsid w:val="005A375E"/>
    <w:rsid w:val="005C4333"/>
    <w:rsid w:val="005D033F"/>
    <w:rsid w:val="005D2D4F"/>
    <w:rsid w:val="005D7E01"/>
    <w:rsid w:val="005F325B"/>
    <w:rsid w:val="005F4DBF"/>
    <w:rsid w:val="00626407"/>
    <w:rsid w:val="00637D5E"/>
    <w:rsid w:val="006569A2"/>
    <w:rsid w:val="00663F25"/>
    <w:rsid w:val="006A7E4A"/>
    <w:rsid w:val="006A7F07"/>
    <w:rsid w:val="006B5DB4"/>
    <w:rsid w:val="006D0F86"/>
    <w:rsid w:val="006E2E99"/>
    <w:rsid w:val="00704B00"/>
    <w:rsid w:val="007344FB"/>
    <w:rsid w:val="007458F2"/>
    <w:rsid w:val="00751EE6"/>
    <w:rsid w:val="007917B9"/>
    <w:rsid w:val="00794AAE"/>
    <w:rsid w:val="007A000E"/>
    <w:rsid w:val="007A0DDC"/>
    <w:rsid w:val="007A5E02"/>
    <w:rsid w:val="007A6B9D"/>
    <w:rsid w:val="007C44E0"/>
    <w:rsid w:val="007E35D7"/>
    <w:rsid w:val="008011E0"/>
    <w:rsid w:val="008068FC"/>
    <w:rsid w:val="008678DF"/>
    <w:rsid w:val="008749E2"/>
    <w:rsid w:val="008B5FC7"/>
    <w:rsid w:val="008B683D"/>
    <w:rsid w:val="008E7BE1"/>
    <w:rsid w:val="00901E23"/>
    <w:rsid w:val="009025B9"/>
    <w:rsid w:val="009268E3"/>
    <w:rsid w:val="00932848"/>
    <w:rsid w:val="009337BD"/>
    <w:rsid w:val="0094711C"/>
    <w:rsid w:val="0096621B"/>
    <w:rsid w:val="0097515E"/>
    <w:rsid w:val="00975BCC"/>
    <w:rsid w:val="00987A24"/>
    <w:rsid w:val="00991FE4"/>
    <w:rsid w:val="009B526D"/>
    <w:rsid w:val="009C0237"/>
    <w:rsid w:val="009F6ECD"/>
    <w:rsid w:val="009F7870"/>
    <w:rsid w:val="00A04E4F"/>
    <w:rsid w:val="00A0543E"/>
    <w:rsid w:val="00A10331"/>
    <w:rsid w:val="00A1120A"/>
    <w:rsid w:val="00A21691"/>
    <w:rsid w:val="00A254A2"/>
    <w:rsid w:val="00A27175"/>
    <w:rsid w:val="00A41F1A"/>
    <w:rsid w:val="00A4601D"/>
    <w:rsid w:val="00A4737F"/>
    <w:rsid w:val="00A66712"/>
    <w:rsid w:val="00A95811"/>
    <w:rsid w:val="00AB3B55"/>
    <w:rsid w:val="00AC1204"/>
    <w:rsid w:val="00AC6F04"/>
    <w:rsid w:val="00AD5C92"/>
    <w:rsid w:val="00AF6F26"/>
    <w:rsid w:val="00B02FFE"/>
    <w:rsid w:val="00B243E0"/>
    <w:rsid w:val="00B613BD"/>
    <w:rsid w:val="00B6288C"/>
    <w:rsid w:val="00B7123F"/>
    <w:rsid w:val="00B75D4A"/>
    <w:rsid w:val="00B829FD"/>
    <w:rsid w:val="00B92E0C"/>
    <w:rsid w:val="00BA0AC4"/>
    <w:rsid w:val="00BA6644"/>
    <w:rsid w:val="00C00FB7"/>
    <w:rsid w:val="00C34DA5"/>
    <w:rsid w:val="00C44A5E"/>
    <w:rsid w:val="00C44FE4"/>
    <w:rsid w:val="00C5618A"/>
    <w:rsid w:val="00C66714"/>
    <w:rsid w:val="00CD05F8"/>
    <w:rsid w:val="00CD0966"/>
    <w:rsid w:val="00CD0CFF"/>
    <w:rsid w:val="00CE020D"/>
    <w:rsid w:val="00D0197A"/>
    <w:rsid w:val="00D106B0"/>
    <w:rsid w:val="00D2512A"/>
    <w:rsid w:val="00D34F51"/>
    <w:rsid w:val="00D4308E"/>
    <w:rsid w:val="00D47519"/>
    <w:rsid w:val="00D54874"/>
    <w:rsid w:val="00D62CB6"/>
    <w:rsid w:val="00D73BD9"/>
    <w:rsid w:val="00D96407"/>
    <w:rsid w:val="00D9756B"/>
    <w:rsid w:val="00DA5ECE"/>
    <w:rsid w:val="00DA71A2"/>
    <w:rsid w:val="00DA7EBA"/>
    <w:rsid w:val="00E06991"/>
    <w:rsid w:val="00E11D10"/>
    <w:rsid w:val="00E45C6C"/>
    <w:rsid w:val="00E500D8"/>
    <w:rsid w:val="00E53EF8"/>
    <w:rsid w:val="00E55EC2"/>
    <w:rsid w:val="00E720C4"/>
    <w:rsid w:val="00E74377"/>
    <w:rsid w:val="00E77358"/>
    <w:rsid w:val="00E77E1D"/>
    <w:rsid w:val="00E81609"/>
    <w:rsid w:val="00E87781"/>
    <w:rsid w:val="00E93F52"/>
    <w:rsid w:val="00EB0096"/>
    <w:rsid w:val="00EB2A83"/>
    <w:rsid w:val="00EB6A35"/>
    <w:rsid w:val="00EB6BBF"/>
    <w:rsid w:val="00EC4B84"/>
    <w:rsid w:val="00ED4476"/>
    <w:rsid w:val="00F11DB7"/>
    <w:rsid w:val="00F203A0"/>
    <w:rsid w:val="00F41C76"/>
    <w:rsid w:val="00F54DD6"/>
    <w:rsid w:val="00F54EA5"/>
    <w:rsid w:val="00F62CE0"/>
    <w:rsid w:val="00F81982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Head21">
    <w:name w:val="Head 2.1"/>
    <w:basedOn w:val="Normal"/>
    <w:uiPriority w:val="99"/>
    <w:rsid w:val="0050541D"/>
    <w:pPr>
      <w:suppressAutoHyphens/>
      <w:jc w:val="center"/>
    </w:pPr>
    <w:rPr>
      <w:rFonts w:ascii="Times New Roman Bold" w:hAnsi="Times New Roman Bold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2608</Words>
  <Characters>14350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2016-09-28T14:59:00Z</cp:lastPrinted>
  <dcterms:created xsi:type="dcterms:W3CDTF">2016-11-04T14:33:00Z</dcterms:created>
  <dcterms:modified xsi:type="dcterms:W3CDTF">2017-05-18T16:56:00Z</dcterms:modified>
</cp:coreProperties>
</file>