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4D" w:rsidRDefault="003C594D" w:rsidP="00F477D8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noProof/>
          <w:color w:val="0000FF"/>
          <w:sz w:val="21"/>
          <w:szCs w:val="21"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-404495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 w:val="0"/>
          <w:noProof/>
          <w:color w:val="0000FF"/>
          <w:sz w:val="21"/>
          <w:szCs w:val="21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-404495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94D" w:rsidRDefault="003C594D" w:rsidP="00F477D8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F477D8" w:rsidRDefault="00F477D8" w:rsidP="003C594D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F477D8" w:rsidRDefault="00F477D8" w:rsidP="003C594D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F477D8" w:rsidRDefault="00F477D8" w:rsidP="00F477D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F477D8" w:rsidRDefault="00F477D8" w:rsidP="00F477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955EC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Yo,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ORESTES FREDESMAN ORTEZ ANDRADE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, </w:t>
      </w:r>
      <w:r w:rsidRPr="00F477D8">
        <w:rPr>
          <w:rFonts w:ascii="Arial" w:eastAsiaTheme="minorHAnsi" w:hAnsi="Arial" w:cs="Arial"/>
          <w:i w:val="0"/>
          <w:sz w:val="21"/>
          <w:szCs w:val="21"/>
          <w:highlight w:val="black"/>
          <w:lang w:val="es-SV" w:eastAsia="en-US"/>
        </w:rPr>
        <w:t>xxxxxxxxxxxxxxxxxxxxx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MULTISERVICIOS BURSATILES, S.A.,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276B74" w:rsidRDefault="00276B74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>ADQUISICIÓN DE INSUMOS EN APOYO A LA GANADERÍA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CANTIDAD: SEGÚN ANEXO No. 2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COMISIONES: Bolsa 0.565% ; Puesto 0.235% ambos con IVA incluido sobre el monto negociado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LUGAR DE ENTREGA: SEGÚN ANEXOS Nos. 2 y 3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ENTREGA: SEGÚN ANEXO No. 2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PRECIO UNITARIO: Según anexo No. 2 (no incluye IVA ni comisiones)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PAGO: SEGÚN ANEXO No. 1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OBSERVACIONES: Se pagará por medio de Transferencia directa de la Dirección General de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Tesorería del Ministerio de Hacienda, en la cuenta designada por </w:t>
            </w:r>
            <w:proofErr w:type="spellStart"/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Multiservicios</w:t>
            </w:r>
            <w:proofErr w:type="spellEnd"/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 Bursátiles, S.A. de</w:t>
            </w:r>
          </w:p>
        </w:tc>
      </w:tr>
      <w:tr w:rsidR="00F477D8" w:rsidRPr="00F477D8" w:rsidTr="00F477D8">
        <w:tc>
          <w:tcPr>
            <w:tcW w:w="8978" w:type="dxa"/>
          </w:tcPr>
          <w:p w:rsidR="00F477D8" w:rsidRPr="00F477D8" w:rsidRDefault="00F477D8" w:rsidP="008173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F477D8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C.V., según contrato MAG-No.003/2015</w:t>
            </w:r>
          </w:p>
        </w:tc>
      </w:tr>
    </w:tbl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-Las comisiones del Puesto de Bolsa y canon BOLPROS, S.A serán canceladas en un plazo que no deberá de exceder de 60 días hábiles posteriores a la suscripción del contrato de compraventa y de la presentación de las facturas de consumidor final respectivas.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-El mandante faculta a Multiservicios Bursátiles, S.A., para que pueda firmar contrato (s) de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COMPRA ante BOLPROS, S.A., relacionados a esta orden.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276B74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Puesto de Bolsa en cumplimiento a la cláusula XX del Contrato MAG-No.003/2015 </w:t>
      </w:r>
    </w:p>
    <w:p w:rsidR="00276B74" w:rsidRDefault="00276B74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“CONTRATO DE COMISIÓN PARA REALIZAR OPERACIONES EN EL MERCADO DE PRODUCTOS Y SERVICIOS, PARA EL MINISTERIO DE AGRICULTURA Y GANADERIA DURANTE EL AÑO 2015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”, deberá presentar una garantía de cumplimiento por un monto de: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DOSCIENTOS SESENTA Y SEIS DÓLARES CON CUARENTA Y NUEVE CENTAVOS DE DÓLAR DE LOS ESTADOS UNIDOS DE AMERICA (US$266.49), 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equivalente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al diez por ciento (10%) del valor estimado para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comisiones. Dicha garantía deberá exceder en sesenta días al plazo de vigencia de la presente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Orden de Negociación.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mandante autoriza en forma irrevocable a </w:t>
      </w:r>
      <w:proofErr w:type="spell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</w:t>
      </w:r>
      <w:proofErr w:type="spellEnd"/>
      <w:r w:rsidR="00276B74"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Bursátiles, S.A. para someter a su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nombre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ante la cámara arbitral de BOLPROS, S.A., cualquier diferencia que se dicte sobre el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particular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-El mínimo de oferentes para proceder a la apertura de la rueda de negociación será de tres (3)-El mandante nombra como Administradores de la presente Orden de Negociación a las personasdetalladas en el anexo No. 2, o a quienes los sustituyan en el cargo por cualquier circunstancia</w:t>
      </w: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;serán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funciones de los Administradores de la Orden de Negociación, ser los representantes del</w:t>
      </w:r>
      <w:r w:rsidR="00276B74"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Ministerio en el desarrollo y ejecución de la Orden de Negociación y verificar su estrictocumplimiento.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-Las partes podrán realizar modificaciones a la Orden de Negociación, siempre y cuando, sea </w:t>
      </w:r>
      <w:r w:rsidR="00276B74"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prescrito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, a través de Adenda suscrita con las mismas formalidades de la Orden de Negociación.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 validez de la presente Orden de Negociación es hasta el 31 de diciembre de dos mil quince.</w:t>
      </w: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3C594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-En fe de lo anterior y de común acuerdo, firmamos en señal de aceptación y ratificamos lo antesdescrito, en la Ciudad de Santa Tecla, a los diecisiete días del mes de agosto de dos mil quince.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POR EL MAG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ORESTES FREDESMAN ORTEZ ANDRADE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Ministro de Agricultura y Ganadería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ACEPTADO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276B74" w:rsidRDefault="00276B74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276B74" w:rsidRDefault="00276B74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_______________________________________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NAPOLEÓN ENRIQUE GUTIÉRREZ CÁCERES</w:t>
      </w:r>
    </w:p>
    <w:p w:rsid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Representante Legal</w:t>
      </w:r>
    </w:p>
    <w:p w:rsidR="00F477D8" w:rsidRPr="00F477D8" w:rsidRDefault="00F477D8" w:rsidP="00F477D8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 BURSATILES, S.A.</w:t>
      </w:r>
    </w:p>
    <w:sectPr w:rsidR="00F477D8" w:rsidRPr="00F477D8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7D8"/>
    <w:rsid w:val="00276B74"/>
    <w:rsid w:val="002955EC"/>
    <w:rsid w:val="003C594D"/>
    <w:rsid w:val="00D10326"/>
    <w:rsid w:val="00DD00DE"/>
    <w:rsid w:val="00F4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D8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7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2</cp:revision>
  <dcterms:created xsi:type="dcterms:W3CDTF">2016-03-08T19:31:00Z</dcterms:created>
  <dcterms:modified xsi:type="dcterms:W3CDTF">2016-03-08T20:53:00Z</dcterms:modified>
</cp:coreProperties>
</file>