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09" w:rsidRDefault="00587B09" w:rsidP="00D5704F">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587B09" w:rsidRDefault="00587B09" w:rsidP="00D5704F">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587B09" w:rsidRPr="00587B09" w:rsidRDefault="00587B09" w:rsidP="007935E1">
      <w:pPr>
        <w:autoSpaceDE w:val="0"/>
        <w:autoSpaceDN w:val="0"/>
        <w:adjustRightInd w:val="0"/>
        <w:jc w:val="center"/>
        <w:rPr>
          <w:rFonts w:ascii="Arial" w:hAnsi="Arial" w:cs="Arial"/>
          <w:b/>
          <w:bCs/>
          <w:color w:val="0000FF"/>
          <w:sz w:val="21"/>
          <w:szCs w:val="21"/>
          <w:lang w:eastAsia="es-SV"/>
        </w:rPr>
      </w:pPr>
    </w:p>
    <w:p w:rsidR="00E27D0B" w:rsidRPr="002008D5" w:rsidRDefault="00E27D0B"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24</w:t>
      </w:r>
      <w:r w:rsidRPr="002008D5">
        <w:rPr>
          <w:rFonts w:ascii="Bookman Old Style" w:hAnsi="Bookman Old Style" w:cs="Bookman Old Style"/>
        </w:rPr>
        <w:t>/2015</w:t>
      </w:r>
    </w:p>
    <w:p w:rsidR="00E27D0B" w:rsidRPr="002008D5" w:rsidRDefault="00E27D0B"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E27D0B" w:rsidRPr="002008D5" w:rsidRDefault="00E27D0B" w:rsidP="00613C44">
      <w:pPr>
        <w:spacing w:line="360" w:lineRule="auto"/>
        <w:jc w:val="both"/>
        <w:rPr>
          <w:rFonts w:cs="Times New Roman"/>
          <w:i w:val="0"/>
          <w:iCs w:val="0"/>
          <w:sz w:val="20"/>
          <w:szCs w:val="20"/>
          <w:lang w:val="es-SV"/>
        </w:rPr>
      </w:pPr>
    </w:p>
    <w:p w:rsidR="00587B09" w:rsidRDefault="00E27D0B"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587B09" w:rsidRPr="00587B09">
        <w:rPr>
          <w:b/>
          <w:bCs/>
          <w:i w:val="0"/>
          <w:iCs w:val="0"/>
          <w:sz w:val="20"/>
          <w:szCs w:val="20"/>
          <w:highlight w:val="black"/>
          <w:lang w:val="es-ES_tradnl"/>
        </w:rPr>
        <w:t>xxx</w:t>
      </w:r>
      <w:r w:rsidR="00D5704F">
        <w:rPr>
          <w:b/>
          <w:bCs/>
          <w:i w:val="0"/>
          <w:iCs w:val="0"/>
          <w:sz w:val="20"/>
          <w:szCs w:val="20"/>
          <w:highlight w:val="black"/>
          <w:lang w:val="es-ES_tradnl"/>
        </w:rPr>
        <w:t>xx</w:t>
      </w:r>
      <w:r w:rsidR="00587B09" w:rsidRPr="00587B09">
        <w:rPr>
          <w:b/>
          <w:bCs/>
          <w:i w:val="0"/>
          <w:iCs w:val="0"/>
          <w:sz w:val="20"/>
          <w:szCs w:val="20"/>
          <w:highlight w:val="black"/>
          <w:lang w:val="es-ES_tradnl"/>
        </w:rPr>
        <w:t>xxxxxxxxxxxxxxxxxxxxxxx</w:t>
      </w:r>
    </w:p>
    <w:p w:rsidR="00E27D0B" w:rsidRDefault="00E27D0B"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DORIS ADALINDA GUEVARA DE MATA</w:t>
      </w:r>
      <w:r>
        <w:rPr>
          <w:i w:val="0"/>
          <w:iCs w:val="0"/>
          <w:sz w:val="20"/>
          <w:szCs w:val="20"/>
        </w:rPr>
        <w:t xml:space="preserve">, </w:t>
      </w:r>
      <w:r w:rsidR="00D5704F" w:rsidRPr="00F0544D">
        <w:rPr>
          <w:highlight w:val="black"/>
        </w:rPr>
        <w:t>XXXXXXXXXXXXXXXXX</w:t>
      </w:r>
      <w:r w:rsidR="00D5704F">
        <w:rPr>
          <w:i w:val="0"/>
          <w:iCs w:val="0"/>
          <w:sz w:val="20"/>
          <w:szCs w:val="20"/>
        </w:rPr>
        <w:t xml:space="preserve"> </w:t>
      </w:r>
      <w:r>
        <w:rPr>
          <w:i w:val="0"/>
          <w:iCs w:val="0"/>
          <w:sz w:val="20"/>
          <w:szCs w:val="20"/>
        </w:rPr>
        <w:t xml:space="preserve">quien en el transcurso de este instrumento se denominará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E27D0B" w:rsidRPr="002008D5" w:rsidRDefault="00E27D0B" w:rsidP="00F03DC0">
      <w:pPr>
        <w:spacing w:line="360" w:lineRule="auto"/>
        <w:jc w:val="both"/>
        <w:rPr>
          <w:rFonts w:cs="Times New Roman"/>
          <w:i w:val="0"/>
          <w:iCs w:val="0"/>
          <w:sz w:val="20"/>
          <w:szCs w:val="20"/>
          <w:lang w:val="es-ES_tradnl"/>
        </w:rPr>
      </w:pPr>
    </w:p>
    <w:p w:rsidR="00E27D0B" w:rsidRPr="002008D5" w:rsidRDefault="00E27D0B"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8"/>
        <w:gridCol w:w="1869"/>
        <w:gridCol w:w="2603"/>
      </w:tblGrid>
      <w:tr w:rsidR="00E27D0B" w:rsidRPr="00D871BF">
        <w:trPr>
          <w:trHeight w:val="1104"/>
        </w:trPr>
        <w:tc>
          <w:tcPr>
            <w:tcW w:w="0" w:type="auto"/>
            <w:shd w:val="clear" w:color="auto" w:fill="CCFFCC"/>
            <w:vAlign w:val="center"/>
          </w:tcPr>
          <w:p w:rsidR="00E27D0B" w:rsidRPr="002008D5" w:rsidRDefault="00E27D0B"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E27D0B" w:rsidRPr="002008D5" w:rsidRDefault="00E27D0B"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E27D0B" w:rsidRPr="002008D5" w:rsidRDefault="00E27D0B"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E27D0B" w:rsidRPr="002008D5" w:rsidRDefault="00E27D0B" w:rsidP="002008D5">
            <w:pPr>
              <w:jc w:val="center"/>
              <w:rPr>
                <w:b/>
                <w:bCs/>
                <w:i w:val="0"/>
                <w:iCs w:val="0"/>
                <w:sz w:val="14"/>
                <w:szCs w:val="14"/>
              </w:rPr>
            </w:pPr>
            <w:r w:rsidRPr="002008D5">
              <w:rPr>
                <w:b/>
                <w:bCs/>
                <w:i w:val="0"/>
                <w:iCs w:val="0"/>
                <w:sz w:val="14"/>
                <w:szCs w:val="14"/>
              </w:rPr>
              <w:t>MONTO TOTAL ADJUDICADO (US $)</w:t>
            </w:r>
          </w:p>
        </w:tc>
      </w:tr>
      <w:tr w:rsidR="00E27D0B" w:rsidRPr="00D871BF">
        <w:trPr>
          <w:trHeight w:val="1000"/>
        </w:trPr>
        <w:tc>
          <w:tcPr>
            <w:tcW w:w="0" w:type="auto"/>
            <w:vAlign w:val="center"/>
          </w:tcPr>
          <w:p w:rsidR="00E27D0B" w:rsidRDefault="00E27D0B">
            <w:pPr>
              <w:rPr>
                <w:i w:val="0"/>
                <w:iCs w:val="0"/>
                <w:color w:val="000000"/>
                <w:sz w:val="20"/>
                <w:szCs w:val="20"/>
              </w:rPr>
            </w:pPr>
            <w:r>
              <w:rPr>
                <w:i w:val="0"/>
                <w:iCs w:val="0"/>
                <w:color w:val="000000"/>
                <w:sz w:val="20"/>
                <w:szCs w:val="20"/>
              </w:rPr>
              <w:t>SARCHIMORES:</w:t>
            </w:r>
          </w:p>
          <w:p w:rsidR="00E27D0B" w:rsidRDefault="00E27D0B">
            <w:pPr>
              <w:rPr>
                <w:i w:val="0"/>
                <w:iCs w:val="0"/>
                <w:color w:val="000000"/>
                <w:sz w:val="20"/>
                <w:szCs w:val="20"/>
              </w:rPr>
            </w:pPr>
            <w:r>
              <w:rPr>
                <w:i w:val="0"/>
                <w:iCs w:val="0"/>
                <w:color w:val="000000"/>
                <w:sz w:val="20"/>
                <w:szCs w:val="20"/>
              </w:rPr>
              <w:t>CUSCATLECO</w:t>
            </w:r>
          </w:p>
        </w:tc>
        <w:tc>
          <w:tcPr>
            <w:tcW w:w="0" w:type="auto"/>
            <w:vAlign w:val="center"/>
          </w:tcPr>
          <w:p w:rsidR="00E27D0B" w:rsidRDefault="00E27D0B" w:rsidP="004F417D">
            <w:pPr>
              <w:jc w:val="right"/>
              <w:rPr>
                <w:i w:val="0"/>
                <w:iCs w:val="0"/>
                <w:color w:val="000000"/>
                <w:sz w:val="20"/>
                <w:szCs w:val="20"/>
              </w:rPr>
            </w:pPr>
            <w:r>
              <w:rPr>
                <w:i w:val="0"/>
                <w:iCs w:val="0"/>
                <w:color w:val="000000"/>
                <w:sz w:val="20"/>
                <w:szCs w:val="20"/>
              </w:rPr>
              <w:t>13,000</w:t>
            </w:r>
          </w:p>
        </w:tc>
        <w:tc>
          <w:tcPr>
            <w:tcW w:w="0" w:type="auto"/>
            <w:vAlign w:val="center"/>
          </w:tcPr>
          <w:p w:rsidR="00E27D0B" w:rsidRPr="00F3126E" w:rsidRDefault="00E27D0B"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E27D0B" w:rsidRDefault="00E27D0B" w:rsidP="001E0F06">
            <w:pPr>
              <w:jc w:val="center"/>
              <w:rPr>
                <w:i w:val="0"/>
                <w:iCs w:val="0"/>
                <w:color w:val="000000"/>
                <w:sz w:val="20"/>
                <w:szCs w:val="20"/>
              </w:rPr>
            </w:pPr>
            <w:r>
              <w:rPr>
                <w:i w:val="0"/>
                <w:iCs w:val="0"/>
                <w:color w:val="000000"/>
                <w:sz w:val="20"/>
                <w:szCs w:val="20"/>
              </w:rPr>
              <w:t>$5,200.00</w:t>
            </w:r>
          </w:p>
        </w:tc>
      </w:tr>
      <w:tr w:rsidR="00E27D0B" w:rsidRPr="00D871BF" w:rsidDel="00B70DE1">
        <w:trPr>
          <w:trHeight w:val="1000"/>
        </w:trPr>
        <w:tc>
          <w:tcPr>
            <w:tcW w:w="0" w:type="auto"/>
            <w:vAlign w:val="center"/>
          </w:tcPr>
          <w:p w:rsidR="00E27D0B" w:rsidRPr="003F6DCF" w:rsidRDefault="00E27D0B">
            <w:pPr>
              <w:rPr>
                <w:rFonts w:cs="Times New Roman"/>
                <w:i w:val="0"/>
                <w:iCs w:val="0"/>
                <w:color w:val="000000"/>
                <w:sz w:val="20"/>
                <w:szCs w:val="20"/>
              </w:rPr>
            </w:pPr>
            <w:r>
              <w:rPr>
                <w:i w:val="0"/>
                <w:iCs w:val="0"/>
                <w:color w:val="000000"/>
                <w:sz w:val="20"/>
                <w:szCs w:val="20"/>
              </w:rPr>
              <w:lastRenderedPageBreak/>
              <w:t>TOTAL</w:t>
            </w:r>
          </w:p>
        </w:tc>
        <w:tc>
          <w:tcPr>
            <w:tcW w:w="0" w:type="auto"/>
            <w:vAlign w:val="center"/>
          </w:tcPr>
          <w:p w:rsidR="00E27D0B" w:rsidRPr="00B90C0C" w:rsidRDefault="00E27D0B" w:rsidP="00156B7E">
            <w:pPr>
              <w:jc w:val="right"/>
              <w:rPr>
                <w:rFonts w:cs="Times New Roman"/>
                <w:b/>
                <w:bCs/>
                <w:i w:val="0"/>
                <w:iCs w:val="0"/>
                <w:color w:val="000000"/>
                <w:sz w:val="20"/>
                <w:szCs w:val="20"/>
              </w:rPr>
            </w:pPr>
            <w:r>
              <w:rPr>
                <w:b/>
                <w:bCs/>
                <w:i w:val="0"/>
                <w:iCs w:val="0"/>
                <w:color w:val="000000"/>
                <w:sz w:val="20"/>
                <w:szCs w:val="20"/>
              </w:rPr>
              <w:t>13,000</w:t>
            </w:r>
          </w:p>
        </w:tc>
        <w:tc>
          <w:tcPr>
            <w:tcW w:w="0" w:type="auto"/>
            <w:vAlign w:val="center"/>
          </w:tcPr>
          <w:p w:rsidR="00E27D0B" w:rsidRPr="003F6DCF" w:rsidRDefault="00E27D0B" w:rsidP="00E45208">
            <w:pPr>
              <w:jc w:val="center"/>
              <w:rPr>
                <w:rFonts w:cs="Times New Roman"/>
                <w:i w:val="0"/>
                <w:iCs w:val="0"/>
                <w:color w:val="000000"/>
                <w:sz w:val="20"/>
                <w:szCs w:val="20"/>
              </w:rPr>
            </w:pPr>
          </w:p>
        </w:tc>
        <w:tc>
          <w:tcPr>
            <w:tcW w:w="0" w:type="auto"/>
            <w:vAlign w:val="center"/>
          </w:tcPr>
          <w:p w:rsidR="00E27D0B" w:rsidRPr="00B90C0C" w:rsidRDefault="00E27D0B" w:rsidP="001E0F06">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5,200.00</w:t>
            </w:r>
          </w:p>
        </w:tc>
      </w:tr>
    </w:tbl>
    <w:p w:rsidR="00E27D0B" w:rsidRDefault="00E27D0B" w:rsidP="00613C44">
      <w:pPr>
        <w:spacing w:line="360" w:lineRule="auto"/>
        <w:jc w:val="both"/>
        <w:rPr>
          <w:rFonts w:cs="Times New Roman"/>
          <w:i w:val="0"/>
          <w:iCs w:val="0"/>
          <w:sz w:val="20"/>
          <w:szCs w:val="20"/>
          <w:lang w:val="es-ES_tradnl"/>
        </w:rPr>
      </w:pPr>
    </w:p>
    <w:p w:rsidR="00E27D0B" w:rsidRPr="002008D5" w:rsidRDefault="00E27D0B" w:rsidP="00613C44">
      <w:pPr>
        <w:spacing w:line="360" w:lineRule="auto"/>
        <w:jc w:val="both"/>
        <w:rPr>
          <w:rFonts w:cs="Times New Roman"/>
          <w:i w:val="0"/>
          <w:iCs w:val="0"/>
          <w:sz w:val="20"/>
          <w:szCs w:val="20"/>
          <w:lang w:val="es-ES_tradnl"/>
        </w:rPr>
      </w:pPr>
    </w:p>
    <w:p w:rsidR="00E27D0B" w:rsidRPr="002008D5" w:rsidRDefault="00E27D0B"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CINCO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DOSCIENTOS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5,200.00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41603F">
        <w:rPr>
          <w:rFonts w:ascii="Bookman Old Style" w:hAnsi="Bookman Old Style" w:cs="Bookman Old Style"/>
          <w:b w:val="0"/>
          <w:bCs w:val="0"/>
          <w:sz w:val="20"/>
          <w:szCs w:val="20"/>
        </w:rPr>
        <w:t>“EL CONTRATANTE” deberá hacer el pago de los bienes detallados en la cláusula I, con</w:t>
      </w:r>
      <w:r>
        <w:rPr>
          <w:rFonts w:ascii="Bookman Old Style" w:hAnsi="Bookman Old Style" w:cs="Bookman Old Style"/>
          <w:b w:val="0"/>
          <w:bCs w:val="0"/>
          <w:sz w:val="20"/>
          <w:szCs w:val="20"/>
        </w:rPr>
        <w:t xml:space="preserve"> recursos del Fondo General en la unidad presupuestaria 07 - DESARROLLO RURAL, línea de trabajo</w:t>
      </w:r>
      <w:r w:rsidRPr="0041603F">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01 -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1603F">
        <w:rPr>
          <w:rFonts w:ascii="Bookman Old Style" w:hAnsi="Bookman Old Style" w:cs="Bookman Old Style"/>
          <w:b w:val="0"/>
          <w:bCs w:val="0"/>
          <w:noProof/>
          <w:sz w:val="20"/>
          <w:szCs w:val="20"/>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w:t>
      </w:r>
      <w:r w:rsidRPr="002008D5">
        <w:rPr>
          <w:rFonts w:ascii="Bookman Old Style" w:hAnsi="Bookman Old Style" w:cs="Bookman Old Style"/>
          <w:sz w:val="20"/>
          <w:szCs w:val="20"/>
          <w:lang w:val="es-SV"/>
        </w:rPr>
        <w:lastRenderedPageBreak/>
        <w:t>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81500B"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1500B"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1500B"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81500B"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1500B"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1500B"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QUINIENTOS VEINTE DÓLARES DE LOS ESTADOS UNIDOS DE AMÉRICA (US$520.00)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w:t>
      </w:r>
      <w:r w:rsidRPr="002008D5">
        <w:rPr>
          <w:rFonts w:ascii="Bookman Old Style" w:hAnsi="Bookman Old Style" w:cs="Bookman Old Style"/>
          <w:b w:val="0"/>
          <w:bCs w:val="0"/>
          <w:sz w:val="20"/>
          <w:szCs w:val="20"/>
        </w:rPr>
        <w:lastRenderedPageBreak/>
        <w:t xml:space="preserve">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81500B"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1500B"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1500B"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81500B"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1500B"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1500B"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rPr>
        <w:lastRenderedPageBreak/>
        <w:t xml:space="preserve">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w:t>
      </w:r>
      <w:r w:rsidRPr="002008D5">
        <w:rPr>
          <w:rFonts w:ascii="Bookman Old Style" w:hAnsi="Bookman Old Style" w:cs="Bookman Old Style"/>
          <w:b w:val="0"/>
          <w:bCs w:val="0"/>
          <w:sz w:val="20"/>
          <w:szCs w:val="20"/>
        </w:rPr>
        <w:lastRenderedPageBreak/>
        <w:t xml:space="preserve">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sidR="00D5704F">
        <w:rPr>
          <w:rFonts w:ascii="Bookman Old Style" w:hAnsi="Bookman Old Style" w:cs="Bookman Old Style"/>
          <w:b w:val="0"/>
          <w:bCs w:val="0"/>
          <w:sz w:val="20"/>
          <w:szCs w:val="20"/>
        </w:rPr>
        <w:t xml:space="preserve"> </w:t>
      </w:r>
      <w:r w:rsidR="00D5704F" w:rsidRPr="00F0544D">
        <w:rPr>
          <w:highlight w:val="black"/>
        </w:rPr>
        <w:t>XXXXXXXXXXXXXXXXX</w:t>
      </w:r>
      <w:r>
        <w:rPr>
          <w:rFonts w:ascii="Bookman Old Style" w:hAnsi="Bookman Old Style" w:cs="Bookman Old Style"/>
          <w:b w:val="0"/>
          <w:bCs w:val="0"/>
          <w:sz w:val="20"/>
          <w:szCs w:val="20"/>
        </w:rPr>
        <w:t xml:space="preserve"> a través de ella misma,</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E27D0B" w:rsidRPr="002008D5" w:rsidRDefault="00E27D0B" w:rsidP="00613C44">
      <w:pPr>
        <w:spacing w:line="360" w:lineRule="auto"/>
        <w:jc w:val="both"/>
        <w:rPr>
          <w:rFonts w:cs="Times New Roman"/>
          <w:i w:val="0"/>
          <w:iCs w:val="0"/>
          <w:sz w:val="20"/>
          <w:szCs w:val="20"/>
          <w:lang w:val="es-ES_tradnl"/>
        </w:rPr>
      </w:pPr>
    </w:p>
    <w:p w:rsidR="00E27D0B" w:rsidRDefault="00E27D0B" w:rsidP="00F03DC0">
      <w:pPr>
        <w:spacing w:line="360" w:lineRule="auto"/>
        <w:jc w:val="both"/>
        <w:rPr>
          <w:rFonts w:cs="Times New Roman"/>
          <w:i w:val="0"/>
          <w:iCs w:val="0"/>
          <w:sz w:val="20"/>
          <w:szCs w:val="20"/>
          <w:lang w:val="es-ES_tradnl"/>
        </w:rPr>
      </w:pPr>
    </w:p>
    <w:p w:rsidR="00E27D0B" w:rsidRDefault="00E27D0B" w:rsidP="00F03DC0">
      <w:pPr>
        <w:spacing w:line="360" w:lineRule="auto"/>
        <w:jc w:val="both"/>
        <w:rPr>
          <w:rFonts w:cs="Times New Roman"/>
          <w:i w:val="0"/>
          <w:iCs w:val="0"/>
          <w:sz w:val="20"/>
          <w:szCs w:val="20"/>
          <w:lang w:val="es-ES_tradnl"/>
        </w:rPr>
      </w:pPr>
    </w:p>
    <w:p w:rsidR="00E27D0B" w:rsidRPr="002008D5" w:rsidRDefault="00E27D0B" w:rsidP="002008D5">
      <w:pPr>
        <w:jc w:val="both"/>
        <w:rPr>
          <w:rFonts w:cs="Times New Roman"/>
          <w:i w:val="0"/>
          <w:iCs w:val="0"/>
          <w:sz w:val="20"/>
          <w:szCs w:val="20"/>
        </w:rPr>
      </w:pPr>
    </w:p>
    <w:p w:rsidR="00E27D0B" w:rsidRPr="002008D5" w:rsidRDefault="00E27D0B"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 xml:space="preserve"> </w:t>
      </w:r>
      <w:r w:rsidR="00587B09">
        <w:rPr>
          <w:b/>
          <w:bCs/>
          <w:i w:val="0"/>
          <w:iCs w:val="0"/>
          <w:sz w:val="20"/>
          <w:szCs w:val="20"/>
          <w:lang w:val="pt-BR"/>
        </w:rPr>
        <w:t>Dóris</w:t>
      </w:r>
      <w:r>
        <w:rPr>
          <w:b/>
          <w:bCs/>
          <w:i w:val="0"/>
          <w:iCs w:val="0"/>
          <w:sz w:val="20"/>
          <w:szCs w:val="20"/>
          <w:lang w:val="pt-BR"/>
        </w:rPr>
        <w:t xml:space="preserve"> Adalinda Guevara de Mata</w:t>
      </w:r>
      <w:r w:rsidRPr="002008D5">
        <w:rPr>
          <w:b/>
          <w:bCs/>
          <w:i w:val="0"/>
          <w:iCs w:val="0"/>
          <w:sz w:val="20"/>
          <w:szCs w:val="20"/>
          <w:lang w:val="pt-BR"/>
        </w:rPr>
        <w:t xml:space="preserve"> </w:t>
      </w:r>
    </w:p>
    <w:p w:rsidR="00E27D0B" w:rsidRDefault="00E27D0B"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E27D0B" w:rsidRDefault="00E27D0B" w:rsidP="002008D5">
      <w:pPr>
        <w:jc w:val="both"/>
        <w:rPr>
          <w:rFonts w:cs="Times New Roman"/>
          <w:i w:val="0"/>
          <w:iCs w:val="0"/>
          <w:sz w:val="20"/>
          <w:szCs w:val="20"/>
        </w:rPr>
      </w:pPr>
    </w:p>
    <w:p w:rsidR="00E27D0B" w:rsidRDefault="00E27D0B" w:rsidP="007935E1">
      <w:pPr>
        <w:autoSpaceDE w:val="0"/>
        <w:autoSpaceDN w:val="0"/>
        <w:adjustRightInd w:val="0"/>
        <w:jc w:val="center"/>
        <w:rPr>
          <w:rFonts w:ascii="Calibri" w:hAnsi="Calibri" w:cs="Calibri"/>
          <w:b/>
          <w:bCs/>
          <w:sz w:val="22"/>
          <w:szCs w:val="22"/>
        </w:rPr>
      </w:pPr>
    </w:p>
    <w:sectPr w:rsidR="00E27D0B"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349" w:rsidRDefault="00F70349" w:rsidP="00177B57">
      <w:pPr>
        <w:rPr>
          <w:rFonts w:cs="Times New Roman"/>
        </w:rPr>
      </w:pPr>
      <w:r>
        <w:rPr>
          <w:rFonts w:cs="Times New Roman"/>
        </w:rPr>
        <w:separator/>
      </w:r>
    </w:p>
  </w:endnote>
  <w:endnote w:type="continuationSeparator" w:id="1">
    <w:p w:rsidR="00F70349" w:rsidRDefault="00F70349"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0B" w:rsidRDefault="0081500B" w:rsidP="00A878D5">
    <w:pPr>
      <w:pStyle w:val="Piedepgina"/>
      <w:framePr w:wrap="around" w:vAnchor="text" w:hAnchor="margin" w:xAlign="right" w:y="1"/>
      <w:rPr>
        <w:rStyle w:val="Nmerodepgina"/>
      </w:rPr>
    </w:pPr>
    <w:r>
      <w:rPr>
        <w:rStyle w:val="Nmerodepgina"/>
      </w:rPr>
      <w:fldChar w:fldCharType="begin"/>
    </w:r>
    <w:r w:rsidR="00E27D0B">
      <w:rPr>
        <w:rStyle w:val="Nmerodepgina"/>
      </w:rPr>
      <w:instrText xml:space="preserve">PAGE  </w:instrText>
    </w:r>
    <w:r>
      <w:rPr>
        <w:rStyle w:val="Nmerodepgina"/>
      </w:rPr>
      <w:fldChar w:fldCharType="separate"/>
    </w:r>
    <w:r w:rsidR="00E27D0B">
      <w:rPr>
        <w:rStyle w:val="Nmerodepgina"/>
        <w:noProof/>
      </w:rPr>
      <w:t>8</w:t>
    </w:r>
    <w:r>
      <w:rPr>
        <w:rStyle w:val="Nmerodepgina"/>
      </w:rPr>
      <w:fldChar w:fldCharType="end"/>
    </w:r>
  </w:p>
  <w:p w:rsidR="00E27D0B" w:rsidRDefault="00E27D0B"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0B" w:rsidRPr="00177B57" w:rsidRDefault="0081500B"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E27D0B"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D5704F">
      <w:rPr>
        <w:rStyle w:val="Nmerodepgina"/>
        <w:rFonts w:ascii="Amazone BT" w:hAnsi="Amazone BT" w:cs="Amazone BT"/>
        <w:noProof/>
      </w:rPr>
      <w:t>6</w:t>
    </w:r>
    <w:r w:rsidRPr="00177B57">
      <w:rPr>
        <w:rStyle w:val="Nmerodepgina"/>
        <w:rFonts w:ascii="Amazone BT" w:hAnsi="Amazone BT" w:cs="Amazone BT"/>
      </w:rPr>
      <w:fldChar w:fldCharType="end"/>
    </w:r>
  </w:p>
  <w:p w:rsidR="00E27D0B" w:rsidRPr="00177B57" w:rsidRDefault="00E27D0B" w:rsidP="00177B57">
    <w:pPr>
      <w:pStyle w:val="Piedepgina"/>
      <w:framePr w:wrap="auto" w:vAnchor="text" w:hAnchor="page" w:x="10339" w:y="3"/>
      <w:ind w:right="360" w:firstLine="360"/>
      <w:rPr>
        <w:rStyle w:val="Nmerodepgina"/>
        <w:rFonts w:ascii="Amazone BT" w:hAnsi="Amazone BT" w:cs="Amazone BT"/>
      </w:rPr>
    </w:pPr>
  </w:p>
  <w:p w:rsidR="00E27D0B" w:rsidRPr="00177B57" w:rsidRDefault="00E27D0B">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349" w:rsidRDefault="00F70349" w:rsidP="00177B57">
      <w:pPr>
        <w:rPr>
          <w:rFonts w:cs="Times New Roman"/>
        </w:rPr>
      </w:pPr>
      <w:r>
        <w:rPr>
          <w:rFonts w:cs="Times New Roman"/>
        </w:rPr>
        <w:separator/>
      </w:r>
    </w:p>
  </w:footnote>
  <w:footnote w:type="continuationSeparator" w:id="1">
    <w:p w:rsidR="00F70349" w:rsidRDefault="00F70349"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0B" w:rsidRDefault="00E27D0B">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235A2"/>
    <w:rsid w:val="00043F26"/>
    <w:rsid w:val="00050E10"/>
    <w:rsid w:val="000A6AE2"/>
    <w:rsid w:val="000B2248"/>
    <w:rsid w:val="000B2FBC"/>
    <w:rsid w:val="000C4104"/>
    <w:rsid w:val="000D299B"/>
    <w:rsid w:val="0011606A"/>
    <w:rsid w:val="00116209"/>
    <w:rsid w:val="0013036A"/>
    <w:rsid w:val="00145768"/>
    <w:rsid w:val="00156B7E"/>
    <w:rsid w:val="00170C80"/>
    <w:rsid w:val="00177B57"/>
    <w:rsid w:val="00181469"/>
    <w:rsid w:val="00190BC3"/>
    <w:rsid w:val="001912C5"/>
    <w:rsid w:val="001A7FB6"/>
    <w:rsid w:val="001B1133"/>
    <w:rsid w:val="001E0F06"/>
    <w:rsid w:val="001F5A1C"/>
    <w:rsid w:val="001F621E"/>
    <w:rsid w:val="002008D5"/>
    <w:rsid w:val="00202D3C"/>
    <w:rsid w:val="002065E3"/>
    <w:rsid w:val="002158C3"/>
    <w:rsid w:val="002233EC"/>
    <w:rsid w:val="00225091"/>
    <w:rsid w:val="002255AC"/>
    <w:rsid w:val="00230E3A"/>
    <w:rsid w:val="002336F3"/>
    <w:rsid w:val="00244CE4"/>
    <w:rsid w:val="00253284"/>
    <w:rsid w:val="00255F92"/>
    <w:rsid w:val="00262FB6"/>
    <w:rsid w:val="00264FA1"/>
    <w:rsid w:val="0027764C"/>
    <w:rsid w:val="002821A7"/>
    <w:rsid w:val="002877A6"/>
    <w:rsid w:val="00293F2E"/>
    <w:rsid w:val="002B7942"/>
    <w:rsid w:val="002C100D"/>
    <w:rsid w:val="002C543A"/>
    <w:rsid w:val="00300FBB"/>
    <w:rsid w:val="003130FA"/>
    <w:rsid w:val="00320862"/>
    <w:rsid w:val="00325EAA"/>
    <w:rsid w:val="00335AC2"/>
    <w:rsid w:val="003544A1"/>
    <w:rsid w:val="0035533A"/>
    <w:rsid w:val="00365E90"/>
    <w:rsid w:val="00380D8A"/>
    <w:rsid w:val="003813B1"/>
    <w:rsid w:val="00392DC1"/>
    <w:rsid w:val="00393C01"/>
    <w:rsid w:val="00397EBB"/>
    <w:rsid w:val="003A56C1"/>
    <w:rsid w:val="003B60AA"/>
    <w:rsid w:val="003E328B"/>
    <w:rsid w:val="003E405F"/>
    <w:rsid w:val="003F126C"/>
    <w:rsid w:val="003F6DCF"/>
    <w:rsid w:val="0041603F"/>
    <w:rsid w:val="00432A32"/>
    <w:rsid w:val="00456207"/>
    <w:rsid w:val="0046038A"/>
    <w:rsid w:val="00465116"/>
    <w:rsid w:val="00484238"/>
    <w:rsid w:val="004B4B96"/>
    <w:rsid w:val="004C1E18"/>
    <w:rsid w:val="004C2F9A"/>
    <w:rsid w:val="004D13F7"/>
    <w:rsid w:val="004D149F"/>
    <w:rsid w:val="004D661D"/>
    <w:rsid w:val="004F417D"/>
    <w:rsid w:val="00507295"/>
    <w:rsid w:val="00512FDE"/>
    <w:rsid w:val="00516FBE"/>
    <w:rsid w:val="0053082C"/>
    <w:rsid w:val="005415C1"/>
    <w:rsid w:val="00551543"/>
    <w:rsid w:val="0056474B"/>
    <w:rsid w:val="00565EE3"/>
    <w:rsid w:val="00567601"/>
    <w:rsid w:val="00585C4E"/>
    <w:rsid w:val="0058620F"/>
    <w:rsid w:val="00587B09"/>
    <w:rsid w:val="005B0888"/>
    <w:rsid w:val="005B355C"/>
    <w:rsid w:val="005E280E"/>
    <w:rsid w:val="005E5274"/>
    <w:rsid w:val="005E57EE"/>
    <w:rsid w:val="005F31B7"/>
    <w:rsid w:val="00600672"/>
    <w:rsid w:val="0060406F"/>
    <w:rsid w:val="00605286"/>
    <w:rsid w:val="00606E2E"/>
    <w:rsid w:val="00613C44"/>
    <w:rsid w:val="00620F4C"/>
    <w:rsid w:val="00636A02"/>
    <w:rsid w:val="00641A58"/>
    <w:rsid w:val="00677762"/>
    <w:rsid w:val="006A282E"/>
    <w:rsid w:val="006B44FC"/>
    <w:rsid w:val="006C2EC6"/>
    <w:rsid w:val="006D1987"/>
    <w:rsid w:val="006E4EA8"/>
    <w:rsid w:val="006E5A77"/>
    <w:rsid w:val="006F058A"/>
    <w:rsid w:val="006F4A56"/>
    <w:rsid w:val="006F5DEE"/>
    <w:rsid w:val="0072461F"/>
    <w:rsid w:val="007316BB"/>
    <w:rsid w:val="00741465"/>
    <w:rsid w:val="007935E1"/>
    <w:rsid w:val="00794D1F"/>
    <w:rsid w:val="007A0D70"/>
    <w:rsid w:val="007A3B01"/>
    <w:rsid w:val="007C5ECA"/>
    <w:rsid w:val="00810C8F"/>
    <w:rsid w:val="0081120E"/>
    <w:rsid w:val="0081500B"/>
    <w:rsid w:val="00860AC5"/>
    <w:rsid w:val="00865EA7"/>
    <w:rsid w:val="00870989"/>
    <w:rsid w:val="00876AF9"/>
    <w:rsid w:val="00884173"/>
    <w:rsid w:val="008F02D6"/>
    <w:rsid w:val="008F48CE"/>
    <w:rsid w:val="009258CD"/>
    <w:rsid w:val="0093523F"/>
    <w:rsid w:val="009379A4"/>
    <w:rsid w:val="00944F9B"/>
    <w:rsid w:val="0095696E"/>
    <w:rsid w:val="0096438B"/>
    <w:rsid w:val="0097382E"/>
    <w:rsid w:val="009860C7"/>
    <w:rsid w:val="009962E0"/>
    <w:rsid w:val="00997F14"/>
    <w:rsid w:val="009A4A64"/>
    <w:rsid w:val="009D67C1"/>
    <w:rsid w:val="009E546A"/>
    <w:rsid w:val="00A07D67"/>
    <w:rsid w:val="00A14010"/>
    <w:rsid w:val="00A258DD"/>
    <w:rsid w:val="00A27D42"/>
    <w:rsid w:val="00A32875"/>
    <w:rsid w:val="00A33FD1"/>
    <w:rsid w:val="00A4229B"/>
    <w:rsid w:val="00A521CD"/>
    <w:rsid w:val="00A66BB5"/>
    <w:rsid w:val="00A878D5"/>
    <w:rsid w:val="00AA3092"/>
    <w:rsid w:val="00AA3C1C"/>
    <w:rsid w:val="00AC4680"/>
    <w:rsid w:val="00AC5535"/>
    <w:rsid w:val="00AC69DC"/>
    <w:rsid w:val="00AE1520"/>
    <w:rsid w:val="00AE251F"/>
    <w:rsid w:val="00AE28A8"/>
    <w:rsid w:val="00B02E3C"/>
    <w:rsid w:val="00B47468"/>
    <w:rsid w:val="00B630F2"/>
    <w:rsid w:val="00B64CC3"/>
    <w:rsid w:val="00B70DE1"/>
    <w:rsid w:val="00B73739"/>
    <w:rsid w:val="00B90C0C"/>
    <w:rsid w:val="00BB2968"/>
    <w:rsid w:val="00BB46A0"/>
    <w:rsid w:val="00BD2A65"/>
    <w:rsid w:val="00BE0F4B"/>
    <w:rsid w:val="00BE4139"/>
    <w:rsid w:val="00BE77D7"/>
    <w:rsid w:val="00C06A0A"/>
    <w:rsid w:val="00C25515"/>
    <w:rsid w:val="00C34E91"/>
    <w:rsid w:val="00C36B1A"/>
    <w:rsid w:val="00C61570"/>
    <w:rsid w:val="00C87965"/>
    <w:rsid w:val="00C93539"/>
    <w:rsid w:val="00CA2A56"/>
    <w:rsid w:val="00CA6F43"/>
    <w:rsid w:val="00CB3FD4"/>
    <w:rsid w:val="00CD1B64"/>
    <w:rsid w:val="00CE2116"/>
    <w:rsid w:val="00CE66D1"/>
    <w:rsid w:val="00D00C0E"/>
    <w:rsid w:val="00D47E08"/>
    <w:rsid w:val="00D5704F"/>
    <w:rsid w:val="00D63A4F"/>
    <w:rsid w:val="00D63F27"/>
    <w:rsid w:val="00D75293"/>
    <w:rsid w:val="00D871BF"/>
    <w:rsid w:val="00D92086"/>
    <w:rsid w:val="00D94EDB"/>
    <w:rsid w:val="00DA059E"/>
    <w:rsid w:val="00DB1B10"/>
    <w:rsid w:val="00DB2409"/>
    <w:rsid w:val="00DC7386"/>
    <w:rsid w:val="00DD2A10"/>
    <w:rsid w:val="00DF7B19"/>
    <w:rsid w:val="00E14074"/>
    <w:rsid w:val="00E15278"/>
    <w:rsid w:val="00E24F98"/>
    <w:rsid w:val="00E27D0B"/>
    <w:rsid w:val="00E30C46"/>
    <w:rsid w:val="00E34750"/>
    <w:rsid w:val="00E45208"/>
    <w:rsid w:val="00E51F2C"/>
    <w:rsid w:val="00E76067"/>
    <w:rsid w:val="00EA05C5"/>
    <w:rsid w:val="00EA3C92"/>
    <w:rsid w:val="00EB19A0"/>
    <w:rsid w:val="00EB5966"/>
    <w:rsid w:val="00EE1518"/>
    <w:rsid w:val="00EF3E2A"/>
    <w:rsid w:val="00F03DC0"/>
    <w:rsid w:val="00F0425A"/>
    <w:rsid w:val="00F20501"/>
    <w:rsid w:val="00F3126E"/>
    <w:rsid w:val="00F37408"/>
    <w:rsid w:val="00F70349"/>
    <w:rsid w:val="00F72F7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355081454">
      <w:marLeft w:val="0"/>
      <w:marRight w:val="0"/>
      <w:marTop w:val="0"/>
      <w:marBottom w:val="0"/>
      <w:divBdr>
        <w:top w:val="none" w:sz="0" w:space="0" w:color="auto"/>
        <w:left w:val="none" w:sz="0" w:space="0" w:color="auto"/>
        <w:bottom w:val="none" w:sz="0" w:space="0" w:color="auto"/>
        <w:right w:val="none" w:sz="0" w:space="0" w:color="auto"/>
      </w:divBdr>
    </w:div>
    <w:div w:id="355081455">
      <w:marLeft w:val="0"/>
      <w:marRight w:val="0"/>
      <w:marTop w:val="0"/>
      <w:marBottom w:val="0"/>
      <w:divBdr>
        <w:top w:val="none" w:sz="0" w:space="0" w:color="auto"/>
        <w:left w:val="none" w:sz="0" w:space="0" w:color="auto"/>
        <w:bottom w:val="none" w:sz="0" w:space="0" w:color="auto"/>
        <w:right w:val="none" w:sz="0" w:space="0" w:color="auto"/>
      </w:divBdr>
    </w:div>
    <w:div w:id="355081456">
      <w:marLeft w:val="0"/>
      <w:marRight w:val="0"/>
      <w:marTop w:val="0"/>
      <w:marBottom w:val="0"/>
      <w:divBdr>
        <w:top w:val="none" w:sz="0" w:space="0" w:color="auto"/>
        <w:left w:val="none" w:sz="0" w:space="0" w:color="auto"/>
        <w:bottom w:val="none" w:sz="0" w:space="0" w:color="auto"/>
        <w:right w:val="none" w:sz="0" w:space="0" w:color="auto"/>
      </w:divBdr>
    </w:div>
    <w:div w:id="355081457">
      <w:marLeft w:val="0"/>
      <w:marRight w:val="0"/>
      <w:marTop w:val="0"/>
      <w:marBottom w:val="0"/>
      <w:divBdr>
        <w:top w:val="none" w:sz="0" w:space="0" w:color="auto"/>
        <w:left w:val="none" w:sz="0" w:space="0" w:color="auto"/>
        <w:bottom w:val="none" w:sz="0" w:space="0" w:color="auto"/>
        <w:right w:val="none" w:sz="0" w:space="0" w:color="auto"/>
      </w:divBdr>
    </w:div>
    <w:div w:id="355081458">
      <w:marLeft w:val="0"/>
      <w:marRight w:val="0"/>
      <w:marTop w:val="0"/>
      <w:marBottom w:val="0"/>
      <w:divBdr>
        <w:top w:val="none" w:sz="0" w:space="0" w:color="auto"/>
        <w:left w:val="none" w:sz="0" w:space="0" w:color="auto"/>
        <w:bottom w:val="none" w:sz="0" w:space="0" w:color="auto"/>
        <w:right w:val="none" w:sz="0" w:space="0" w:color="auto"/>
      </w:divBdr>
    </w:div>
    <w:div w:id="355081459">
      <w:marLeft w:val="0"/>
      <w:marRight w:val="0"/>
      <w:marTop w:val="0"/>
      <w:marBottom w:val="0"/>
      <w:divBdr>
        <w:top w:val="none" w:sz="0" w:space="0" w:color="auto"/>
        <w:left w:val="none" w:sz="0" w:space="0" w:color="auto"/>
        <w:bottom w:val="none" w:sz="0" w:space="0" w:color="auto"/>
        <w:right w:val="none" w:sz="0" w:space="0" w:color="auto"/>
      </w:divBdr>
    </w:div>
    <w:div w:id="355081460">
      <w:marLeft w:val="0"/>
      <w:marRight w:val="0"/>
      <w:marTop w:val="0"/>
      <w:marBottom w:val="0"/>
      <w:divBdr>
        <w:top w:val="none" w:sz="0" w:space="0" w:color="auto"/>
        <w:left w:val="none" w:sz="0" w:space="0" w:color="auto"/>
        <w:bottom w:val="none" w:sz="0" w:space="0" w:color="auto"/>
        <w:right w:val="none" w:sz="0" w:space="0" w:color="auto"/>
      </w:divBdr>
    </w:div>
    <w:div w:id="355081461">
      <w:marLeft w:val="0"/>
      <w:marRight w:val="0"/>
      <w:marTop w:val="0"/>
      <w:marBottom w:val="0"/>
      <w:divBdr>
        <w:top w:val="none" w:sz="0" w:space="0" w:color="auto"/>
        <w:left w:val="none" w:sz="0" w:space="0" w:color="auto"/>
        <w:bottom w:val="none" w:sz="0" w:space="0" w:color="auto"/>
        <w:right w:val="none" w:sz="0" w:space="0" w:color="auto"/>
      </w:divBdr>
    </w:div>
    <w:div w:id="6871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2245</Words>
  <Characters>12350</Characters>
  <Application>Microsoft Office Word</Application>
  <DocSecurity>0</DocSecurity>
  <Lines>102</Lines>
  <Paragraphs>29</Paragraphs>
  <ScaleCrop>false</ScaleCrop>
  <Company>Hewlett-Packard Company</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2015-05-12T15:16:00Z</cp:lastPrinted>
  <dcterms:created xsi:type="dcterms:W3CDTF">2015-10-02T00:44:00Z</dcterms:created>
  <dcterms:modified xsi:type="dcterms:W3CDTF">2016-03-11T15:46:00Z</dcterms:modified>
</cp:coreProperties>
</file>