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B5" w:rsidRDefault="006F63B5" w:rsidP="00062B8B">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6F63B5" w:rsidRDefault="006F63B5" w:rsidP="00062B8B">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1469E5" w:rsidRDefault="001469E5" w:rsidP="002008D5">
      <w:pPr>
        <w:pStyle w:val="Ttulo"/>
        <w:tabs>
          <w:tab w:val="left" w:pos="1968"/>
        </w:tabs>
        <w:rPr>
          <w:rFonts w:ascii="Bookman Old Style" w:hAnsi="Bookman Old Style" w:cs="Bookman Old Style"/>
        </w:rPr>
      </w:pPr>
    </w:p>
    <w:p w:rsidR="001469E5" w:rsidRPr="002008D5" w:rsidRDefault="001469E5"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23</w:t>
      </w:r>
      <w:r w:rsidRPr="002008D5">
        <w:rPr>
          <w:rFonts w:ascii="Bookman Old Style" w:hAnsi="Bookman Old Style" w:cs="Bookman Old Style"/>
        </w:rPr>
        <w:t>/2015</w:t>
      </w:r>
    </w:p>
    <w:p w:rsidR="001469E5" w:rsidRPr="002008D5" w:rsidRDefault="001469E5"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1469E5" w:rsidRPr="002008D5" w:rsidRDefault="001469E5" w:rsidP="00613C44">
      <w:pPr>
        <w:spacing w:line="360" w:lineRule="auto"/>
        <w:jc w:val="both"/>
        <w:rPr>
          <w:rFonts w:cs="Times New Roman"/>
          <w:i w:val="0"/>
          <w:iCs w:val="0"/>
          <w:sz w:val="20"/>
          <w:szCs w:val="20"/>
          <w:lang w:val="es-SV"/>
        </w:rPr>
      </w:pPr>
    </w:p>
    <w:p w:rsidR="006F63B5" w:rsidRDefault="001469E5"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6F63B5" w:rsidRPr="006F63B5">
        <w:rPr>
          <w:b/>
          <w:bCs/>
          <w:i w:val="0"/>
          <w:iCs w:val="0"/>
          <w:sz w:val="20"/>
          <w:szCs w:val="20"/>
          <w:highlight w:val="black"/>
          <w:lang w:val="es-ES_tradnl"/>
        </w:rPr>
        <w:t>xxxxxxxxxxxxxxx</w:t>
      </w:r>
      <w:r w:rsidR="00062B8B">
        <w:rPr>
          <w:b/>
          <w:bCs/>
          <w:i w:val="0"/>
          <w:iCs w:val="0"/>
          <w:sz w:val="20"/>
          <w:szCs w:val="20"/>
          <w:highlight w:val="black"/>
          <w:lang w:val="es-ES_tradnl"/>
        </w:rPr>
        <w:t>xxxxx</w:t>
      </w:r>
      <w:r w:rsidR="006F63B5" w:rsidRPr="006F63B5">
        <w:rPr>
          <w:b/>
          <w:bCs/>
          <w:i w:val="0"/>
          <w:iCs w:val="0"/>
          <w:sz w:val="20"/>
          <w:szCs w:val="20"/>
          <w:highlight w:val="black"/>
          <w:lang w:val="es-ES_tradnl"/>
        </w:rPr>
        <w:t>xxxxxxxx</w:t>
      </w:r>
    </w:p>
    <w:p w:rsidR="001469E5" w:rsidRDefault="001469E5"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JOSÉ ENMANUEL ZELADA GRIJALVA</w:t>
      </w:r>
      <w:r>
        <w:rPr>
          <w:i w:val="0"/>
          <w:iCs w:val="0"/>
          <w:sz w:val="20"/>
          <w:szCs w:val="20"/>
        </w:rPr>
        <w:t xml:space="preserve">, </w:t>
      </w:r>
      <w:r w:rsidR="006F63B5" w:rsidRPr="006F63B5">
        <w:rPr>
          <w:i w:val="0"/>
          <w:iCs w:val="0"/>
          <w:sz w:val="20"/>
          <w:szCs w:val="20"/>
          <w:highlight w:val="black"/>
        </w:rPr>
        <w:t>xxxxxxxxxxxxxxxxxxxxxxxxxxxxxxxxxx</w:t>
      </w:r>
      <w:r w:rsidR="006F63B5">
        <w:rPr>
          <w:i w:val="0"/>
          <w:iCs w:val="0"/>
          <w:sz w:val="20"/>
          <w:szCs w:val="20"/>
        </w:rPr>
        <w:t xml:space="preserve">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1469E5" w:rsidRPr="002008D5" w:rsidRDefault="001469E5" w:rsidP="00F03DC0">
      <w:pPr>
        <w:spacing w:line="360" w:lineRule="auto"/>
        <w:jc w:val="both"/>
        <w:rPr>
          <w:rFonts w:cs="Times New Roman"/>
          <w:i w:val="0"/>
          <w:iCs w:val="0"/>
          <w:sz w:val="20"/>
          <w:szCs w:val="20"/>
          <w:lang w:val="es-ES_tradnl"/>
        </w:rPr>
      </w:pPr>
    </w:p>
    <w:p w:rsidR="001469E5" w:rsidRPr="002008D5" w:rsidRDefault="001469E5"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11"/>
        <w:gridCol w:w="2575"/>
        <w:gridCol w:w="1875"/>
        <w:gridCol w:w="2617"/>
      </w:tblGrid>
      <w:tr w:rsidR="001469E5" w:rsidRPr="00D871BF">
        <w:trPr>
          <w:trHeight w:val="1104"/>
        </w:trPr>
        <w:tc>
          <w:tcPr>
            <w:tcW w:w="0" w:type="auto"/>
            <w:shd w:val="clear" w:color="auto" w:fill="CCFFCC"/>
            <w:vAlign w:val="center"/>
          </w:tcPr>
          <w:p w:rsidR="001469E5" w:rsidRPr="002008D5" w:rsidRDefault="001469E5"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1469E5" w:rsidRPr="002008D5" w:rsidRDefault="001469E5"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1469E5" w:rsidRPr="002008D5" w:rsidRDefault="001469E5"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1469E5" w:rsidRPr="002008D5" w:rsidRDefault="001469E5" w:rsidP="002008D5">
            <w:pPr>
              <w:jc w:val="center"/>
              <w:rPr>
                <w:b/>
                <w:bCs/>
                <w:i w:val="0"/>
                <w:iCs w:val="0"/>
                <w:sz w:val="14"/>
                <w:szCs w:val="14"/>
              </w:rPr>
            </w:pPr>
            <w:r w:rsidRPr="002008D5">
              <w:rPr>
                <w:b/>
                <w:bCs/>
                <w:i w:val="0"/>
                <w:iCs w:val="0"/>
                <w:sz w:val="14"/>
                <w:szCs w:val="14"/>
              </w:rPr>
              <w:t>MONTO TOTAL ADJUDICADO (US $)</w:t>
            </w:r>
          </w:p>
        </w:tc>
      </w:tr>
      <w:tr w:rsidR="001469E5" w:rsidRPr="00D871BF">
        <w:trPr>
          <w:trHeight w:val="1000"/>
        </w:trPr>
        <w:tc>
          <w:tcPr>
            <w:tcW w:w="0" w:type="auto"/>
            <w:vAlign w:val="center"/>
          </w:tcPr>
          <w:p w:rsidR="001469E5" w:rsidRDefault="001469E5">
            <w:pPr>
              <w:rPr>
                <w:i w:val="0"/>
                <w:iCs w:val="0"/>
                <w:color w:val="000000"/>
                <w:sz w:val="20"/>
                <w:szCs w:val="20"/>
              </w:rPr>
            </w:pPr>
            <w:r>
              <w:rPr>
                <w:i w:val="0"/>
                <w:iCs w:val="0"/>
                <w:color w:val="000000"/>
                <w:sz w:val="20"/>
                <w:szCs w:val="20"/>
              </w:rPr>
              <w:t>CATIMORES:</w:t>
            </w:r>
          </w:p>
          <w:p w:rsidR="001469E5" w:rsidRDefault="001469E5" w:rsidP="00C21035">
            <w:pPr>
              <w:rPr>
                <w:i w:val="0"/>
                <w:iCs w:val="0"/>
                <w:color w:val="000000"/>
                <w:sz w:val="20"/>
                <w:szCs w:val="20"/>
              </w:rPr>
            </w:pPr>
            <w:r>
              <w:rPr>
                <w:i w:val="0"/>
                <w:iCs w:val="0"/>
                <w:color w:val="000000"/>
                <w:sz w:val="20"/>
                <w:szCs w:val="20"/>
              </w:rPr>
              <w:t>CATISIC</w:t>
            </w:r>
          </w:p>
        </w:tc>
        <w:tc>
          <w:tcPr>
            <w:tcW w:w="0" w:type="auto"/>
            <w:vAlign w:val="center"/>
          </w:tcPr>
          <w:p w:rsidR="001469E5" w:rsidRDefault="001469E5" w:rsidP="004F417D">
            <w:pPr>
              <w:jc w:val="right"/>
              <w:rPr>
                <w:i w:val="0"/>
                <w:iCs w:val="0"/>
                <w:color w:val="000000"/>
                <w:sz w:val="20"/>
                <w:szCs w:val="20"/>
              </w:rPr>
            </w:pPr>
            <w:r>
              <w:rPr>
                <w:i w:val="0"/>
                <w:iCs w:val="0"/>
                <w:color w:val="000000"/>
                <w:sz w:val="20"/>
                <w:szCs w:val="20"/>
              </w:rPr>
              <w:t>30,000</w:t>
            </w:r>
          </w:p>
        </w:tc>
        <w:tc>
          <w:tcPr>
            <w:tcW w:w="0" w:type="auto"/>
            <w:vAlign w:val="center"/>
          </w:tcPr>
          <w:p w:rsidR="001469E5" w:rsidRPr="00F3126E" w:rsidRDefault="001469E5"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1469E5" w:rsidRDefault="001469E5" w:rsidP="00231DBC">
            <w:pPr>
              <w:jc w:val="center"/>
              <w:rPr>
                <w:i w:val="0"/>
                <w:iCs w:val="0"/>
                <w:color w:val="000000"/>
                <w:sz w:val="20"/>
                <w:szCs w:val="20"/>
              </w:rPr>
            </w:pPr>
            <w:r>
              <w:rPr>
                <w:i w:val="0"/>
                <w:iCs w:val="0"/>
                <w:color w:val="000000"/>
                <w:sz w:val="20"/>
                <w:szCs w:val="20"/>
              </w:rPr>
              <w:t>$ 12,000.00</w:t>
            </w:r>
          </w:p>
        </w:tc>
      </w:tr>
      <w:tr w:rsidR="001469E5" w:rsidRPr="00D871BF">
        <w:trPr>
          <w:trHeight w:val="1000"/>
        </w:trPr>
        <w:tc>
          <w:tcPr>
            <w:tcW w:w="0" w:type="auto"/>
            <w:vAlign w:val="center"/>
          </w:tcPr>
          <w:p w:rsidR="001469E5" w:rsidRDefault="001469E5">
            <w:pPr>
              <w:rPr>
                <w:i w:val="0"/>
                <w:iCs w:val="0"/>
                <w:color w:val="000000"/>
                <w:sz w:val="20"/>
                <w:szCs w:val="20"/>
              </w:rPr>
            </w:pPr>
            <w:r>
              <w:rPr>
                <w:i w:val="0"/>
                <w:iCs w:val="0"/>
                <w:color w:val="000000"/>
                <w:sz w:val="20"/>
                <w:szCs w:val="20"/>
              </w:rPr>
              <w:lastRenderedPageBreak/>
              <w:t>ARABUSTAS:</w:t>
            </w:r>
          </w:p>
          <w:p w:rsidR="001469E5" w:rsidRDefault="001469E5">
            <w:pPr>
              <w:rPr>
                <w:i w:val="0"/>
                <w:iCs w:val="0"/>
                <w:color w:val="000000"/>
                <w:sz w:val="20"/>
                <w:szCs w:val="20"/>
              </w:rPr>
            </w:pPr>
            <w:r>
              <w:rPr>
                <w:i w:val="0"/>
                <w:iCs w:val="0"/>
                <w:color w:val="000000"/>
                <w:sz w:val="20"/>
                <w:szCs w:val="20"/>
              </w:rPr>
              <w:t>ICATÚ  ROJO</w:t>
            </w:r>
          </w:p>
        </w:tc>
        <w:tc>
          <w:tcPr>
            <w:tcW w:w="0" w:type="auto"/>
            <w:vAlign w:val="center"/>
          </w:tcPr>
          <w:p w:rsidR="001469E5" w:rsidRDefault="001469E5" w:rsidP="004F417D">
            <w:pPr>
              <w:jc w:val="right"/>
              <w:rPr>
                <w:i w:val="0"/>
                <w:iCs w:val="0"/>
                <w:color w:val="000000"/>
                <w:sz w:val="20"/>
                <w:szCs w:val="20"/>
              </w:rPr>
            </w:pPr>
            <w:r>
              <w:rPr>
                <w:i w:val="0"/>
                <w:iCs w:val="0"/>
                <w:color w:val="000000"/>
                <w:sz w:val="20"/>
                <w:szCs w:val="20"/>
              </w:rPr>
              <w:t>13,500</w:t>
            </w:r>
          </w:p>
        </w:tc>
        <w:tc>
          <w:tcPr>
            <w:tcW w:w="0" w:type="auto"/>
            <w:vAlign w:val="center"/>
          </w:tcPr>
          <w:p w:rsidR="001469E5" w:rsidRPr="00F3126E" w:rsidRDefault="001469E5"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1469E5" w:rsidRDefault="001469E5" w:rsidP="00E10E98">
            <w:pPr>
              <w:jc w:val="center"/>
              <w:rPr>
                <w:i w:val="0"/>
                <w:iCs w:val="0"/>
                <w:color w:val="000000"/>
                <w:sz w:val="20"/>
                <w:szCs w:val="20"/>
              </w:rPr>
            </w:pPr>
            <w:r>
              <w:rPr>
                <w:i w:val="0"/>
                <w:iCs w:val="0"/>
                <w:color w:val="000000"/>
                <w:sz w:val="20"/>
                <w:szCs w:val="20"/>
              </w:rPr>
              <w:t>$5,400.00</w:t>
            </w:r>
          </w:p>
        </w:tc>
      </w:tr>
      <w:tr w:rsidR="001469E5" w:rsidRPr="00D871BF" w:rsidDel="00B70DE1">
        <w:trPr>
          <w:trHeight w:val="1000"/>
        </w:trPr>
        <w:tc>
          <w:tcPr>
            <w:tcW w:w="0" w:type="auto"/>
            <w:vAlign w:val="center"/>
          </w:tcPr>
          <w:p w:rsidR="001469E5" w:rsidRPr="003F6DCF" w:rsidRDefault="001469E5">
            <w:pPr>
              <w:rPr>
                <w:rFonts w:cs="Times New Roman"/>
                <w:i w:val="0"/>
                <w:iCs w:val="0"/>
                <w:color w:val="000000"/>
                <w:sz w:val="20"/>
                <w:szCs w:val="20"/>
              </w:rPr>
            </w:pPr>
            <w:r>
              <w:rPr>
                <w:i w:val="0"/>
                <w:iCs w:val="0"/>
                <w:color w:val="000000"/>
                <w:sz w:val="20"/>
                <w:szCs w:val="20"/>
              </w:rPr>
              <w:t>TOTAL</w:t>
            </w:r>
          </w:p>
        </w:tc>
        <w:tc>
          <w:tcPr>
            <w:tcW w:w="0" w:type="auto"/>
            <w:vAlign w:val="center"/>
          </w:tcPr>
          <w:p w:rsidR="001469E5" w:rsidRPr="00B90C0C" w:rsidRDefault="001469E5" w:rsidP="00156B7E">
            <w:pPr>
              <w:jc w:val="right"/>
              <w:rPr>
                <w:rFonts w:cs="Times New Roman"/>
                <w:b/>
                <w:bCs/>
                <w:i w:val="0"/>
                <w:iCs w:val="0"/>
                <w:color w:val="000000"/>
                <w:sz w:val="20"/>
                <w:szCs w:val="20"/>
              </w:rPr>
            </w:pPr>
            <w:r>
              <w:rPr>
                <w:b/>
                <w:bCs/>
                <w:i w:val="0"/>
                <w:iCs w:val="0"/>
                <w:color w:val="000000"/>
                <w:sz w:val="20"/>
                <w:szCs w:val="20"/>
              </w:rPr>
              <w:t>43,500</w:t>
            </w:r>
          </w:p>
        </w:tc>
        <w:tc>
          <w:tcPr>
            <w:tcW w:w="0" w:type="auto"/>
            <w:vAlign w:val="center"/>
          </w:tcPr>
          <w:p w:rsidR="001469E5" w:rsidRPr="003F6DCF" w:rsidRDefault="001469E5" w:rsidP="00E45208">
            <w:pPr>
              <w:jc w:val="center"/>
              <w:rPr>
                <w:rFonts w:cs="Times New Roman"/>
                <w:i w:val="0"/>
                <w:iCs w:val="0"/>
                <w:color w:val="000000"/>
                <w:sz w:val="20"/>
                <w:szCs w:val="20"/>
              </w:rPr>
            </w:pPr>
          </w:p>
        </w:tc>
        <w:tc>
          <w:tcPr>
            <w:tcW w:w="0" w:type="auto"/>
            <w:vAlign w:val="center"/>
          </w:tcPr>
          <w:p w:rsidR="001469E5" w:rsidRPr="00B90C0C" w:rsidRDefault="001469E5" w:rsidP="00231DBC">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17,400.00</w:t>
            </w:r>
          </w:p>
        </w:tc>
      </w:tr>
    </w:tbl>
    <w:p w:rsidR="001469E5" w:rsidRDefault="001469E5" w:rsidP="00613C44">
      <w:pPr>
        <w:spacing w:line="360" w:lineRule="auto"/>
        <w:jc w:val="both"/>
        <w:rPr>
          <w:rFonts w:cs="Times New Roman"/>
          <w:i w:val="0"/>
          <w:iCs w:val="0"/>
          <w:sz w:val="20"/>
          <w:szCs w:val="20"/>
          <w:lang w:val="es-ES_tradnl"/>
        </w:rPr>
      </w:pPr>
    </w:p>
    <w:p w:rsidR="001469E5" w:rsidRPr="002008D5" w:rsidRDefault="001469E5" w:rsidP="00613C44">
      <w:pPr>
        <w:spacing w:line="360" w:lineRule="auto"/>
        <w:jc w:val="both"/>
        <w:rPr>
          <w:rFonts w:cs="Times New Roman"/>
          <w:i w:val="0"/>
          <w:iCs w:val="0"/>
          <w:sz w:val="20"/>
          <w:szCs w:val="20"/>
          <w:lang w:val="es-ES_tradnl"/>
        </w:rPr>
      </w:pPr>
    </w:p>
    <w:p w:rsidR="001469E5" w:rsidRPr="002008D5" w:rsidRDefault="001469E5"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DIECISIETE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CUATROCIENTOS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17,400.00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 xml:space="preserve">V. OBLIGACIONES DE “EL </w:t>
      </w:r>
      <w:r w:rsidRPr="002008D5">
        <w:rPr>
          <w:rFonts w:ascii="Bookman Old Style" w:hAnsi="Bookman Old Style" w:cs="Bookman Old Style"/>
          <w:sz w:val="20"/>
          <w:szCs w:val="20"/>
        </w:rPr>
        <w:lastRenderedPageBreak/>
        <w:t>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“EL 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Pr>
          <w:rFonts w:ascii="Bookman Old Style" w:hAnsi="Bookman Old Style" w:cs="Bookman Old Style"/>
          <w:b w:val="0"/>
          <w:bCs w:val="0"/>
          <w:noProof/>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0355F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0355F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0355F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0355F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0355F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0355F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UN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SETECIENTOS CUARENTA DÓLARES DE LOS ESTADOS UNIDOS DE AMÉRICA (US$1740.00)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 por la Superintendencia del </w:t>
      </w:r>
      <w:r w:rsidRPr="002008D5">
        <w:rPr>
          <w:rFonts w:ascii="Bookman Old Style" w:hAnsi="Bookman Old Style" w:cs="Bookman Old Style"/>
          <w:b w:val="0"/>
          <w:bCs w:val="0"/>
          <w:sz w:val="20"/>
          <w:szCs w:val="20"/>
        </w:rPr>
        <w:lastRenderedPageBreak/>
        <w:t>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0355F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0355F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0355F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0355F5"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0355F5"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0355F5"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 xml:space="preserve">será </w:t>
      </w:r>
      <w:r w:rsidRPr="002008D5">
        <w:rPr>
          <w:rFonts w:ascii="Bookman Old Style" w:hAnsi="Bookman Old Style" w:cs="Bookman Old Style"/>
          <w:b w:val="0"/>
          <w:bCs w:val="0"/>
          <w:sz w:val="20"/>
          <w:szCs w:val="20"/>
        </w:rPr>
        <w:lastRenderedPageBreak/>
        <w:t>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quince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w:t>
      </w:r>
      <w:r w:rsidRPr="002008D5">
        <w:rPr>
          <w:rFonts w:ascii="Bookman Old Style" w:hAnsi="Bookman Old Style" w:cs="Bookman Old Style"/>
          <w:b w:val="0"/>
          <w:bCs w:val="0"/>
          <w:sz w:val="20"/>
          <w:szCs w:val="20"/>
        </w:rPr>
        <w:lastRenderedPageBreak/>
        <w:t xml:space="preserve">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sidR="00062B8B" w:rsidRPr="00F0544D">
        <w:rPr>
          <w:highlight w:val="black"/>
        </w:rPr>
        <w:t>XXXXXXXXXXXXXXXXX</w:t>
      </w:r>
      <w:r w:rsidR="00062B8B">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a través de su representante legal, </w:t>
      </w:r>
      <w:r w:rsidRPr="002008D5">
        <w:rPr>
          <w:rFonts w:ascii="Bookman Old Style" w:hAnsi="Bookman Old Style" w:cs="Bookman Old Style"/>
          <w:b w:val="0"/>
          <w:bCs w:val="0"/>
          <w:sz w:val="20"/>
          <w:szCs w:val="20"/>
        </w:rPr>
        <w:t>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1469E5" w:rsidRPr="002008D5" w:rsidRDefault="001469E5" w:rsidP="00613C44">
      <w:pPr>
        <w:spacing w:line="360" w:lineRule="auto"/>
        <w:jc w:val="both"/>
        <w:rPr>
          <w:rFonts w:cs="Times New Roman"/>
          <w:i w:val="0"/>
          <w:iCs w:val="0"/>
          <w:sz w:val="20"/>
          <w:szCs w:val="20"/>
          <w:lang w:val="es-ES_tradnl"/>
        </w:rPr>
      </w:pPr>
    </w:p>
    <w:p w:rsidR="001469E5" w:rsidRDefault="001469E5" w:rsidP="00F03DC0">
      <w:pPr>
        <w:spacing w:line="360" w:lineRule="auto"/>
        <w:jc w:val="both"/>
        <w:rPr>
          <w:rFonts w:cs="Times New Roman"/>
          <w:i w:val="0"/>
          <w:iCs w:val="0"/>
          <w:sz w:val="20"/>
          <w:szCs w:val="20"/>
          <w:lang w:val="es-ES_tradnl"/>
        </w:rPr>
      </w:pPr>
    </w:p>
    <w:p w:rsidR="001469E5" w:rsidRDefault="001469E5" w:rsidP="00F03DC0">
      <w:pPr>
        <w:spacing w:line="360" w:lineRule="auto"/>
        <w:jc w:val="both"/>
        <w:rPr>
          <w:rFonts w:cs="Times New Roman"/>
          <w:i w:val="0"/>
          <w:iCs w:val="0"/>
          <w:sz w:val="20"/>
          <w:szCs w:val="20"/>
          <w:lang w:val="es-ES_tradnl"/>
        </w:rPr>
      </w:pPr>
    </w:p>
    <w:p w:rsidR="001469E5" w:rsidRDefault="001469E5" w:rsidP="00F03DC0">
      <w:pPr>
        <w:spacing w:line="360" w:lineRule="auto"/>
        <w:jc w:val="both"/>
        <w:rPr>
          <w:rFonts w:cs="Times New Roman"/>
          <w:i w:val="0"/>
          <w:iCs w:val="0"/>
          <w:sz w:val="20"/>
          <w:szCs w:val="20"/>
          <w:lang w:val="es-ES_tradnl"/>
        </w:rPr>
      </w:pPr>
    </w:p>
    <w:p w:rsidR="001469E5" w:rsidRPr="002008D5" w:rsidRDefault="001469E5" w:rsidP="002008D5">
      <w:pPr>
        <w:jc w:val="both"/>
        <w:rPr>
          <w:rFonts w:cs="Times New Roman"/>
          <w:i w:val="0"/>
          <w:iCs w:val="0"/>
          <w:sz w:val="20"/>
          <w:szCs w:val="20"/>
        </w:rPr>
      </w:pPr>
    </w:p>
    <w:p w:rsidR="001469E5" w:rsidRPr="002008D5" w:rsidRDefault="001469E5"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José Enmanuel Zelada Grijalva</w:t>
      </w:r>
      <w:r w:rsidRPr="002008D5">
        <w:rPr>
          <w:b/>
          <w:bCs/>
          <w:i w:val="0"/>
          <w:iCs w:val="0"/>
          <w:sz w:val="20"/>
          <w:szCs w:val="20"/>
          <w:lang w:val="pt-BR"/>
        </w:rPr>
        <w:t xml:space="preserve"> </w:t>
      </w:r>
    </w:p>
    <w:p w:rsidR="001469E5" w:rsidRDefault="001469E5"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1469E5" w:rsidRDefault="001469E5" w:rsidP="002008D5">
      <w:pPr>
        <w:jc w:val="both"/>
        <w:rPr>
          <w:rFonts w:cs="Times New Roman"/>
          <w:i w:val="0"/>
          <w:iCs w:val="0"/>
          <w:sz w:val="20"/>
          <w:szCs w:val="20"/>
        </w:rPr>
      </w:pPr>
    </w:p>
    <w:p w:rsidR="001469E5" w:rsidRDefault="001469E5" w:rsidP="008356D3">
      <w:pPr>
        <w:autoSpaceDE w:val="0"/>
        <w:autoSpaceDN w:val="0"/>
        <w:adjustRightInd w:val="0"/>
        <w:jc w:val="center"/>
        <w:rPr>
          <w:rFonts w:ascii="Calibri" w:hAnsi="Calibri" w:cs="Calibri"/>
          <w:b/>
          <w:bCs/>
          <w:sz w:val="22"/>
          <w:szCs w:val="22"/>
        </w:rPr>
      </w:pPr>
    </w:p>
    <w:sectPr w:rsidR="001469E5"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042" w:rsidRDefault="009A2042" w:rsidP="00177B57">
      <w:pPr>
        <w:rPr>
          <w:rFonts w:cs="Times New Roman"/>
        </w:rPr>
      </w:pPr>
      <w:r>
        <w:rPr>
          <w:rFonts w:cs="Times New Roman"/>
        </w:rPr>
        <w:separator/>
      </w:r>
    </w:p>
  </w:endnote>
  <w:endnote w:type="continuationSeparator" w:id="1">
    <w:p w:rsidR="009A2042" w:rsidRDefault="009A2042"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5" w:rsidRDefault="000355F5" w:rsidP="00A878D5">
    <w:pPr>
      <w:pStyle w:val="Piedepgina"/>
      <w:framePr w:wrap="around" w:vAnchor="text" w:hAnchor="margin" w:xAlign="right" w:y="1"/>
      <w:rPr>
        <w:rStyle w:val="Nmerodepgina"/>
      </w:rPr>
    </w:pPr>
    <w:r>
      <w:rPr>
        <w:rStyle w:val="Nmerodepgina"/>
      </w:rPr>
      <w:fldChar w:fldCharType="begin"/>
    </w:r>
    <w:r w:rsidR="001469E5">
      <w:rPr>
        <w:rStyle w:val="Nmerodepgina"/>
      </w:rPr>
      <w:instrText xml:space="preserve">PAGE  </w:instrText>
    </w:r>
    <w:r>
      <w:rPr>
        <w:rStyle w:val="Nmerodepgina"/>
      </w:rPr>
      <w:fldChar w:fldCharType="separate"/>
    </w:r>
    <w:r w:rsidR="001469E5">
      <w:rPr>
        <w:rStyle w:val="Nmerodepgina"/>
        <w:noProof/>
      </w:rPr>
      <w:t>8</w:t>
    </w:r>
    <w:r>
      <w:rPr>
        <w:rStyle w:val="Nmerodepgina"/>
      </w:rPr>
      <w:fldChar w:fldCharType="end"/>
    </w:r>
  </w:p>
  <w:p w:rsidR="001469E5" w:rsidRDefault="001469E5"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5" w:rsidRPr="00177B57" w:rsidRDefault="000355F5"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1469E5"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062B8B">
      <w:rPr>
        <w:rStyle w:val="Nmerodepgina"/>
        <w:rFonts w:ascii="Amazone BT" w:hAnsi="Amazone BT" w:cs="Amazone BT"/>
        <w:noProof/>
      </w:rPr>
      <w:t>6</w:t>
    </w:r>
    <w:r w:rsidRPr="00177B57">
      <w:rPr>
        <w:rStyle w:val="Nmerodepgina"/>
        <w:rFonts w:ascii="Amazone BT" w:hAnsi="Amazone BT" w:cs="Amazone BT"/>
      </w:rPr>
      <w:fldChar w:fldCharType="end"/>
    </w:r>
  </w:p>
  <w:p w:rsidR="001469E5" w:rsidRPr="00177B57" w:rsidRDefault="001469E5" w:rsidP="00177B57">
    <w:pPr>
      <w:pStyle w:val="Piedepgina"/>
      <w:framePr w:wrap="auto" w:vAnchor="text" w:hAnchor="page" w:x="10339" w:y="3"/>
      <w:ind w:right="360" w:firstLine="360"/>
      <w:rPr>
        <w:rStyle w:val="Nmerodepgina"/>
        <w:rFonts w:ascii="Amazone BT" w:hAnsi="Amazone BT" w:cs="Amazone BT"/>
      </w:rPr>
    </w:pPr>
  </w:p>
  <w:p w:rsidR="001469E5" w:rsidRPr="00177B57" w:rsidRDefault="001469E5">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042" w:rsidRDefault="009A2042" w:rsidP="00177B57">
      <w:pPr>
        <w:rPr>
          <w:rFonts w:cs="Times New Roman"/>
        </w:rPr>
      </w:pPr>
      <w:r>
        <w:rPr>
          <w:rFonts w:cs="Times New Roman"/>
        </w:rPr>
        <w:separator/>
      </w:r>
    </w:p>
  </w:footnote>
  <w:footnote w:type="continuationSeparator" w:id="1">
    <w:p w:rsidR="009A2042" w:rsidRDefault="009A2042"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5" w:rsidRDefault="001469E5">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355F5"/>
    <w:rsid w:val="00043F26"/>
    <w:rsid w:val="00045839"/>
    <w:rsid w:val="00050E10"/>
    <w:rsid w:val="00062B8B"/>
    <w:rsid w:val="000A20F3"/>
    <w:rsid w:val="000A6AE2"/>
    <w:rsid w:val="000B2248"/>
    <w:rsid w:val="000B2FBC"/>
    <w:rsid w:val="000C4104"/>
    <w:rsid w:val="000D299B"/>
    <w:rsid w:val="0012571D"/>
    <w:rsid w:val="0013036A"/>
    <w:rsid w:val="00145768"/>
    <w:rsid w:val="001469E5"/>
    <w:rsid w:val="00156B7E"/>
    <w:rsid w:val="00177B57"/>
    <w:rsid w:val="00181469"/>
    <w:rsid w:val="00190BC3"/>
    <w:rsid w:val="001912C5"/>
    <w:rsid w:val="001A26D4"/>
    <w:rsid w:val="001A7FB6"/>
    <w:rsid w:val="001B1133"/>
    <w:rsid w:val="001F5A1C"/>
    <w:rsid w:val="001F621E"/>
    <w:rsid w:val="002008D5"/>
    <w:rsid w:val="002065E3"/>
    <w:rsid w:val="002158C3"/>
    <w:rsid w:val="002233EC"/>
    <w:rsid w:val="00225091"/>
    <w:rsid w:val="002255AC"/>
    <w:rsid w:val="00230E3A"/>
    <w:rsid w:val="00231DBC"/>
    <w:rsid w:val="002336F3"/>
    <w:rsid w:val="00244CE4"/>
    <w:rsid w:val="00247F64"/>
    <w:rsid w:val="00253284"/>
    <w:rsid w:val="00255F92"/>
    <w:rsid w:val="00262FB6"/>
    <w:rsid w:val="00264FA1"/>
    <w:rsid w:val="0026648D"/>
    <w:rsid w:val="0027764C"/>
    <w:rsid w:val="002821A7"/>
    <w:rsid w:val="002877A6"/>
    <w:rsid w:val="00293F2E"/>
    <w:rsid w:val="002B7942"/>
    <w:rsid w:val="002C2AD9"/>
    <w:rsid w:val="002C543A"/>
    <w:rsid w:val="002E1204"/>
    <w:rsid w:val="00300FBB"/>
    <w:rsid w:val="003117A7"/>
    <w:rsid w:val="003130FA"/>
    <w:rsid w:val="00320862"/>
    <w:rsid w:val="00325EAA"/>
    <w:rsid w:val="00335AC2"/>
    <w:rsid w:val="0034146B"/>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1603F"/>
    <w:rsid w:val="00432A32"/>
    <w:rsid w:val="00456207"/>
    <w:rsid w:val="0046038A"/>
    <w:rsid w:val="00465116"/>
    <w:rsid w:val="00470D99"/>
    <w:rsid w:val="00484238"/>
    <w:rsid w:val="004A4282"/>
    <w:rsid w:val="004B4B96"/>
    <w:rsid w:val="004C1E18"/>
    <w:rsid w:val="004C2F9A"/>
    <w:rsid w:val="004D13F7"/>
    <w:rsid w:val="004D661D"/>
    <w:rsid w:val="004E2637"/>
    <w:rsid w:val="004F417D"/>
    <w:rsid w:val="00501B01"/>
    <w:rsid w:val="00507295"/>
    <w:rsid w:val="00512FDE"/>
    <w:rsid w:val="0053082C"/>
    <w:rsid w:val="005415C1"/>
    <w:rsid w:val="00551543"/>
    <w:rsid w:val="005569AE"/>
    <w:rsid w:val="0056474B"/>
    <w:rsid w:val="00565EE3"/>
    <w:rsid w:val="00567601"/>
    <w:rsid w:val="005B0888"/>
    <w:rsid w:val="005B355C"/>
    <w:rsid w:val="005E280E"/>
    <w:rsid w:val="005E5274"/>
    <w:rsid w:val="005E57EE"/>
    <w:rsid w:val="005F31B7"/>
    <w:rsid w:val="00600672"/>
    <w:rsid w:val="0060406F"/>
    <w:rsid w:val="00605286"/>
    <w:rsid w:val="00606E2E"/>
    <w:rsid w:val="00613C44"/>
    <w:rsid w:val="00620F4C"/>
    <w:rsid w:val="00641A58"/>
    <w:rsid w:val="00690C4B"/>
    <w:rsid w:val="006A282E"/>
    <w:rsid w:val="006B44FC"/>
    <w:rsid w:val="006C2EC6"/>
    <w:rsid w:val="006C3D4F"/>
    <w:rsid w:val="006C55D0"/>
    <w:rsid w:val="006D0493"/>
    <w:rsid w:val="006D1987"/>
    <w:rsid w:val="006E4EA8"/>
    <w:rsid w:val="006E5A77"/>
    <w:rsid w:val="006F058A"/>
    <w:rsid w:val="006F4A56"/>
    <w:rsid w:val="006F5DEE"/>
    <w:rsid w:val="006F63B5"/>
    <w:rsid w:val="0072461F"/>
    <w:rsid w:val="007316BB"/>
    <w:rsid w:val="00741465"/>
    <w:rsid w:val="00745297"/>
    <w:rsid w:val="00773685"/>
    <w:rsid w:val="00786D4E"/>
    <w:rsid w:val="00794D1F"/>
    <w:rsid w:val="007A0D70"/>
    <w:rsid w:val="007A200E"/>
    <w:rsid w:val="007A3B01"/>
    <w:rsid w:val="007C5ECA"/>
    <w:rsid w:val="00804758"/>
    <w:rsid w:val="00810C8F"/>
    <w:rsid w:val="0081120E"/>
    <w:rsid w:val="008356D3"/>
    <w:rsid w:val="00860AC5"/>
    <w:rsid w:val="00870989"/>
    <w:rsid w:val="0087338D"/>
    <w:rsid w:val="00884173"/>
    <w:rsid w:val="008C4760"/>
    <w:rsid w:val="008F02D6"/>
    <w:rsid w:val="008F48CE"/>
    <w:rsid w:val="009258CD"/>
    <w:rsid w:val="0093523F"/>
    <w:rsid w:val="009379A4"/>
    <w:rsid w:val="00944F9B"/>
    <w:rsid w:val="0095696E"/>
    <w:rsid w:val="0096438B"/>
    <w:rsid w:val="0097382E"/>
    <w:rsid w:val="009860C7"/>
    <w:rsid w:val="009962E0"/>
    <w:rsid w:val="00997F14"/>
    <w:rsid w:val="009A2042"/>
    <w:rsid w:val="009A4A64"/>
    <w:rsid w:val="009D454A"/>
    <w:rsid w:val="009E546A"/>
    <w:rsid w:val="00A04A60"/>
    <w:rsid w:val="00A07D67"/>
    <w:rsid w:val="00A14010"/>
    <w:rsid w:val="00A258DD"/>
    <w:rsid w:val="00A32875"/>
    <w:rsid w:val="00A33FD1"/>
    <w:rsid w:val="00A4229B"/>
    <w:rsid w:val="00A521CD"/>
    <w:rsid w:val="00A66BB5"/>
    <w:rsid w:val="00A76CAE"/>
    <w:rsid w:val="00A878D5"/>
    <w:rsid w:val="00AA3092"/>
    <w:rsid w:val="00AA3C1C"/>
    <w:rsid w:val="00AC4680"/>
    <w:rsid w:val="00AC5535"/>
    <w:rsid w:val="00AC69DC"/>
    <w:rsid w:val="00AE1520"/>
    <w:rsid w:val="00AE251F"/>
    <w:rsid w:val="00AE28A8"/>
    <w:rsid w:val="00B12AB6"/>
    <w:rsid w:val="00B47468"/>
    <w:rsid w:val="00B630F2"/>
    <w:rsid w:val="00B64CC3"/>
    <w:rsid w:val="00B70DE1"/>
    <w:rsid w:val="00B719A6"/>
    <w:rsid w:val="00B73739"/>
    <w:rsid w:val="00B90C0C"/>
    <w:rsid w:val="00BB46A0"/>
    <w:rsid w:val="00BE0F4B"/>
    <w:rsid w:val="00BE4139"/>
    <w:rsid w:val="00BE77D7"/>
    <w:rsid w:val="00C06A0A"/>
    <w:rsid w:val="00C21035"/>
    <w:rsid w:val="00C2316B"/>
    <w:rsid w:val="00C34E91"/>
    <w:rsid w:val="00C36B1A"/>
    <w:rsid w:val="00C36D5C"/>
    <w:rsid w:val="00C61570"/>
    <w:rsid w:val="00C87965"/>
    <w:rsid w:val="00C93539"/>
    <w:rsid w:val="00CA2A56"/>
    <w:rsid w:val="00CA6F43"/>
    <w:rsid w:val="00CB0D52"/>
    <w:rsid w:val="00CB2D02"/>
    <w:rsid w:val="00CE2116"/>
    <w:rsid w:val="00CE66D1"/>
    <w:rsid w:val="00D007E6"/>
    <w:rsid w:val="00D00C0E"/>
    <w:rsid w:val="00D20EB4"/>
    <w:rsid w:val="00D33B88"/>
    <w:rsid w:val="00D5562C"/>
    <w:rsid w:val="00D63F27"/>
    <w:rsid w:val="00D75293"/>
    <w:rsid w:val="00D871BF"/>
    <w:rsid w:val="00D92086"/>
    <w:rsid w:val="00D94EDB"/>
    <w:rsid w:val="00DB2409"/>
    <w:rsid w:val="00DC7386"/>
    <w:rsid w:val="00DD2A10"/>
    <w:rsid w:val="00DF7B19"/>
    <w:rsid w:val="00E10E98"/>
    <w:rsid w:val="00E114CE"/>
    <w:rsid w:val="00E120BC"/>
    <w:rsid w:val="00E14074"/>
    <w:rsid w:val="00E15278"/>
    <w:rsid w:val="00E24F98"/>
    <w:rsid w:val="00E30C46"/>
    <w:rsid w:val="00E34750"/>
    <w:rsid w:val="00E45208"/>
    <w:rsid w:val="00E51F2C"/>
    <w:rsid w:val="00E76067"/>
    <w:rsid w:val="00EA05C5"/>
    <w:rsid w:val="00EA3C92"/>
    <w:rsid w:val="00EB5966"/>
    <w:rsid w:val="00EF3E2A"/>
    <w:rsid w:val="00F03DC0"/>
    <w:rsid w:val="00F0425A"/>
    <w:rsid w:val="00F15790"/>
    <w:rsid w:val="00F20501"/>
    <w:rsid w:val="00F2790B"/>
    <w:rsid w:val="00F3126E"/>
    <w:rsid w:val="00F37408"/>
    <w:rsid w:val="00F72F7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127239958">
      <w:marLeft w:val="0"/>
      <w:marRight w:val="0"/>
      <w:marTop w:val="0"/>
      <w:marBottom w:val="0"/>
      <w:divBdr>
        <w:top w:val="none" w:sz="0" w:space="0" w:color="auto"/>
        <w:left w:val="none" w:sz="0" w:space="0" w:color="auto"/>
        <w:bottom w:val="none" w:sz="0" w:space="0" w:color="auto"/>
        <w:right w:val="none" w:sz="0" w:space="0" w:color="auto"/>
      </w:divBdr>
    </w:div>
    <w:div w:id="1127239959">
      <w:marLeft w:val="0"/>
      <w:marRight w:val="0"/>
      <w:marTop w:val="0"/>
      <w:marBottom w:val="0"/>
      <w:divBdr>
        <w:top w:val="none" w:sz="0" w:space="0" w:color="auto"/>
        <w:left w:val="none" w:sz="0" w:space="0" w:color="auto"/>
        <w:bottom w:val="none" w:sz="0" w:space="0" w:color="auto"/>
        <w:right w:val="none" w:sz="0" w:space="0" w:color="auto"/>
      </w:divBdr>
    </w:div>
    <w:div w:id="1127239960">
      <w:marLeft w:val="0"/>
      <w:marRight w:val="0"/>
      <w:marTop w:val="0"/>
      <w:marBottom w:val="0"/>
      <w:divBdr>
        <w:top w:val="none" w:sz="0" w:space="0" w:color="auto"/>
        <w:left w:val="none" w:sz="0" w:space="0" w:color="auto"/>
        <w:bottom w:val="none" w:sz="0" w:space="0" w:color="auto"/>
        <w:right w:val="none" w:sz="0" w:space="0" w:color="auto"/>
      </w:divBdr>
    </w:div>
    <w:div w:id="1127239961">
      <w:marLeft w:val="0"/>
      <w:marRight w:val="0"/>
      <w:marTop w:val="0"/>
      <w:marBottom w:val="0"/>
      <w:divBdr>
        <w:top w:val="none" w:sz="0" w:space="0" w:color="auto"/>
        <w:left w:val="none" w:sz="0" w:space="0" w:color="auto"/>
        <w:bottom w:val="none" w:sz="0" w:space="0" w:color="auto"/>
        <w:right w:val="none" w:sz="0" w:space="0" w:color="auto"/>
      </w:divBdr>
    </w:div>
    <w:div w:id="1127239962">
      <w:marLeft w:val="0"/>
      <w:marRight w:val="0"/>
      <w:marTop w:val="0"/>
      <w:marBottom w:val="0"/>
      <w:divBdr>
        <w:top w:val="none" w:sz="0" w:space="0" w:color="auto"/>
        <w:left w:val="none" w:sz="0" w:space="0" w:color="auto"/>
        <w:bottom w:val="none" w:sz="0" w:space="0" w:color="auto"/>
        <w:right w:val="none" w:sz="0" w:space="0" w:color="auto"/>
      </w:divBdr>
    </w:div>
    <w:div w:id="1127239963">
      <w:marLeft w:val="0"/>
      <w:marRight w:val="0"/>
      <w:marTop w:val="0"/>
      <w:marBottom w:val="0"/>
      <w:divBdr>
        <w:top w:val="none" w:sz="0" w:space="0" w:color="auto"/>
        <w:left w:val="none" w:sz="0" w:space="0" w:color="auto"/>
        <w:bottom w:val="none" w:sz="0" w:space="0" w:color="auto"/>
        <w:right w:val="none" w:sz="0" w:space="0" w:color="auto"/>
      </w:divBdr>
    </w:div>
    <w:div w:id="1127239964">
      <w:marLeft w:val="0"/>
      <w:marRight w:val="0"/>
      <w:marTop w:val="0"/>
      <w:marBottom w:val="0"/>
      <w:divBdr>
        <w:top w:val="none" w:sz="0" w:space="0" w:color="auto"/>
        <w:left w:val="none" w:sz="0" w:space="0" w:color="auto"/>
        <w:bottom w:val="none" w:sz="0" w:space="0" w:color="auto"/>
        <w:right w:val="none" w:sz="0" w:space="0" w:color="auto"/>
      </w:divBdr>
    </w:div>
    <w:div w:id="1127239965">
      <w:marLeft w:val="0"/>
      <w:marRight w:val="0"/>
      <w:marTop w:val="0"/>
      <w:marBottom w:val="0"/>
      <w:divBdr>
        <w:top w:val="none" w:sz="0" w:space="0" w:color="auto"/>
        <w:left w:val="none" w:sz="0" w:space="0" w:color="auto"/>
        <w:bottom w:val="none" w:sz="0" w:space="0" w:color="auto"/>
        <w:right w:val="none" w:sz="0" w:space="0" w:color="auto"/>
      </w:divBdr>
    </w:div>
    <w:div w:id="16595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2252</Words>
  <Characters>12388</Characters>
  <Application>Microsoft Office Word</Application>
  <DocSecurity>0</DocSecurity>
  <Lines>103</Lines>
  <Paragraphs>29</Paragraphs>
  <ScaleCrop>false</ScaleCrop>
  <Company>Hewlett-Packard Company</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6</cp:revision>
  <cp:lastPrinted>2015-05-12T15:16:00Z</cp:lastPrinted>
  <dcterms:created xsi:type="dcterms:W3CDTF">2015-10-02T00:43:00Z</dcterms:created>
  <dcterms:modified xsi:type="dcterms:W3CDTF">2016-03-11T15:45:00Z</dcterms:modified>
</cp:coreProperties>
</file>