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462" w:rsidRDefault="00A33462" w:rsidP="00536836">
      <w:pPr>
        <w:spacing w:line="360" w:lineRule="auto"/>
        <w:ind w:left="-425"/>
        <w:rPr>
          <w:rFonts w:ascii="Calibri" w:hAnsi="Calibri" w:cs="Calibri"/>
          <w:sz w:val="22"/>
          <w:szCs w:val="22"/>
          <w:highlight w:val="yellow"/>
          <w:lang w:val="es-ES"/>
        </w:rPr>
      </w:pPr>
    </w:p>
    <w:p w:rsidR="00525B94" w:rsidRDefault="00525B94" w:rsidP="00525B94">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E66583" w:rsidRDefault="00525B94" w:rsidP="00E66583">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E66583">
        <w:rPr>
          <w:rFonts w:ascii="Arial" w:hAnsi="Arial" w:cs="Arial"/>
          <w:b/>
          <w:bCs/>
          <w:color w:val="0000FF"/>
          <w:sz w:val="21"/>
          <w:szCs w:val="21"/>
        </w:rPr>
        <w:t>en la primera y última página de  este contrato)</w:t>
      </w:r>
    </w:p>
    <w:p w:rsidR="00525B94" w:rsidRPr="003E1E26" w:rsidRDefault="00525B94" w:rsidP="00525B94">
      <w:pPr>
        <w:jc w:val="center"/>
        <w:rPr>
          <w:rFonts w:ascii="Arial" w:hAnsi="Arial" w:cs="Arial"/>
          <w:b/>
          <w:bCs/>
          <w:color w:val="0000FF"/>
          <w:sz w:val="21"/>
          <w:szCs w:val="21"/>
        </w:rPr>
      </w:pPr>
    </w:p>
    <w:p w:rsidR="00A33462" w:rsidRDefault="00A33462" w:rsidP="007D16CB">
      <w:pPr>
        <w:pStyle w:val="Subttulo"/>
        <w:spacing w:line="360" w:lineRule="auto"/>
        <w:outlineLvl w:val="0"/>
        <w:rPr>
          <w:rFonts w:ascii="Bookman Old Style" w:hAnsi="Bookman Old Style" w:cs="Bookman Old Style"/>
          <w:sz w:val="20"/>
          <w:szCs w:val="20"/>
        </w:rPr>
      </w:pPr>
    </w:p>
    <w:p w:rsidR="00A33462" w:rsidRPr="00F65E96" w:rsidRDefault="00A33462" w:rsidP="007D16CB">
      <w:pPr>
        <w:pStyle w:val="Subttulo"/>
        <w:spacing w:line="360" w:lineRule="auto"/>
        <w:outlineLvl w:val="0"/>
        <w:rPr>
          <w:rFonts w:ascii="Bookman Old Style" w:hAnsi="Bookman Old Style" w:cs="Bookman Old Style"/>
          <w:sz w:val="20"/>
          <w:szCs w:val="20"/>
        </w:rPr>
      </w:pPr>
      <w:r w:rsidRPr="00F65E96">
        <w:rPr>
          <w:rFonts w:ascii="Bookman Old Style" w:hAnsi="Bookman Old Style" w:cs="Bookman Old Style"/>
          <w:sz w:val="20"/>
          <w:szCs w:val="20"/>
        </w:rPr>
        <w:t xml:space="preserve">Contrato </w:t>
      </w:r>
      <w:smartTag w:uri="urn:schemas-microsoft-com:office:smarttags" w:element="stockticker">
        <w:r w:rsidRPr="00F65E96">
          <w:rPr>
            <w:rFonts w:ascii="Bookman Old Style" w:hAnsi="Bookman Old Style" w:cs="Bookman Old Style"/>
            <w:sz w:val="20"/>
            <w:szCs w:val="20"/>
          </w:rPr>
          <w:t>MAG</w:t>
        </w:r>
      </w:smartTag>
      <w:r w:rsidRPr="00F65E96">
        <w:rPr>
          <w:rFonts w:ascii="Bookman Old Style" w:hAnsi="Bookman Old Style" w:cs="Bookman Old Style"/>
          <w:sz w:val="20"/>
          <w:szCs w:val="20"/>
        </w:rPr>
        <w:t>-BCIE-N° 019/2015</w:t>
      </w:r>
    </w:p>
    <w:p w:rsidR="00A33462" w:rsidRPr="00F65E96" w:rsidRDefault="00A33462" w:rsidP="007D16CB">
      <w:pPr>
        <w:autoSpaceDE w:val="0"/>
        <w:autoSpaceDN w:val="0"/>
        <w:adjustRightInd w:val="0"/>
        <w:spacing w:line="360" w:lineRule="auto"/>
        <w:jc w:val="center"/>
        <w:rPr>
          <w:rFonts w:ascii="Bookman Old Style" w:hAnsi="Bookman Old Style" w:cs="Bookman Old Style"/>
          <w:b/>
          <w:bCs/>
          <w:sz w:val="20"/>
          <w:szCs w:val="20"/>
          <w:lang w:val="es-ES" w:eastAsia="es-ES"/>
        </w:rPr>
      </w:pPr>
      <w:r w:rsidRPr="00F65E96">
        <w:rPr>
          <w:rFonts w:ascii="Bookman Old Style" w:hAnsi="Bookman Old Style" w:cs="Bookman Old Style"/>
          <w:b/>
          <w:bCs/>
          <w:sz w:val="20"/>
          <w:szCs w:val="20"/>
          <w:lang w:val="es-ES" w:eastAsia="es-ES"/>
        </w:rPr>
        <w:t>“ADQUISICION DE TANQUES</w:t>
      </w:r>
      <w:r>
        <w:rPr>
          <w:rFonts w:ascii="Bookman Old Style" w:hAnsi="Bookman Old Style" w:cs="Bookman Old Style"/>
          <w:b/>
          <w:bCs/>
          <w:sz w:val="20"/>
          <w:szCs w:val="20"/>
          <w:lang w:val="es-ES" w:eastAsia="es-ES"/>
        </w:rPr>
        <w:t xml:space="preserve"> PLASTICOS</w:t>
      </w:r>
      <w:r w:rsidRPr="00F65E96">
        <w:rPr>
          <w:rFonts w:ascii="Bookman Old Style" w:hAnsi="Bookman Old Style" w:cs="Bookman Old Style"/>
          <w:b/>
          <w:bCs/>
          <w:sz w:val="20"/>
          <w:szCs w:val="20"/>
          <w:lang w:val="es-ES" w:eastAsia="es-ES"/>
        </w:rPr>
        <w:t xml:space="preserve"> PARA CAPTACION DE AGUA”</w:t>
      </w:r>
    </w:p>
    <w:p w:rsidR="00A33462" w:rsidRPr="00F65E96" w:rsidRDefault="00A33462"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p w:rsidR="00A33462" w:rsidRPr="00F65E96" w:rsidRDefault="00A33462"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r w:rsidRPr="00F65E96">
        <w:rPr>
          <w:rFonts w:ascii="Bookman Old Style" w:hAnsi="Bookman Old Style"/>
          <w:sz w:val="20"/>
          <w:szCs w:val="20"/>
          <w:lang w:val="es-ES"/>
        </w:rPr>
        <w:t xml:space="preserve">Nosotros, </w:t>
      </w:r>
      <w:r w:rsidRPr="00F65E96">
        <w:rPr>
          <w:rFonts w:ascii="Bookman Old Style" w:hAnsi="Bookman Old Style"/>
          <w:b/>
          <w:bCs/>
          <w:sz w:val="20"/>
          <w:szCs w:val="20"/>
          <w:lang w:val="es-ES"/>
        </w:rPr>
        <w:t>ORESTES FREDESMAN ORTEZ ANDRADE</w:t>
      </w:r>
      <w:r w:rsidRPr="00F65E96">
        <w:rPr>
          <w:rFonts w:ascii="Bookman Old Style" w:hAnsi="Bookman Old Style"/>
          <w:sz w:val="20"/>
          <w:szCs w:val="20"/>
          <w:lang w:val="es-ES"/>
        </w:rPr>
        <w:t xml:space="preserve">, </w:t>
      </w:r>
      <w:r w:rsidR="00525B94" w:rsidRPr="00C7342A">
        <w:rPr>
          <w:highlight w:val="black"/>
        </w:rPr>
        <w:t>XX</w:t>
      </w:r>
      <w:r w:rsidR="00525B94">
        <w:rPr>
          <w:highlight w:val="black"/>
        </w:rPr>
        <w:t xml:space="preserve">XXXXXXDUI y domicilio </w:t>
      </w:r>
      <w:r w:rsidR="00525B94" w:rsidRPr="00F65E96">
        <w:rPr>
          <w:rFonts w:ascii="Bookman Old Style" w:hAnsi="Bookman Old Style"/>
          <w:sz w:val="20"/>
          <w:szCs w:val="20"/>
          <w:lang w:val="es-ES"/>
        </w:rPr>
        <w:t xml:space="preserve"> </w:t>
      </w:r>
      <w:r w:rsidRPr="00F65E96">
        <w:rPr>
          <w:rFonts w:ascii="Bookman Old Style" w:hAnsi="Bookman Old Style"/>
          <w:sz w:val="20"/>
          <w:szCs w:val="20"/>
          <w:lang w:val="es-ES"/>
        </w:rPr>
        <w:t xml:space="preserve">actuando en mi calidad de </w:t>
      </w:r>
      <w:r w:rsidRPr="00F65E96">
        <w:rPr>
          <w:rFonts w:ascii="Bookman Old Style" w:hAnsi="Bookman Old Style"/>
          <w:b/>
          <w:bCs/>
          <w:sz w:val="20"/>
          <w:szCs w:val="20"/>
          <w:lang w:val="es-ES"/>
        </w:rPr>
        <w:t>MINISTRO DE AGRICULTURA Y GANADERÍA</w:t>
      </w:r>
      <w:r w:rsidRPr="00F65E96">
        <w:rPr>
          <w:rFonts w:ascii="Bookman Old Style" w:hAnsi="Bookman Old Style"/>
          <w:sz w:val="20"/>
          <w:szCs w:val="20"/>
          <w:lang w:val="es-ES"/>
        </w:rPr>
        <w:t xml:space="preserve">, institución del domicilio de Santa Tecla, departamento de La Libertad, con número de identificación tributaria cero seiscientos catorce - cero diez mil ciento treinta y uno - cero cero seis - nueve, y que en el </w:t>
      </w:r>
      <w:r w:rsidRPr="00F65E96">
        <w:rPr>
          <w:rFonts w:ascii="Bookman Old Style" w:hAnsi="Bookman Old Style" w:cs="Bookman Old Style"/>
          <w:sz w:val="20"/>
          <w:szCs w:val="20"/>
          <w:lang w:val="es-ES" w:eastAsia="es-ES"/>
        </w:rPr>
        <w:t xml:space="preserve">transcurso de este instrumento me denominaré </w:t>
      </w:r>
      <w:r w:rsidRPr="00F65E96">
        <w:rPr>
          <w:rFonts w:ascii="Bookman Old Style" w:hAnsi="Bookman Old Style" w:cs="Bookman Old Style"/>
          <w:b/>
          <w:bCs/>
          <w:sz w:val="20"/>
          <w:szCs w:val="20"/>
          <w:lang w:val="es-ES" w:eastAsia="es-ES"/>
        </w:rPr>
        <w:t xml:space="preserve">“EL CONTRATANTE o EL </w:t>
      </w:r>
      <w:smartTag w:uri="urn:schemas-microsoft-com:office:smarttags" w:element="stockticker">
        <w:r w:rsidRPr="00F65E96">
          <w:rPr>
            <w:rFonts w:ascii="Bookman Old Style" w:hAnsi="Bookman Old Style" w:cs="Bookman Old Style"/>
            <w:b/>
            <w:bCs/>
            <w:sz w:val="20"/>
            <w:szCs w:val="20"/>
            <w:lang w:val="es-ES" w:eastAsia="es-ES"/>
          </w:rPr>
          <w:t>MAG</w:t>
        </w:r>
      </w:smartTag>
      <w:r w:rsidRPr="00F65E96">
        <w:rPr>
          <w:rFonts w:ascii="Bookman Old Style" w:hAnsi="Bookman Old Style" w:cs="Bookman Old Style"/>
          <w:b/>
          <w:bCs/>
          <w:sz w:val="20"/>
          <w:szCs w:val="20"/>
          <w:lang w:val="es-ES" w:eastAsia="es-ES"/>
        </w:rPr>
        <w:t>”</w:t>
      </w:r>
      <w:r w:rsidRPr="00F65E96">
        <w:rPr>
          <w:rFonts w:ascii="Bookman Old Style" w:hAnsi="Bookman Old Style" w:cs="Bookman Old Style"/>
          <w:sz w:val="20"/>
          <w:szCs w:val="20"/>
          <w:lang w:val="es-ES" w:eastAsia="es-ES"/>
        </w:rPr>
        <w:t xml:space="preserve">; y por otra parte </w:t>
      </w:r>
      <w:r w:rsidRPr="00F65E96">
        <w:rPr>
          <w:rFonts w:ascii="Bookman Old Style" w:hAnsi="Bookman Old Style" w:cs="Bookman Old Style"/>
          <w:b/>
          <w:bCs/>
          <w:sz w:val="20"/>
          <w:szCs w:val="20"/>
          <w:lang w:val="es-ES" w:eastAsia="es-ES"/>
        </w:rPr>
        <w:t>WALTER EDGARDO PACHECO MELENDEZ</w:t>
      </w:r>
      <w:r w:rsidRPr="00F65E96">
        <w:rPr>
          <w:rFonts w:ascii="Bookman Old Style" w:hAnsi="Bookman Old Style" w:cs="Bookman Old Style"/>
          <w:sz w:val="20"/>
          <w:szCs w:val="20"/>
          <w:lang w:val="es-ES" w:eastAsia="es-ES"/>
        </w:rPr>
        <w:t>,</w:t>
      </w:r>
      <w:r w:rsidR="00525B94">
        <w:rPr>
          <w:rFonts w:ascii="Bookman Old Style" w:hAnsi="Bookman Old Style" w:cs="Bookman Old Style"/>
          <w:sz w:val="20"/>
          <w:szCs w:val="20"/>
          <w:lang w:val="es-ES" w:eastAsia="es-ES"/>
        </w:rPr>
        <w:t xml:space="preserve"> </w:t>
      </w:r>
      <w:r w:rsidR="00525B94" w:rsidRPr="00C7342A">
        <w:rPr>
          <w:highlight w:val="black"/>
        </w:rPr>
        <w:t>XXXXXXXXDUI y domicilio XXXXXXXXXX</w:t>
      </w:r>
      <w:r w:rsidRPr="00F65E96">
        <w:rPr>
          <w:rFonts w:ascii="Bookman Old Style" w:hAnsi="Bookman Old Style" w:cs="Bookman Old Style"/>
          <w:sz w:val="20"/>
          <w:szCs w:val="20"/>
          <w:lang w:val="es-ES" w:eastAsia="es-ES"/>
        </w:rPr>
        <w:t xml:space="preserve"> actuando en mi carácter de Administrador Único Propietario y Representante Judicial y Extrajudicial de la Sociedad </w:t>
      </w:r>
      <w:r w:rsidRPr="00F65E96">
        <w:rPr>
          <w:rFonts w:ascii="Bookman Old Style" w:hAnsi="Bookman Old Style" w:cs="Bookman Old Style"/>
          <w:b/>
          <w:bCs/>
          <w:sz w:val="20"/>
          <w:szCs w:val="20"/>
          <w:lang w:val="es-ES" w:eastAsia="es-ES"/>
        </w:rPr>
        <w:t>O.M. DIVERSOS, SOCIEDAD ANÓNIMA DE CAPITAL VARIABLE</w:t>
      </w:r>
      <w:r w:rsidRPr="00F65E96">
        <w:rPr>
          <w:rFonts w:ascii="Bookman Old Style" w:hAnsi="Bookman Old Style" w:cs="Bookman Old Style"/>
          <w:sz w:val="20"/>
          <w:szCs w:val="20"/>
          <w:lang w:val="es-ES" w:eastAsia="es-ES"/>
        </w:rPr>
        <w:t xml:space="preserve">, que puede abreviarse </w:t>
      </w:r>
      <w:r w:rsidRPr="00F65E96">
        <w:rPr>
          <w:rFonts w:ascii="Bookman Old Style" w:hAnsi="Bookman Old Style" w:cs="Bookman Old Style"/>
          <w:b/>
          <w:bCs/>
          <w:sz w:val="20"/>
          <w:szCs w:val="20"/>
          <w:lang w:val="es-ES" w:eastAsia="es-ES"/>
        </w:rPr>
        <w:t>O.M. DIVERSOS, S.A. DE C.V.</w:t>
      </w:r>
      <w:r w:rsidRPr="00F65E96">
        <w:rPr>
          <w:rFonts w:ascii="Bookman Old Style" w:hAnsi="Bookman Old Style" w:cs="Bookman Old Style"/>
          <w:sz w:val="20"/>
          <w:szCs w:val="20"/>
          <w:lang w:val="es-ES" w:eastAsia="es-ES"/>
        </w:rPr>
        <w:t xml:space="preserve">, persona jurídica del domicilio principal de San Salvador, departamento de San Salvador, con Número de Identificación Tributaria cero seiscientos catorce – ciento cincuenta mil seiscientos- ciento cinco-cero, que en el transcurso del presente instrumento me denominaré </w:t>
      </w:r>
      <w:r w:rsidRPr="00F65E96">
        <w:rPr>
          <w:rFonts w:ascii="Bookman Old Style" w:hAnsi="Bookman Old Style" w:cs="Bookman Old Style"/>
          <w:b/>
          <w:bCs/>
          <w:sz w:val="20"/>
          <w:szCs w:val="20"/>
          <w:lang w:val="es-ES" w:eastAsia="es-ES"/>
        </w:rPr>
        <w:t>“LA CONTRATISTA”</w:t>
      </w:r>
      <w:r w:rsidRPr="00F65E96">
        <w:rPr>
          <w:rFonts w:ascii="Bookman Old Style" w:hAnsi="Bookman Old Style" w:cs="Bookman Old Style"/>
          <w:sz w:val="20"/>
          <w:szCs w:val="20"/>
          <w:lang w:val="es-ES" w:eastAsia="es-ES"/>
        </w:rPr>
        <w:t xml:space="preserve">; y en los caracteres dichos </w:t>
      </w:r>
      <w:r w:rsidRPr="00F65E96">
        <w:rPr>
          <w:rFonts w:ascii="Bookman Old Style" w:hAnsi="Bookman Old Style" w:cs="Bookman Old Style"/>
          <w:b/>
          <w:bCs/>
          <w:sz w:val="20"/>
          <w:szCs w:val="20"/>
          <w:lang w:val="es-ES" w:eastAsia="es-ES"/>
        </w:rPr>
        <w:t>MANIFESTAMOS:</w:t>
      </w:r>
      <w:r w:rsidRPr="00F65E96">
        <w:rPr>
          <w:rFonts w:ascii="Bookman Old Style" w:hAnsi="Bookman Old Style" w:cs="Bookman Old Style"/>
          <w:sz w:val="20"/>
          <w:szCs w:val="20"/>
          <w:lang w:val="es-ES" w:eastAsia="es-ES"/>
        </w:rPr>
        <w:t xml:space="preserve"> Que hemos acordado otorgar el presente contrato de </w:t>
      </w:r>
      <w:r w:rsidRPr="00F65E96">
        <w:rPr>
          <w:rFonts w:ascii="Bookman Old Style" w:hAnsi="Bookman Old Style" w:cs="Bookman Old Style"/>
          <w:b/>
          <w:bCs/>
          <w:sz w:val="20"/>
          <w:szCs w:val="20"/>
          <w:lang w:val="es-ES" w:eastAsia="es-ES"/>
        </w:rPr>
        <w:t>“ADQUISICION DE TANQUES PLASTICOS PARA CAPTACION DE AGUA"</w:t>
      </w:r>
      <w:r w:rsidRPr="00F65E96">
        <w:rPr>
          <w:rFonts w:ascii="Bookman Old Style" w:hAnsi="Bookman Old Style" w:cs="Bookman Old Style"/>
          <w:sz w:val="20"/>
          <w:szCs w:val="20"/>
          <w:lang w:val="es-ES" w:eastAsia="es-ES"/>
        </w:rPr>
        <w:t xml:space="preserve">, a favor y a satisfacción del Ministerio de Agricultura y Ganadería, en virtud de lo establecido en la invitación al proceso de Comparación de Precios </w:t>
      </w:r>
      <w:r w:rsidRPr="00F65E96">
        <w:rPr>
          <w:rFonts w:ascii="Bookman Old Style" w:hAnsi="Bookman Old Style" w:cs="Bookman Old Style"/>
          <w:b/>
          <w:bCs/>
          <w:sz w:val="20"/>
          <w:szCs w:val="20"/>
          <w:lang w:val="es-ES" w:eastAsia="es-ES"/>
        </w:rPr>
        <w:t xml:space="preserve">CP-04/2015 - </w:t>
      </w:r>
      <w:smartTag w:uri="urn:schemas-microsoft-com:office:smarttags" w:element="stockticker">
        <w:r w:rsidRPr="00F65E96">
          <w:rPr>
            <w:rFonts w:ascii="Bookman Old Style" w:hAnsi="Bookman Old Style" w:cs="Bookman Old Style"/>
            <w:b/>
            <w:bCs/>
            <w:sz w:val="20"/>
            <w:szCs w:val="20"/>
            <w:lang w:val="es-ES" w:eastAsia="es-ES"/>
          </w:rPr>
          <w:t>MAG</w:t>
        </w:r>
      </w:smartTag>
      <w:r w:rsidRPr="00F65E96">
        <w:rPr>
          <w:rFonts w:ascii="Bookman Old Style" w:hAnsi="Bookman Old Style" w:cs="Bookman Old Style"/>
          <w:b/>
          <w:bCs/>
          <w:sz w:val="20"/>
          <w:szCs w:val="20"/>
          <w:lang w:val="es-ES" w:eastAsia="es-ES"/>
        </w:rPr>
        <w:t xml:space="preserve"> - BCIE,</w:t>
      </w:r>
      <w:r w:rsidRPr="00F65E96">
        <w:rPr>
          <w:rFonts w:ascii="Bookman Old Style" w:hAnsi="Bookman Old Style" w:cs="Bookman Old Style"/>
          <w:sz w:val="20"/>
          <w:szCs w:val="20"/>
          <w:lang w:val="es-ES" w:eastAsia="es-ES"/>
        </w:rPr>
        <w:t xml:space="preserve"> denominado </w:t>
      </w:r>
      <w:r w:rsidRPr="00F65E96">
        <w:rPr>
          <w:rFonts w:ascii="Bookman Old Style" w:hAnsi="Bookman Old Style" w:cs="Bookman Old Style"/>
          <w:b/>
          <w:bCs/>
          <w:sz w:val="20"/>
          <w:szCs w:val="20"/>
          <w:lang w:val="es-ES" w:eastAsia="es-ES"/>
        </w:rPr>
        <w:t>“ADQUISICION DE TANQUES PLASTICOS PARA CAPTACION DE AGUA"</w:t>
      </w:r>
      <w:r w:rsidRPr="00F65E96">
        <w:rPr>
          <w:rFonts w:ascii="Bookman Old Style" w:hAnsi="Bookman Old Style" w:cs="Bookman Old Style"/>
          <w:sz w:val="20"/>
          <w:szCs w:val="20"/>
          <w:lang w:val="es-ES" w:eastAsia="es-ES"/>
        </w:rPr>
        <w:t xml:space="preserve">, resolución de adjudicación de las trece horas del día veintiuno de agosto de dos mil quince, 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F65E96">
        <w:rPr>
          <w:rFonts w:ascii="Bookman Old Style" w:hAnsi="Bookman Old Style" w:cs="Bookman Old Style"/>
          <w:sz w:val="20"/>
          <w:szCs w:val="20"/>
        </w:rPr>
        <w:t>la Política para la Obtención de Bienes, Obras, Servicios y Consultorías con Recursos del BCIE y las Normas para Aplicación de la Política para la Obtención de Bienes, Obras, Servicios y Consultorías (BCIE)</w:t>
      </w:r>
      <w:r w:rsidRPr="00F65E96">
        <w:rPr>
          <w:rFonts w:ascii="Bookman Old Style" w:hAnsi="Bookman Old Style" w:cs="Bookman Old Style"/>
          <w:sz w:val="20"/>
          <w:szCs w:val="20"/>
          <w:lang w:val="es-ES" w:eastAsia="es-ES"/>
        </w:rPr>
        <w:t xml:space="preserve"> y supletoriamente por la Ley de Adquisiciones y Contrataciones de la Administración Pública, LACAP y su Reglamento, y en especial con las obligaciones, condiciones y pactos siguientes: </w:t>
      </w:r>
      <w:r w:rsidRPr="00F65E96">
        <w:rPr>
          <w:rFonts w:ascii="Bookman Old Style" w:hAnsi="Bookman Old Style" w:cs="Bookman Old Style"/>
          <w:b/>
          <w:bCs/>
          <w:sz w:val="20"/>
          <w:szCs w:val="20"/>
          <w:lang w:val="es-ES" w:eastAsia="es-ES"/>
        </w:rPr>
        <w:t xml:space="preserve">I.- OBJETO </w:t>
      </w:r>
      <w:smartTag w:uri="urn:schemas-microsoft-com:office:smarttags" w:element="stockticker">
        <w:r w:rsidRPr="00F65E96">
          <w:rPr>
            <w:rFonts w:ascii="Bookman Old Style" w:hAnsi="Bookman Old Style" w:cs="Bookman Old Style"/>
            <w:b/>
            <w:bCs/>
            <w:sz w:val="20"/>
            <w:szCs w:val="20"/>
            <w:lang w:val="es-ES" w:eastAsia="es-ES"/>
          </w:rPr>
          <w:t>DEL</w:t>
        </w:r>
      </w:smartTag>
      <w:r w:rsidRPr="00F65E96">
        <w:rPr>
          <w:rFonts w:ascii="Bookman Old Style" w:hAnsi="Bookman Old Style" w:cs="Bookman Old Style"/>
          <w:b/>
          <w:bCs/>
          <w:sz w:val="20"/>
          <w:szCs w:val="20"/>
          <w:lang w:val="es-ES" w:eastAsia="es-ES"/>
        </w:rPr>
        <w:t xml:space="preserve"> CONTRATO.</w:t>
      </w:r>
      <w:r w:rsidRPr="00F65E96">
        <w:rPr>
          <w:rFonts w:ascii="Bookman Old Style" w:hAnsi="Bookman Old Style" w:cs="Bookman Old Style"/>
          <w:sz w:val="20"/>
          <w:szCs w:val="20"/>
          <w:lang w:val="es-ES" w:eastAsia="es-ES"/>
        </w:rPr>
        <w:t xml:space="preserve"> El objeto del presente contrato es la </w:t>
      </w:r>
      <w:r w:rsidRPr="00F65E96">
        <w:rPr>
          <w:rFonts w:ascii="Bookman Old Style" w:hAnsi="Bookman Old Style" w:cs="Bookman Old Style"/>
          <w:b/>
          <w:bCs/>
          <w:sz w:val="20"/>
          <w:szCs w:val="20"/>
          <w:lang w:val="es-ES" w:eastAsia="es-ES"/>
        </w:rPr>
        <w:t>ADQUISICION DE TANQUES PLASTICOS PARA CAPTACION DE AGUA</w:t>
      </w:r>
      <w:r w:rsidRPr="00F65E96">
        <w:rPr>
          <w:rFonts w:ascii="Bookman Old Style" w:hAnsi="Bookman Old Style" w:cs="Bookman Old Style"/>
          <w:sz w:val="20"/>
          <w:szCs w:val="20"/>
          <w:lang w:val="es-ES" w:eastAsia="es-ES"/>
        </w:rPr>
        <w:t>, según el siguiente detalle:</w:t>
      </w:r>
    </w:p>
    <w:p w:rsidR="00A33462" w:rsidRPr="00F65E96" w:rsidRDefault="00A33462"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1"/>
          <w:szCs w:val="21"/>
          <w:lang w:val="es-ES" w:eastAsia="es-ES"/>
        </w:rPr>
      </w:pPr>
    </w:p>
    <w:tbl>
      <w:tblPr>
        <w:tblW w:w="721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2"/>
        <w:gridCol w:w="1774"/>
        <w:gridCol w:w="710"/>
        <w:gridCol w:w="729"/>
        <w:gridCol w:w="690"/>
        <w:gridCol w:w="951"/>
        <w:gridCol w:w="1182"/>
      </w:tblGrid>
      <w:tr w:rsidR="00A33462" w:rsidRPr="004C3D62">
        <w:trPr>
          <w:trHeight w:val="347"/>
          <w:jc w:val="center"/>
        </w:trPr>
        <w:tc>
          <w:tcPr>
            <w:tcW w:w="7218" w:type="dxa"/>
            <w:gridSpan w:val="7"/>
          </w:tcPr>
          <w:p w:rsidR="00A33462" w:rsidRPr="00D009C7" w:rsidRDefault="00A33462" w:rsidP="00D009C7">
            <w:pPr>
              <w:jc w:val="center"/>
              <w:rPr>
                <w:rFonts w:ascii="Calibri" w:hAnsi="Calibri" w:cs="Calibri"/>
                <w:sz w:val="12"/>
                <w:szCs w:val="12"/>
                <w:lang w:val="es-SV"/>
              </w:rPr>
            </w:pPr>
          </w:p>
          <w:p w:rsidR="00A33462" w:rsidRPr="00D009C7" w:rsidRDefault="00A33462" w:rsidP="00D009C7">
            <w:pPr>
              <w:jc w:val="center"/>
              <w:rPr>
                <w:rFonts w:ascii="Calibri" w:hAnsi="Calibri" w:cs="Calibri"/>
                <w:b/>
                <w:bCs/>
                <w:sz w:val="12"/>
                <w:szCs w:val="12"/>
                <w:lang w:val="es-SV"/>
              </w:rPr>
            </w:pPr>
            <w:r w:rsidRPr="00D009C7">
              <w:rPr>
                <w:rFonts w:ascii="Calibri" w:hAnsi="Calibri" w:cs="Calibri"/>
                <w:b/>
                <w:bCs/>
                <w:sz w:val="12"/>
                <w:szCs w:val="12"/>
                <w:lang w:val="es-SV"/>
              </w:rPr>
              <w:t>O.M DIVERSOS, SOCIEDAD ANONIMA DE CAPITAL VARIABLE</w:t>
            </w:r>
          </w:p>
          <w:p w:rsidR="00A33462" w:rsidRPr="00D009C7" w:rsidRDefault="00A33462" w:rsidP="00D009C7">
            <w:pPr>
              <w:jc w:val="center"/>
              <w:rPr>
                <w:rFonts w:ascii="Calibri" w:hAnsi="Calibri" w:cs="Calibri"/>
                <w:sz w:val="12"/>
                <w:szCs w:val="12"/>
                <w:lang w:val="es-SV"/>
              </w:rPr>
            </w:pPr>
          </w:p>
        </w:tc>
      </w:tr>
      <w:tr w:rsidR="00A33462" w:rsidRPr="004C3D62">
        <w:trPr>
          <w:trHeight w:val="341"/>
          <w:jc w:val="center"/>
        </w:trPr>
        <w:tc>
          <w:tcPr>
            <w:tcW w:w="1182" w:type="dxa"/>
          </w:tcPr>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Bien Requerido</w:t>
            </w:r>
          </w:p>
        </w:tc>
        <w:tc>
          <w:tcPr>
            <w:tcW w:w="1774" w:type="dxa"/>
          </w:tcPr>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Especificaciones Mínimas requeridas</w:t>
            </w:r>
          </w:p>
        </w:tc>
        <w:tc>
          <w:tcPr>
            <w:tcW w:w="710" w:type="dxa"/>
          </w:tcPr>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Unidad de Medida</w:t>
            </w:r>
          </w:p>
        </w:tc>
        <w:tc>
          <w:tcPr>
            <w:tcW w:w="729" w:type="dxa"/>
          </w:tcPr>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Cantidad Requerida</w:t>
            </w:r>
          </w:p>
        </w:tc>
        <w:tc>
          <w:tcPr>
            <w:tcW w:w="690" w:type="dxa"/>
          </w:tcPr>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Cantidad Ofertada</w:t>
            </w:r>
          </w:p>
        </w:tc>
        <w:tc>
          <w:tcPr>
            <w:tcW w:w="951" w:type="dxa"/>
          </w:tcPr>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Precio Unitario Ofertado</w:t>
            </w:r>
          </w:p>
        </w:tc>
        <w:tc>
          <w:tcPr>
            <w:tcW w:w="1182" w:type="dxa"/>
          </w:tcPr>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Precio Unitario Ofertado con IVA US$</w:t>
            </w:r>
          </w:p>
        </w:tc>
      </w:tr>
      <w:tr w:rsidR="00A33462" w:rsidRPr="004C3D62">
        <w:trPr>
          <w:trHeight w:val="686"/>
          <w:jc w:val="center"/>
        </w:trPr>
        <w:tc>
          <w:tcPr>
            <w:tcW w:w="1182" w:type="dxa"/>
          </w:tcPr>
          <w:p w:rsidR="00A33462" w:rsidRPr="00D009C7" w:rsidRDefault="00A33462" w:rsidP="00D009C7">
            <w:pPr>
              <w:jc w:val="left"/>
              <w:rPr>
                <w:rFonts w:ascii="Calibri" w:hAnsi="Calibri" w:cs="Calibri"/>
                <w:b/>
                <w:bCs/>
                <w:sz w:val="12"/>
                <w:szCs w:val="12"/>
                <w:lang w:val="es-SV"/>
              </w:rPr>
            </w:pPr>
          </w:p>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Recipientes para almacenamiento de agua potable:</w:t>
            </w:r>
          </w:p>
        </w:tc>
        <w:tc>
          <w:tcPr>
            <w:tcW w:w="1774" w:type="dxa"/>
          </w:tcPr>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1.Con capacidad para 20 a 30 litros</w:t>
            </w:r>
          </w:p>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2. Con chorro y tapadera plástica incluidos</w:t>
            </w:r>
          </w:p>
        </w:tc>
        <w:tc>
          <w:tcPr>
            <w:tcW w:w="710" w:type="dxa"/>
          </w:tcPr>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Unidades</w:t>
            </w:r>
          </w:p>
        </w:tc>
        <w:tc>
          <w:tcPr>
            <w:tcW w:w="729" w:type="dxa"/>
          </w:tcPr>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35</w:t>
            </w:r>
          </w:p>
        </w:tc>
        <w:tc>
          <w:tcPr>
            <w:tcW w:w="690" w:type="dxa"/>
          </w:tcPr>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35</w:t>
            </w:r>
          </w:p>
        </w:tc>
        <w:tc>
          <w:tcPr>
            <w:tcW w:w="951" w:type="dxa"/>
          </w:tcPr>
          <w:p w:rsidR="00A33462" w:rsidRPr="00D009C7" w:rsidRDefault="00A33462" w:rsidP="00D009C7">
            <w:pPr>
              <w:jc w:val="center"/>
              <w:rPr>
                <w:rFonts w:ascii="Calibri" w:hAnsi="Calibri" w:cs="Calibri"/>
                <w:sz w:val="12"/>
                <w:szCs w:val="12"/>
                <w:lang w:val="es-SV"/>
              </w:rPr>
            </w:pPr>
          </w:p>
          <w:p w:rsidR="00A33462" w:rsidRPr="00D009C7" w:rsidRDefault="00A33462" w:rsidP="00D009C7">
            <w:pPr>
              <w:jc w:val="center"/>
              <w:rPr>
                <w:rFonts w:ascii="Calibri" w:hAnsi="Calibri" w:cs="Calibri"/>
                <w:sz w:val="12"/>
                <w:szCs w:val="12"/>
                <w:lang w:val="es-SV"/>
              </w:rPr>
            </w:pPr>
            <w:r w:rsidRPr="00D009C7">
              <w:rPr>
                <w:rFonts w:ascii="Calibri" w:hAnsi="Calibri" w:cs="Calibri"/>
                <w:sz w:val="12"/>
                <w:szCs w:val="12"/>
                <w:lang w:val="es-SV"/>
              </w:rPr>
              <w:t>$39.30</w:t>
            </w:r>
          </w:p>
        </w:tc>
        <w:tc>
          <w:tcPr>
            <w:tcW w:w="1182" w:type="dxa"/>
          </w:tcPr>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$1,375.50</w:t>
            </w:r>
          </w:p>
        </w:tc>
      </w:tr>
      <w:tr w:rsidR="00A33462" w:rsidRPr="004C3D62">
        <w:trPr>
          <w:trHeight w:val="3483"/>
          <w:jc w:val="center"/>
        </w:trPr>
        <w:tc>
          <w:tcPr>
            <w:tcW w:w="1182" w:type="dxa"/>
          </w:tcPr>
          <w:p w:rsidR="00A33462" w:rsidRPr="00D009C7" w:rsidRDefault="00A33462" w:rsidP="00D009C7">
            <w:pPr>
              <w:jc w:val="left"/>
              <w:rPr>
                <w:rFonts w:ascii="Calibri" w:hAnsi="Calibri" w:cs="Calibri"/>
                <w:b/>
                <w:bCs/>
                <w:sz w:val="12"/>
                <w:szCs w:val="12"/>
                <w:lang w:val="es-SV"/>
              </w:rPr>
            </w:pPr>
          </w:p>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Tanques plásticos para almacenamiento de agua potable en fincas ganaderas:</w:t>
            </w:r>
          </w:p>
        </w:tc>
        <w:tc>
          <w:tcPr>
            <w:tcW w:w="1774" w:type="dxa"/>
          </w:tcPr>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1.Con capacidad de 1,000 litros</w:t>
            </w: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2.con protección de la acción de los rayo ultravioleta</w:t>
            </w: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 xml:space="preserve">3.  con tapa tipo escotilla que permite el ingreso de una persona </w:t>
            </w: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4. accesorios:</w:t>
            </w: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Válvula de llenado</w:t>
            </w: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Flotador que asegure que el agua no rebase el nivel óptimo del tinaco evitando que el agua se derrame</w:t>
            </w: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Filtro estándar: retiene tierra y sedimentos, evitando que se tapen las tuberías y brindando agua limpia y transparente.</w:t>
            </w: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5. Los tanques deberán tener sus accesorios instalados</w:t>
            </w: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 xml:space="preserve">6. Entregados en 12 fincas ganaderas a nivel nacional, inscritas al Programa de Agricultura Familiar (En departamentos de Ahuachapán, Sonsonate, La Libertad, La Paz, San Vicente, Cabañas, Chalatenango, Usulután, San Miguel, Morazán y La Unión) </w:t>
            </w:r>
          </w:p>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p>
        </w:tc>
        <w:tc>
          <w:tcPr>
            <w:tcW w:w="710" w:type="dxa"/>
          </w:tcPr>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Unidades</w:t>
            </w:r>
          </w:p>
        </w:tc>
        <w:tc>
          <w:tcPr>
            <w:tcW w:w="729" w:type="dxa"/>
          </w:tcPr>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12</w:t>
            </w:r>
          </w:p>
        </w:tc>
        <w:tc>
          <w:tcPr>
            <w:tcW w:w="690" w:type="dxa"/>
          </w:tcPr>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12</w:t>
            </w:r>
          </w:p>
        </w:tc>
        <w:tc>
          <w:tcPr>
            <w:tcW w:w="951" w:type="dxa"/>
          </w:tcPr>
          <w:p w:rsidR="00A33462" w:rsidRPr="00D009C7" w:rsidRDefault="00A33462" w:rsidP="00D009C7">
            <w:pPr>
              <w:jc w:val="center"/>
              <w:rPr>
                <w:rFonts w:ascii="Calibri" w:hAnsi="Calibri" w:cs="Calibri"/>
                <w:sz w:val="12"/>
                <w:szCs w:val="12"/>
                <w:lang w:val="es-SV"/>
              </w:rPr>
            </w:pPr>
          </w:p>
          <w:p w:rsidR="00A33462" w:rsidRPr="00D009C7" w:rsidRDefault="00A33462" w:rsidP="00D009C7">
            <w:pPr>
              <w:jc w:val="center"/>
              <w:rPr>
                <w:rFonts w:ascii="Calibri" w:hAnsi="Calibri" w:cs="Calibri"/>
                <w:sz w:val="12"/>
                <w:szCs w:val="12"/>
                <w:lang w:val="es-SV"/>
              </w:rPr>
            </w:pPr>
            <w:r w:rsidRPr="00D009C7">
              <w:rPr>
                <w:rFonts w:ascii="Calibri" w:hAnsi="Calibri" w:cs="Calibri"/>
                <w:sz w:val="12"/>
                <w:szCs w:val="12"/>
                <w:lang w:val="es-SV"/>
              </w:rPr>
              <w:t>$300.00</w:t>
            </w:r>
          </w:p>
        </w:tc>
        <w:tc>
          <w:tcPr>
            <w:tcW w:w="1182" w:type="dxa"/>
          </w:tcPr>
          <w:p w:rsidR="00A33462" w:rsidRPr="00D009C7" w:rsidRDefault="00A33462" w:rsidP="00D009C7">
            <w:pPr>
              <w:jc w:val="left"/>
              <w:rPr>
                <w:rFonts w:ascii="Calibri" w:hAnsi="Calibri" w:cs="Calibri"/>
                <w:sz w:val="12"/>
                <w:szCs w:val="12"/>
                <w:lang w:val="es-SV"/>
              </w:rPr>
            </w:pPr>
          </w:p>
          <w:p w:rsidR="00A33462" w:rsidRPr="00D009C7" w:rsidRDefault="00A33462" w:rsidP="00D009C7">
            <w:pPr>
              <w:jc w:val="left"/>
              <w:rPr>
                <w:rFonts w:ascii="Calibri" w:hAnsi="Calibri" w:cs="Calibri"/>
                <w:sz w:val="12"/>
                <w:szCs w:val="12"/>
                <w:lang w:val="es-SV"/>
              </w:rPr>
            </w:pPr>
            <w:r w:rsidRPr="00D009C7">
              <w:rPr>
                <w:rFonts w:ascii="Calibri" w:hAnsi="Calibri" w:cs="Calibri"/>
                <w:sz w:val="12"/>
                <w:szCs w:val="12"/>
                <w:lang w:val="es-SV"/>
              </w:rPr>
              <w:t>$3,600.00</w:t>
            </w:r>
          </w:p>
        </w:tc>
      </w:tr>
      <w:tr w:rsidR="00A33462" w:rsidRPr="004C3D62">
        <w:trPr>
          <w:trHeight w:val="109"/>
          <w:jc w:val="center"/>
        </w:trPr>
        <w:tc>
          <w:tcPr>
            <w:tcW w:w="6036" w:type="dxa"/>
            <w:gridSpan w:val="6"/>
          </w:tcPr>
          <w:p w:rsidR="00A33462" w:rsidRPr="00D009C7" w:rsidRDefault="00A33462" w:rsidP="00D009C7">
            <w:pPr>
              <w:jc w:val="center"/>
              <w:rPr>
                <w:rFonts w:ascii="Calibri" w:hAnsi="Calibri" w:cs="Calibri"/>
                <w:b/>
                <w:bCs/>
                <w:sz w:val="12"/>
                <w:szCs w:val="12"/>
                <w:lang w:val="es-SV"/>
              </w:rPr>
            </w:pPr>
            <w:r w:rsidRPr="00D009C7">
              <w:rPr>
                <w:rFonts w:ascii="Calibri" w:hAnsi="Calibri" w:cs="Calibri"/>
                <w:b/>
                <w:bCs/>
                <w:sz w:val="12"/>
                <w:szCs w:val="12"/>
                <w:lang w:val="es-SV"/>
              </w:rPr>
              <w:t>TOTAL OFERTADO IVA INCLUIDO</w:t>
            </w:r>
          </w:p>
        </w:tc>
        <w:tc>
          <w:tcPr>
            <w:tcW w:w="1182" w:type="dxa"/>
          </w:tcPr>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$4,975.50</w:t>
            </w:r>
          </w:p>
        </w:tc>
      </w:tr>
      <w:tr w:rsidR="00A33462" w:rsidRPr="004C3D62">
        <w:trPr>
          <w:trHeight w:val="123"/>
          <w:jc w:val="center"/>
        </w:trPr>
        <w:tc>
          <w:tcPr>
            <w:tcW w:w="6036" w:type="dxa"/>
            <w:gridSpan w:val="6"/>
          </w:tcPr>
          <w:p w:rsidR="00A33462" w:rsidRPr="00D009C7" w:rsidRDefault="00A33462" w:rsidP="00D009C7">
            <w:pPr>
              <w:jc w:val="center"/>
              <w:rPr>
                <w:rFonts w:ascii="Calibri" w:hAnsi="Calibri" w:cs="Calibri"/>
                <w:b/>
                <w:bCs/>
                <w:sz w:val="12"/>
                <w:szCs w:val="12"/>
                <w:lang w:val="es-SV"/>
              </w:rPr>
            </w:pPr>
            <w:r w:rsidRPr="00D009C7">
              <w:rPr>
                <w:rFonts w:ascii="Calibri" w:hAnsi="Calibri" w:cs="Calibri"/>
                <w:b/>
                <w:bCs/>
                <w:sz w:val="12"/>
                <w:szCs w:val="12"/>
                <w:lang w:val="es-SV"/>
              </w:rPr>
              <w:t>TOTAL ADJUDICADO IVA INCLUIDO</w:t>
            </w:r>
          </w:p>
        </w:tc>
        <w:tc>
          <w:tcPr>
            <w:tcW w:w="1182" w:type="dxa"/>
          </w:tcPr>
          <w:p w:rsidR="00A33462" w:rsidRPr="00D009C7" w:rsidRDefault="00A33462" w:rsidP="00D009C7">
            <w:pPr>
              <w:jc w:val="left"/>
              <w:rPr>
                <w:rFonts w:ascii="Calibri" w:hAnsi="Calibri" w:cs="Calibri"/>
                <w:b/>
                <w:bCs/>
                <w:sz w:val="12"/>
                <w:szCs w:val="12"/>
                <w:lang w:val="es-SV"/>
              </w:rPr>
            </w:pPr>
            <w:r w:rsidRPr="00D009C7">
              <w:rPr>
                <w:rFonts w:ascii="Calibri" w:hAnsi="Calibri" w:cs="Calibri"/>
                <w:b/>
                <w:bCs/>
                <w:sz w:val="12"/>
                <w:szCs w:val="12"/>
                <w:lang w:val="es-SV"/>
              </w:rPr>
              <w:t>$4,975.50</w:t>
            </w:r>
          </w:p>
        </w:tc>
      </w:tr>
    </w:tbl>
    <w:p w:rsidR="00A33462" w:rsidRDefault="00A33462" w:rsidP="009102BA">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Arial" w:hAnsi="Arial" w:cs="Arial"/>
          <w:noProof/>
          <w:lang w:val="es-SV" w:eastAsia="es-SV"/>
        </w:rPr>
      </w:pPr>
    </w:p>
    <w:p w:rsidR="00A33462" w:rsidRPr="00F65E96" w:rsidRDefault="00A33462" w:rsidP="007D16CB">
      <w:pPr>
        <w:autoSpaceDE w:val="0"/>
        <w:autoSpaceDN w:val="0"/>
        <w:adjustRightInd w:val="0"/>
        <w:spacing w:line="360" w:lineRule="auto"/>
        <w:rPr>
          <w:rFonts w:ascii="Bookman Old Style" w:hAnsi="Bookman Old Style" w:cs="Bookman Old Style"/>
          <w:sz w:val="20"/>
          <w:szCs w:val="20"/>
          <w:lang w:val="es-ES" w:eastAsia="es-ES"/>
        </w:rPr>
      </w:pPr>
      <w:r w:rsidRPr="00F65E96">
        <w:rPr>
          <w:rFonts w:ascii="Bookman Old Style" w:hAnsi="Bookman Old Style" w:cs="Bookman Old Style"/>
          <w:sz w:val="20"/>
          <w:szCs w:val="20"/>
        </w:rPr>
        <w:t xml:space="preserve">El suministro de los bienes objeto del presente contrato, será de conformidad a lo establecido en la cláusula IV Forma y Plazo de Entrega y Recepción, del presente contrato. A efecto de garantizar el cumplimiento del objeto del presente contrato, “EL </w:t>
      </w:r>
      <w:smartTag w:uri="urn:schemas-microsoft-com:office:smarttags" w:element="stockticker">
        <w:r w:rsidRPr="00F65E96">
          <w:rPr>
            <w:rFonts w:ascii="Bookman Old Style" w:hAnsi="Bookman Old Style" w:cs="Bookman Old Style"/>
            <w:sz w:val="20"/>
            <w:szCs w:val="20"/>
          </w:rPr>
          <w:t>MAG</w:t>
        </w:r>
      </w:smartTag>
      <w:r w:rsidRPr="00F65E96">
        <w:rPr>
          <w:rFonts w:ascii="Bookman Old Style" w:hAnsi="Bookman Old Style" w:cs="Bookman Old Style"/>
          <w:sz w:val="20"/>
          <w:szCs w:val="20"/>
        </w:rPr>
        <w:t xml:space="preserve">” podrá realizar todas las gestiones de control en los aspectos material, técnico, financiero, legal y contable, que razonablemente considere necesarios a efecto de salvaguardar los intereses que persigue. </w:t>
      </w:r>
      <w:r w:rsidRPr="00F65E96">
        <w:rPr>
          <w:rFonts w:ascii="Bookman Old Style" w:hAnsi="Bookman Old Style" w:cs="Bookman Old Style"/>
          <w:b/>
          <w:bCs/>
          <w:sz w:val="20"/>
          <w:szCs w:val="20"/>
        </w:rPr>
        <w:t>II.- PRECIO Y FORMA DE PAGO.</w:t>
      </w:r>
      <w:r w:rsidRPr="00F65E96">
        <w:rPr>
          <w:rFonts w:ascii="Bookman Old Style" w:hAnsi="Bookman Old Style" w:cs="Bookman Old Style"/>
          <w:sz w:val="20"/>
          <w:szCs w:val="20"/>
        </w:rPr>
        <w:t xml:space="preserve"> El precio total por el suministro de los bienes objeto del presente contrato es por la cantidad de </w:t>
      </w:r>
      <w:r w:rsidRPr="00F65E96">
        <w:rPr>
          <w:rFonts w:ascii="Bookman Old Style" w:hAnsi="Bookman Old Style" w:cs="Bookman Old Style"/>
          <w:b/>
          <w:bCs/>
          <w:sz w:val="20"/>
          <w:szCs w:val="20"/>
        </w:rPr>
        <w:t xml:space="preserve">CUATRO </w:t>
      </w:r>
      <w:smartTag w:uri="urn:schemas-microsoft-com:office:smarttags" w:element="stockticker">
        <w:r w:rsidRPr="00F65E96">
          <w:rPr>
            <w:rFonts w:ascii="Bookman Old Style" w:hAnsi="Bookman Old Style" w:cs="Bookman Old Style"/>
            <w:b/>
            <w:bCs/>
            <w:sz w:val="20"/>
            <w:szCs w:val="20"/>
          </w:rPr>
          <w:t>MIL</w:t>
        </w:r>
      </w:smartTag>
      <w:r w:rsidRPr="00F65E96">
        <w:rPr>
          <w:rFonts w:ascii="Bookman Old Style" w:hAnsi="Bookman Old Style" w:cs="Bookman Old Style"/>
          <w:b/>
          <w:bCs/>
          <w:sz w:val="20"/>
          <w:szCs w:val="20"/>
        </w:rPr>
        <w:t xml:space="preserve"> NOVECIENTOS SETENTA Y CINCO DOLARES CON CINCUENTA CENTAVOS DE DÓLAR DE LOS ESTADOS UNIDOS DE AMERICA (US$4,975.50)</w:t>
      </w:r>
      <w:r w:rsidRPr="00F65E96">
        <w:rPr>
          <w:rFonts w:ascii="Bookman Old Style" w:hAnsi="Bookman Old Style" w:cs="Bookman Old Style"/>
          <w:sz w:val="20"/>
          <w:szCs w:val="20"/>
        </w:rPr>
        <w:t xml:space="preserve">, el cual incluye el Impuesto a la Transferencia de Bienes Muebles y a la Prestación de Servicios (IVA). EL </w:t>
      </w:r>
      <w:smartTag w:uri="urn:schemas-microsoft-com:office:smarttags" w:element="stockticker">
        <w:r w:rsidRPr="00F65E96">
          <w:rPr>
            <w:rFonts w:ascii="Bookman Old Style" w:hAnsi="Bookman Old Style" w:cs="Bookman Old Style"/>
            <w:sz w:val="20"/>
            <w:szCs w:val="20"/>
          </w:rPr>
          <w:t>MAG</w:t>
        </w:r>
      </w:smartTag>
      <w:r w:rsidRPr="00F65E96">
        <w:rPr>
          <w:rFonts w:ascii="Bookman Old Style" w:hAnsi="Bookman Old Style" w:cs="Bookman Old Style"/>
          <w:sz w:val="20"/>
          <w:szCs w:val="20"/>
        </w:rPr>
        <w:t xml:space="preserve"> efectuará un solo pago dentro de un plazo no mayor de SESENTA DÍAS HÁBILES contados a partir de la fecha de presentación de las facturas de consumidor final correspondientes. Dichos documentos deberán estar firmados por el administrador del contrato, dando fe de la recepción a satisfacción de los bienes. Las facturas deberán presentarse a la Oficina Financiera Institucional del </w:t>
      </w:r>
      <w:smartTag w:uri="urn:schemas-microsoft-com:office:smarttags" w:element="stockticker">
        <w:r w:rsidRPr="00F65E96">
          <w:rPr>
            <w:rFonts w:ascii="Bookman Old Style" w:hAnsi="Bookman Old Style" w:cs="Bookman Old Style"/>
            <w:sz w:val="20"/>
            <w:szCs w:val="20"/>
          </w:rPr>
          <w:t>MAG</w:t>
        </w:r>
      </w:smartTag>
      <w:r w:rsidRPr="00F65E96">
        <w:rPr>
          <w:rFonts w:ascii="Bookman Old Style" w:hAnsi="Bookman Old Style" w:cs="Bookman Old Style"/>
          <w:sz w:val="20"/>
          <w:szCs w:val="20"/>
        </w:rPr>
        <w:t xml:space="preserve">, a nombre de: PROGRAMA </w:t>
      </w:r>
      <w:smartTag w:uri="urn:schemas-microsoft-com:office:smarttags" w:element="stockticker">
        <w:r w:rsidRPr="00F65E96">
          <w:rPr>
            <w:rFonts w:ascii="Bookman Old Style" w:hAnsi="Bookman Old Style" w:cs="Bookman Old Style"/>
            <w:sz w:val="20"/>
            <w:szCs w:val="20"/>
          </w:rPr>
          <w:t>PLAN</w:t>
        </w:r>
      </w:smartTag>
      <w:r w:rsidRPr="00F65E96">
        <w:rPr>
          <w:rFonts w:ascii="Bookman Old Style" w:hAnsi="Bookman Old Style" w:cs="Bookman Old Style"/>
          <w:sz w:val="20"/>
          <w:szCs w:val="20"/>
        </w:rPr>
        <w:t xml:space="preserve"> DE AGRICULTURA FAMILIAR Y EMPRENDEDURISMO RURAL PARA LA SEGURIDAD ALIMENTARIA Y NUTRICIONAL, LINEA DE TRABAJO </w:t>
      </w:r>
      <w:smartTag w:uri="urn:schemas-microsoft-com:office:smarttags" w:element="stockticker">
        <w:r w:rsidRPr="00F65E96">
          <w:rPr>
            <w:rFonts w:ascii="Bookman Old Style" w:hAnsi="Bookman Old Style" w:cs="Bookman Old Style"/>
            <w:sz w:val="20"/>
            <w:szCs w:val="20"/>
          </w:rPr>
          <w:t>CERO</w:t>
        </w:r>
      </w:smartTag>
      <w:r w:rsidRPr="00F65E96">
        <w:rPr>
          <w:rFonts w:ascii="Bookman Old Style" w:hAnsi="Bookman Old Style" w:cs="Bookman Old Style"/>
          <w:sz w:val="20"/>
          <w:szCs w:val="20"/>
        </w:rPr>
        <w:t xml:space="preserve"> DOS ENCADENAMIENTO PRODUCTIVO. El </w:t>
      </w:r>
      <w:smartTag w:uri="urn:schemas-microsoft-com:office:smarttags" w:element="stockticker">
        <w:r w:rsidRPr="00F65E96">
          <w:rPr>
            <w:rFonts w:ascii="Bookman Old Style" w:hAnsi="Bookman Old Style" w:cs="Bookman Old Style"/>
            <w:sz w:val="20"/>
            <w:szCs w:val="20"/>
          </w:rPr>
          <w:t>MAG</w:t>
        </w:r>
      </w:smartTag>
      <w:r w:rsidRPr="00F65E96">
        <w:rPr>
          <w:rFonts w:ascii="Bookman Old Style" w:hAnsi="Bookman Old Style" w:cs="Bookman Old Style"/>
          <w:sz w:val="20"/>
          <w:szCs w:val="20"/>
        </w:rPr>
        <w:t xml:space="preserve"> pagará el suministro </w:t>
      </w:r>
      <w:r w:rsidRPr="00F65E96">
        <w:rPr>
          <w:rFonts w:ascii="Bookman Old Style" w:hAnsi="Bookman Old Style" w:cs="Bookman Old Style"/>
          <w:sz w:val="20"/>
          <w:szCs w:val="20"/>
        </w:rPr>
        <w:lastRenderedPageBreak/>
        <w:t xml:space="preserve">detallado en la Cláusula I de este contrato con fondos provenientes del préstamo numero dos mil setenta y siete, suscrito entre el Estado de El Salvador y el Banco Centroamericano de Integración Económica (BCIE), el día cuatro de mayo de dos mil doce, y publicado en el Diario Oficial número doscientos treinta y nueve, tomo trescientos noventa y siete, de fecha veinte de diciembre de dos mil doce, </w:t>
      </w:r>
      <w:r>
        <w:rPr>
          <w:rFonts w:ascii="Bookman Old Style" w:hAnsi="Bookman Old Style" w:cs="Bookman Old Style"/>
          <w:sz w:val="20"/>
          <w:szCs w:val="20"/>
        </w:rPr>
        <w:t>p</w:t>
      </w:r>
      <w:r w:rsidRPr="00F65E96">
        <w:rPr>
          <w:rFonts w:ascii="Bookman Old Style" w:hAnsi="Bookman Old Style" w:cs="Bookman Old Style"/>
          <w:sz w:val="20"/>
          <w:szCs w:val="20"/>
        </w:rPr>
        <w:t xml:space="preserve">or una cantidad de </w:t>
      </w:r>
      <w:r w:rsidRPr="00F65E96">
        <w:rPr>
          <w:rFonts w:ascii="Bookman Old Style" w:hAnsi="Bookman Old Style" w:cs="Bookman Old Style"/>
          <w:b/>
          <w:bCs/>
          <w:sz w:val="20"/>
          <w:szCs w:val="20"/>
        </w:rPr>
        <w:t xml:space="preserve">CUATRO </w:t>
      </w:r>
      <w:smartTag w:uri="urn:schemas-microsoft-com:office:smarttags" w:element="stockticker">
        <w:r w:rsidRPr="00F65E96">
          <w:rPr>
            <w:rFonts w:ascii="Bookman Old Style" w:hAnsi="Bookman Old Style" w:cs="Bookman Old Style"/>
            <w:b/>
            <w:bCs/>
            <w:sz w:val="20"/>
            <w:szCs w:val="20"/>
          </w:rPr>
          <w:t>MIL</w:t>
        </w:r>
      </w:smartTag>
      <w:r w:rsidRPr="00F65E96">
        <w:rPr>
          <w:rFonts w:ascii="Bookman Old Style" w:hAnsi="Bookman Old Style" w:cs="Bookman Old Style"/>
          <w:b/>
          <w:bCs/>
          <w:sz w:val="20"/>
          <w:szCs w:val="20"/>
        </w:rPr>
        <w:t xml:space="preserve"> CUATROCIENTOS </w:t>
      </w:r>
      <w:smartTag w:uri="urn:schemas-microsoft-com:office:smarttags" w:element="stockticker">
        <w:r w:rsidRPr="00F65E96">
          <w:rPr>
            <w:rFonts w:ascii="Bookman Old Style" w:hAnsi="Bookman Old Style" w:cs="Bookman Old Style"/>
            <w:b/>
            <w:bCs/>
            <w:sz w:val="20"/>
            <w:szCs w:val="20"/>
          </w:rPr>
          <w:t>TRES</w:t>
        </w:r>
      </w:smartTag>
      <w:r w:rsidRPr="00F65E96">
        <w:rPr>
          <w:rFonts w:ascii="Bookman Old Style" w:hAnsi="Bookman Old Style" w:cs="Bookman Old Style"/>
          <w:b/>
          <w:bCs/>
          <w:sz w:val="20"/>
          <w:szCs w:val="20"/>
        </w:rPr>
        <w:t xml:space="preserve"> DOLARES CON DIEZ CENTAVOS DE DÓLAR DE LOS ESTADOS UNIDOS DE AMERICA</w:t>
      </w:r>
      <w:r w:rsidRPr="00F65E96">
        <w:rPr>
          <w:rFonts w:ascii="Bookman Old Style" w:hAnsi="Bookman Old Style" w:cs="Bookman Old Style"/>
          <w:sz w:val="20"/>
          <w:szCs w:val="20"/>
        </w:rPr>
        <w:t xml:space="preserve"> </w:t>
      </w:r>
      <w:r w:rsidRPr="00F65E96">
        <w:rPr>
          <w:rFonts w:ascii="Bookman Old Style" w:hAnsi="Bookman Old Style" w:cs="Bookman Old Style"/>
          <w:b/>
          <w:bCs/>
          <w:sz w:val="20"/>
          <w:szCs w:val="20"/>
        </w:rPr>
        <w:t>(US $4,403.10</w:t>
      </w:r>
      <w:r w:rsidRPr="00F65E96">
        <w:rPr>
          <w:rFonts w:ascii="Bookman Old Style" w:hAnsi="Bookman Old Style" w:cs="Bookman Old Style"/>
          <w:sz w:val="20"/>
          <w:szCs w:val="20"/>
        </w:rPr>
        <w:t xml:space="preserve">); y la parte correspondiente al pago del Impuesto a la Transferencia de Bienes Muebles y a la Prestación de Servicios (IVA), con recursos del Fondo General de la Nación (GOES), por un monto de </w:t>
      </w:r>
      <w:r w:rsidRPr="00F65E96">
        <w:rPr>
          <w:rFonts w:ascii="Bookman Old Style" w:hAnsi="Bookman Old Style" w:cs="Bookman Old Style"/>
          <w:b/>
          <w:bCs/>
          <w:sz w:val="20"/>
          <w:szCs w:val="20"/>
        </w:rPr>
        <w:t xml:space="preserve">QUINIENTOS SETENTA Y DOS DOLARES CON CUARENTA CENTAVOS DE DÓLAR DE LOS ESTADOS UNIDOS DE AMERICA (US $572.40). </w:t>
      </w:r>
      <w:r w:rsidRPr="00F65E96">
        <w:rPr>
          <w:rFonts w:ascii="Bookman Old Style" w:hAnsi="Bookman Old Style" w:cs="Bookman Old Style"/>
          <w:sz w:val="20"/>
          <w:szCs w:val="20"/>
          <w:lang w:val="es-SV"/>
        </w:rPr>
        <w:t xml:space="preserve">Dicho pago será realizado mediante el Sistema de Cuenta Única del Tesoro Público, realizada por la Dirección General de Tesorería del Ministerio de Hacienda a la cuenta siguiente: </w:t>
      </w:r>
      <w:r w:rsidRPr="00F65E96">
        <w:rPr>
          <w:rFonts w:ascii="Bookman Old Style" w:hAnsi="Bookman Old Style" w:cs="Bookman Old Style"/>
          <w:sz w:val="20"/>
          <w:szCs w:val="20"/>
        </w:rPr>
        <w:t>Cuenta Corriente  Número: cinco cero ocho- cero cero cinco cinco nueve cinco-cinco, del Banco Agrícola; cuyo titular es “LA CONTRATISTA”</w:t>
      </w:r>
      <w:r w:rsidRPr="00F65E96">
        <w:rPr>
          <w:rFonts w:ascii="Bookman Old Style" w:hAnsi="Bookman Old Style" w:cs="Bookman Old Style"/>
          <w:sz w:val="20"/>
          <w:szCs w:val="20"/>
          <w:lang w:val="es-SV"/>
        </w:rPr>
        <w:t xml:space="preserve"> la cual fue previamente designada por éste,</w:t>
      </w:r>
      <w:r w:rsidRPr="00F65E96">
        <w:rPr>
          <w:rFonts w:ascii="Bookman Old Style" w:hAnsi="Bookman Old Style" w:cs="Bookman Old Style"/>
          <w:sz w:val="20"/>
          <w:szCs w:val="20"/>
        </w:rPr>
        <w:t xml:space="preserve"> de conformidad con lo establecido en los artículos sesenta, sesenta y uno, sesenta y dos, sesenta y tres y setenta de la Ley Orgánica de Administración Financiera del Estado y artículos setenta y cinco y setenta y seis de su reglamento. De dicho pago se retendrá el uno por ciento, en concepto de anticipo del Impuesto a la Transferencia de Bienes Muebles y a la Prestación de Servicios, IVA, por ser la Dirección Solicitante agente de retención. </w:t>
      </w:r>
      <w:smartTag w:uri="urn:schemas-microsoft-com:office:smarttags" w:element="stockticker">
        <w:r w:rsidRPr="00F65E96">
          <w:rPr>
            <w:rFonts w:ascii="Bookman Old Style" w:hAnsi="Bookman Old Style" w:cs="Bookman Old Style"/>
            <w:b/>
            <w:bCs/>
            <w:sz w:val="20"/>
            <w:szCs w:val="20"/>
          </w:rPr>
          <w:t>III</w:t>
        </w:r>
      </w:smartTag>
      <w:r w:rsidRPr="00F65E96">
        <w:rPr>
          <w:rFonts w:ascii="Bookman Old Style" w:hAnsi="Bookman Old Style" w:cs="Bookman Old Style"/>
          <w:b/>
          <w:bCs/>
          <w:sz w:val="20"/>
          <w:szCs w:val="20"/>
        </w:rPr>
        <w:t xml:space="preserve">.- PLAZO </w:t>
      </w:r>
      <w:smartTag w:uri="urn:schemas-microsoft-com:office:smarttags" w:element="stockticker">
        <w:r w:rsidRPr="00F65E96">
          <w:rPr>
            <w:rFonts w:ascii="Bookman Old Style" w:hAnsi="Bookman Old Style" w:cs="Bookman Old Style"/>
            <w:b/>
            <w:bCs/>
            <w:sz w:val="20"/>
            <w:szCs w:val="20"/>
          </w:rPr>
          <w:t>DEL</w:t>
        </w:r>
      </w:smartTag>
      <w:r w:rsidRPr="00F65E96">
        <w:rPr>
          <w:rFonts w:ascii="Bookman Old Style" w:hAnsi="Bookman Old Style" w:cs="Bookman Old Style"/>
          <w:b/>
          <w:bCs/>
          <w:sz w:val="20"/>
          <w:szCs w:val="20"/>
        </w:rPr>
        <w:t xml:space="preserve"> CONTRATO</w:t>
      </w:r>
      <w:r w:rsidRPr="00F65E96">
        <w:rPr>
          <w:rFonts w:ascii="Bookman Old Style" w:hAnsi="Bookman Old Style" w:cs="Bookman Old Style"/>
          <w:sz w:val="20"/>
          <w:szCs w:val="20"/>
        </w:rPr>
        <w:t xml:space="preserve">. El plazo del presente contrato será de NOVENTA DÍAS HABILES, contados a partir de la suscripción de este contrato. Se podrá prorrogar el plazo del contrato por períodos iguales de tiempo o menores, previa actualización de los términos de referencia y especificaciones técnicas, de la opinión favorable del solicitante del suministro y administrador del contrato, de la disponibilidad presupuestaria correspondiente, y de conformidad a la Política y Normas del BCIE, la LACAP y su Reglamento. </w:t>
      </w:r>
      <w:r w:rsidRPr="00F65E96">
        <w:rPr>
          <w:rFonts w:ascii="Bookman Old Style" w:hAnsi="Bookman Old Style" w:cs="Bookman Old Style"/>
          <w:b/>
          <w:bCs/>
          <w:sz w:val="20"/>
          <w:szCs w:val="20"/>
        </w:rPr>
        <w:t>IV.- FORMA Y PLAZO DE ENTREGA Y RECEPCIÓN</w:t>
      </w:r>
      <w:r w:rsidRPr="00F65E96">
        <w:rPr>
          <w:rFonts w:ascii="Bookman Old Style" w:hAnsi="Bookman Old Style" w:cs="Bookman Old Style"/>
          <w:sz w:val="20"/>
          <w:szCs w:val="20"/>
        </w:rPr>
        <w:t xml:space="preserve">. De conformidad con el artículo cuarenta y cuatro letra j) de la Ley de Adquisiciones y Contrataciones de la Administración Pública y con la invitación al proceso de comparación de precios, los bienes objeto del presente contrato serán suministrados por “LA CONTRATISTA” a EL </w:t>
      </w:r>
      <w:smartTag w:uri="urn:schemas-microsoft-com:office:smarttags" w:element="stockticker">
        <w:r w:rsidRPr="00F65E96">
          <w:rPr>
            <w:rFonts w:ascii="Bookman Old Style" w:hAnsi="Bookman Old Style" w:cs="Bookman Old Style"/>
            <w:sz w:val="20"/>
            <w:szCs w:val="20"/>
          </w:rPr>
          <w:t>MAG</w:t>
        </w:r>
      </w:smartTag>
      <w:r w:rsidRPr="00F65E96">
        <w:rPr>
          <w:rFonts w:ascii="Bookman Old Style" w:hAnsi="Bookman Old Style" w:cs="Bookman Old Style"/>
          <w:sz w:val="20"/>
          <w:szCs w:val="20"/>
        </w:rPr>
        <w:t xml:space="preserve"> en un plazo de cuarenta y cinco días calendario posteriores a la emisión de la orden de pedido;</w:t>
      </w:r>
      <w:r w:rsidRPr="00F65E96">
        <w:rPr>
          <w:rFonts w:ascii="Bookman Old Style" w:hAnsi="Bookman Old Style" w:cs="Bookman Old Style"/>
          <w:b/>
          <w:bCs/>
          <w:sz w:val="20"/>
          <w:szCs w:val="20"/>
        </w:rPr>
        <w:t xml:space="preserve"> </w:t>
      </w:r>
      <w:r w:rsidRPr="00F65E96">
        <w:rPr>
          <w:rFonts w:ascii="Bookman Old Style" w:hAnsi="Bookman Old Style" w:cs="Bookman Old Style"/>
          <w:sz w:val="20"/>
          <w:szCs w:val="20"/>
        </w:rPr>
        <w:t xml:space="preserve">la recepción se efectuará de conformidad con lo ofertado y a lo establecido en el artículo ciento veintiuno de la Ley de Adquisiciones y Contrataciones de la Administración Pública, los bienes objeto del presente contrato serán entregados conforme a lo establecido en el Anexo 2 Especificaciones Técnicas de los documentos adjuntos a la Invitación a ofertar. </w:t>
      </w:r>
      <w:r w:rsidRPr="00F65E96">
        <w:rPr>
          <w:rFonts w:ascii="Bookman Old Style" w:hAnsi="Bookman Old Style" w:cs="Bookman Old Style"/>
          <w:b/>
          <w:bCs/>
          <w:sz w:val="20"/>
          <w:szCs w:val="20"/>
        </w:rPr>
        <w:t>V.- OBLIGACIONES DE EL CONTRATANTE.</w:t>
      </w:r>
      <w:r w:rsidRPr="00F65E96">
        <w:rPr>
          <w:rFonts w:ascii="Bookman Old Style" w:hAnsi="Bookman Old Style" w:cs="Bookman Old Style"/>
          <w:sz w:val="20"/>
          <w:szCs w:val="20"/>
        </w:rPr>
        <w:t xml:space="preserve"> EL </w:t>
      </w:r>
      <w:smartTag w:uri="urn:schemas-microsoft-com:office:smarttags" w:element="stockticker">
        <w:r w:rsidRPr="00F65E96">
          <w:rPr>
            <w:rFonts w:ascii="Bookman Old Style" w:hAnsi="Bookman Old Style" w:cs="Bookman Old Style"/>
            <w:sz w:val="20"/>
            <w:szCs w:val="20"/>
          </w:rPr>
          <w:t>MAG</w:t>
        </w:r>
      </w:smartTag>
      <w:r w:rsidRPr="00F65E96">
        <w:rPr>
          <w:rFonts w:ascii="Bookman Old Style" w:hAnsi="Bookman Old Style" w:cs="Bookman Old Style"/>
          <w:sz w:val="20"/>
          <w:szCs w:val="20"/>
        </w:rPr>
        <w:t xml:space="preserve"> deberá hacer el pago de los bienes detallados en la cláusula I de este contrato, con fondos provenientes del </w:t>
      </w:r>
      <w:r w:rsidRPr="00F65E96">
        <w:rPr>
          <w:rFonts w:ascii="Bookman Old Style" w:hAnsi="Bookman Old Style" w:cs="Bookman Old Style"/>
          <w:sz w:val="20"/>
          <w:szCs w:val="20"/>
          <w:lang w:val="es-ES" w:eastAsia="es-ES"/>
        </w:rPr>
        <w:t xml:space="preserve">préstamo número dos mil setenta y siete, suscrito entre el Estado de El Salvador y el Banco Centroamericano de Integración Económica (BCIE), el día </w:t>
      </w:r>
      <w:r w:rsidRPr="00F65E96">
        <w:rPr>
          <w:rFonts w:ascii="Bookman Old Style" w:hAnsi="Bookman Old Style" w:cs="Bookman Old Style"/>
          <w:sz w:val="20"/>
          <w:szCs w:val="20"/>
          <w:lang w:val="es-ES" w:eastAsia="es-ES"/>
        </w:rPr>
        <w:lastRenderedPageBreak/>
        <w:t>cuatro de mayo del dos mil doce, y publicado en el Diario Oficial número doscientos treinta y nueve, tomo trescientos noventa y siete, de fecha veinte de diciembre de dos mil doce</w:t>
      </w:r>
      <w:r w:rsidRPr="00F65E96">
        <w:rPr>
          <w:rFonts w:ascii="Bookman Old Style" w:hAnsi="Bookman Old Style" w:cs="Bookman Old Style"/>
          <w:sz w:val="20"/>
          <w:szCs w:val="20"/>
        </w:rPr>
        <w:t xml:space="preserve">; y la parte correspondiente al Impuesto a la Transferencia de Bienes Muebles y a la Prestación de Servicios, con Recursos del Fondo General de la Nación (GOES). </w:t>
      </w:r>
      <w:r w:rsidRPr="00F65E96">
        <w:rPr>
          <w:rFonts w:ascii="Bookman Old Style" w:hAnsi="Bookman Old Style" w:cs="Bookman Old Style"/>
          <w:b/>
          <w:bCs/>
          <w:sz w:val="20"/>
          <w:szCs w:val="20"/>
        </w:rPr>
        <w:t>VI.- ADMINISTRACIÓN DEL CONTRATO</w:t>
      </w:r>
      <w:r w:rsidRPr="00F65E96">
        <w:rPr>
          <w:rFonts w:ascii="Bookman Old Style" w:hAnsi="Bookman Old Style" w:cs="Bookman Old Style"/>
          <w:sz w:val="20"/>
          <w:szCs w:val="20"/>
        </w:rPr>
        <w:t xml:space="preserve">. </w:t>
      </w:r>
      <w:r w:rsidRPr="00F65E96">
        <w:rPr>
          <w:rFonts w:ascii="Bookman Old Style" w:hAnsi="Bookman Old Style" w:cs="Bookman Old Style"/>
          <w:color w:val="222222"/>
          <w:sz w:val="20"/>
          <w:szCs w:val="20"/>
          <w:shd w:val="clear" w:color="auto" w:fill="FFFFFF"/>
        </w:rPr>
        <w:t xml:space="preserve">El MAG mediante Acuerdo Ejecutivo en el Ramo de Agricultura y Ganadería número trescientos setenta y dos, de fecha cinco de junio de dos mil quince, nombró Administrador del presente contrato al Ingeniero José Adalberto Hernández Alvarenga, Coordinador de la Cadena Láctea, de la Dirección General de Desarrollo Rural, o a quien lo sustituya en el cargo por cualquier circunstancia. </w:t>
      </w:r>
      <w:r w:rsidRPr="00F65E96">
        <w:rPr>
          <w:rFonts w:ascii="Bookman Old Style" w:hAnsi="Bookman Old Style" w:cs="Bookman Old Style"/>
          <w:sz w:val="20"/>
          <w:szCs w:val="20"/>
        </w:rPr>
        <w:t xml:space="preserve">Serán funciones del administrador del contrato: a) ser el representante del MAG en el desarrollo y ejecución del contrato así como emitir la orden de pedido; b) dar seguimiento a la ejecución del contrato, y efectuar directamente los reclamos a “LA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los bienes según las necesidades, verificando no sobrepasar los montos adjudicados; e) la elaboración de las actas de recepción respectivas; f) remitir a la OACI copia del acta de recepción y hoja de seguimiento de contrato en un plazo de tres días hábiles posteriores a la recepción; g) informar a la OACI sobre el vencimiento de las garantías, en un período no mayor de ocho días hábiles posteriores a su vencimiento, a fin de que esta oficina proceda a su devolución, Art.82- BIS literal “h” LACAP; h) remitir copia a la OACI de toda gestión que realice en el ejercicio de sus funciones como administrador de contrato Art. 42 LACAP;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en el instructivo UNAC No.02/2009 sobre “Normas para el seguimiento de los Contratos”, emitido por la Unidad Normativa de Adquisiciones y Contrataciones de la Administración Pública y demás disposiciones aplicables del Reglamento de la Ley de Adquisiciones y Contrataciones de la Administración Pública. </w:t>
      </w:r>
      <w:r w:rsidRPr="00F65E96">
        <w:rPr>
          <w:rFonts w:ascii="Bookman Old Style" w:hAnsi="Bookman Old Style" w:cs="Bookman Old Style"/>
          <w:b/>
          <w:bCs/>
          <w:sz w:val="20"/>
          <w:szCs w:val="20"/>
        </w:rPr>
        <w:t>VII.- CESIÓN.</w:t>
      </w:r>
      <w:r w:rsidRPr="00F65E96">
        <w:rPr>
          <w:rFonts w:ascii="Bookman Old Style" w:hAnsi="Bookman Old Style" w:cs="Bookman Old Style"/>
          <w:sz w:val="20"/>
          <w:szCs w:val="20"/>
        </w:rPr>
        <w:t xml:space="preserve"> Queda expresamente prohibido a “LA CONTRATISTA” traspasar o ceder a cualquier título los derechos y obligaciones que emanan del presente contrato. La transgresión de esta disposición dará lugar a la caducidad del contrato. </w:t>
      </w:r>
      <w:r w:rsidRPr="00F65E96">
        <w:rPr>
          <w:rFonts w:ascii="Bookman Old Style" w:hAnsi="Bookman Old Style" w:cs="Bookman Old Style"/>
          <w:b/>
          <w:bCs/>
          <w:sz w:val="20"/>
          <w:szCs w:val="20"/>
        </w:rPr>
        <w:t xml:space="preserve">VIII.- GARANTÍAS. </w:t>
      </w:r>
      <w:r w:rsidRPr="00F65E96">
        <w:rPr>
          <w:rFonts w:ascii="Bookman Old Style" w:hAnsi="Bookman Old Style" w:cs="Bookman Old Style"/>
          <w:sz w:val="20"/>
          <w:szCs w:val="20"/>
        </w:rPr>
        <w:t xml:space="preserve">Para garantizar el cumplimiento de las obligaciones emanadas del presente contrato “LA CONTRATISTA” se obliga a presentar a EL MAG en un plazo no mayor de cinco días calendario contados a partir de la fecha en que reciba la copia del contrato debidamente legalizado, una garantía de cumplimiento de contrato por un monto de </w:t>
      </w:r>
      <w:r w:rsidRPr="00F65E96">
        <w:rPr>
          <w:rFonts w:ascii="Bookman Old Style" w:hAnsi="Bookman Old Style" w:cs="Bookman Old Style"/>
          <w:b/>
          <w:bCs/>
          <w:sz w:val="20"/>
          <w:szCs w:val="20"/>
        </w:rPr>
        <w:t xml:space="preserve">CUATROCIENTOS NOVENTA Y SIETE </w:t>
      </w:r>
      <w:r w:rsidRPr="00F65E96">
        <w:rPr>
          <w:rFonts w:ascii="Bookman Old Style" w:hAnsi="Bookman Old Style" w:cs="Bookman Old Style"/>
          <w:b/>
          <w:bCs/>
          <w:sz w:val="20"/>
          <w:szCs w:val="20"/>
        </w:rPr>
        <w:lastRenderedPageBreak/>
        <w:t>DOLARES CON CINCUENTA Y CINCO CENTAVOS DE DÓLAR DE LOS ESTADOS UNIDOS DE AMÉRICA,</w:t>
      </w:r>
      <w:r>
        <w:rPr>
          <w:rFonts w:ascii="Bookman Old Style" w:hAnsi="Bookman Old Style" w:cs="Bookman Old Style"/>
          <w:b/>
          <w:bCs/>
          <w:sz w:val="20"/>
          <w:szCs w:val="20"/>
        </w:rPr>
        <w:t xml:space="preserve"> ($497.55)</w:t>
      </w:r>
      <w:r w:rsidRPr="00F65E96">
        <w:rPr>
          <w:rFonts w:ascii="Bookman Old Style" w:hAnsi="Bookman Old Style" w:cs="Bookman Old Style"/>
          <w:b/>
          <w:bCs/>
          <w:sz w:val="20"/>
          <w:szCs w:val="20"/>
        </w:rPr>
        <w:t xml:space="preserve"> </w:t>
      </w:r>
      <w:r w:rsidRPr="00F65E96">
        <w:rPr>
          <w:rFonts w:ascii="Bookman Old Style" w:hAnsi="Bookman Old Style" w:cs="Bookman Old Style"/>
          <w:sz w:val="20"/>
          <w:szCs w:val="20"/>
        </w:rPr>
        <w:t>equivalentes al diez por ciento del monto del contrato. Dicha garantía deberá consistir en una fianza emitida a favor del MAG por un banco, compañía de seguros o sociedad afianzadora debidamente autorizada por la Superintendencia del Sistema Financiero para operar en El Salvador</w:t>
      </w:r>
      <w:r>
        <w:rPr>
          <w:rFonts w:ascii="Bookman Old Style" w:hAnsi="Bookman Old Style" w:cs="Bookman Old Style"/>
          <w:sz w:val="20"/>
          <w:szCs w:val="20"/>
        </w:rPr>
        <w:t>,</w:t>
      </w:r>
      <w:r w:rsidRPr="00F65E96">
        <w:rPr>
          <w:rFonts w:ascii="Bookman Old Style" w:hAnsi="Bookman Old Style" w:cs="Bookman Old Style"/>
          <w:sz w:val="20"/>
          <w:szCs w:val="20"/>
        </w:rPr>
        <w:t xml:space="preserve"> </w:t>
      </w:r>
      <w:r w:rsidRPr="00536836">
        <w:rPr>
          <w:rFonts w:ascii="Bookman Old Style" w:hAnsi="Bookman Old Style" w:cs="Bookman Old Style"/>
          <w:sz w:val="21"/>
          <w:szCs w:val="21"/>
        </w:rPr>
        <w:t>o letra de cambio o cheque certificado de caja</w:t>
      </w:r>
      <w:bookmarkStart w:id="0" w:name="_GoBack"/>
      <w:bookmarkEnd w:id="0"/>
      <w:r w:rsidRPr="00536836">
        <w:rPr>
          <w:rFonts w:ascii="Bookman Old Style" w:hAnsi="Bookman Old Style" w:cs="Bookman Old Style"/>
          <w:sz w:val="21"/>
          <w:szCs w:val="21"/>
        </w:rPr>
        <w:t xml:space="preserve">. </w:t>
      </w:r>
      <w:r w:rsidRPr="00536836">
        <w:rPr>
          <w:rFonts w:ascii="Bookman Old Style" w:hAnsi="Bookman Old Style" w:cs="Bookman Old Style"/>
          <w:sz w:val="20"/>
          <w:szCs w:val="20"/>
        </w:rPr>
        <w:t>Dicha garantía deberá exceder en SESENTA</w:t>
      </w:r>
      <w:r w:rsidRPr="00F65E96">
        <w:rPr>
          <w:rFonts w:ascii="Bookman Old Style" w:hAnsi="Bookman Old Style" w:cs="Bookman Old Style"/>
          <w:sz w:val="20"/>
          <w:szCs w:val="20"/>
        </w:rPr>
        <w:t xml:space="preserve"> DIAS el periodo de vigencia del contrato, de conformidad con lo establecido en la invitación al proceso y en los artículos 31 y 35 de la LACAP. Si no se presentare tal garantía en el plazo establecido se tendrá por caducado el presente contrato y se entenderá que “LA CONTRATISTA” ha desistido de su oferta, haciéndose efectiva la garantía de mantenimiento de oferta, sin detrimento de la acción que le compete a EL MAG, para reclamar los daños y perjuicios resultantes. </w:t>
      </w:r>
      <w:r w:rsidRPr="00F65E96">
        <w:rPr>
          <w:rFonts w:ascii="Bookman Old Style" w:hAnsi="Bookman Old Style" w:cs="Bookman Old Style"/>
          <w:b/>
          <w:bCs/>
          <w:sz w:val="20"/>
          <w:szCs w:val="20"/>
        </w:rPr>
        <w:t>IX.- INCUMPLIMIENTO.</w:t>
      </w:r>
      <w:r w:rsidRPr="00F65E96">
        <w:rPr>
          <w:rFonts w:ascii="Bookman Old Style" w:hAnsi="Bookman Old Style" w:cs="Bookman Old Style"/>
          <w:sz w:val="20"/>
          <w:szCs w:val="20"/>
        </w:rPr>
        <w:t xml:space="preserve"> En caso de mora de “LA CONTRATISTA” en el cumplimiento de las obligaciones emanadas del presente contrato se le aplicarán las multas establecidas en el artículo ochenta y cinco de la Ley de Adquisiciones y Contrataciones de la Administración Pública.  </w:t>
      </w:r>
      <w:r w:rsidRPr="00F65E96">
        <w:rPr>
          <w:rFonts w:ascii="Bookman Old Style" w:hAnsi="Bookman Old Style" w:cs="Bookman Old Style"/>
          <w:b/>
          <w:bCs/>
          <w:sz w:val="20"/>
          <w:szCs w:val="20"/>
        </w:rPr>
        <w:t>X.- CADUCIDAD.</w:t>
      </w:r>
      <w:r w:rsidRPr="00F65E96">
        <w:rPr>
          <w:rFonts w:ascii="Bookman Old Style" w:hAnsi="Bookman Old Style" w:cs="Bookman Old Style"/>
          <w:sz w:val="20"/>
          <w:szCs w:val="20"/>
        </w:rPr>
        <w:t xml:space="preserve"> Serán causales de caducidad las establecidas en los literales a) y b) del artículo noventa y cuatro de la Ley de Adquisiciones y Contrataciones de la Administración Pública. </w:t>
      </w:r>
      <w:r w:rsidRPr="00F65E96">
        <w:rPr>
          <w:rFonts w:ascii="Bookman Old Style" w:hAnsi="Bookman Old Style" w:cs="Bookman Old Style"/>
          <w:b/>
          <w:bCs/>
          <w:sz w:val="20"/>
          <w:szCs w:val="20"/>
        </w:rPr>
        <w:t>XI.- PLAZO DE RECLAMOS.</w:t>
      </w:r>
      <w:r w:rsidRPr="00F65E96">
        <w:rPr>
          <w:rFonts w:ascii="Bookman Old Style" w:hAnsi="Bookman Old Style" w:cs="Bookman Old Style"/>
          <w:sz w:val="20"/>
          <w:szCs w:val="20"/>
        </w:rPr>
        <w:t xml:space="preserve"> A partir de la recepción formal de los bienes objeto de este contrato, EL MAG tendrá un plazo de diez días hábiles para efectuar cualquier reclamo relacionado con el suministro. “LA CONTRATISTA” deberá reponer o cumplir a satisfacción del MAG dentro del plazo establecido en la nota de reclamo, si LA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F65E96">
        <w:rPr>
          <w:rFonts w:ascii="Bookman Old Style" w:hAnsi="Bookman Old Style" w:cs="Bookman Old Style"/>
          <w:b/>
          <w:bCs/>
          <w:sz w:val="20"/>
          <w:szCs w:val="20"/>
        </w:rPr>
        <w:t>XII.- MODIFICACIÓN</w:t>
      </w:r>
      <w:r w:rsidRPr="00F65E96">
        <w:rPr>
          <w:rFonts w:ascii="Bookman Old Style" w:hAnsi="Bookman Old Style" w:cs="Bookman Old Style"/>
          <w:sz w:val="20"/>
          <w:szCs w:val="20"/>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F65E96">
        <w:rPr>
          <w:rFonts w:ascii="Bookman Old Style" w:hAnsi="Bookman Old Style" w:cs="Bookman Old Style"/>
          <w:b/>
          <w:bCs/>
          <w:sz w:val="20"/>
          <w:szCs w:val="20"/>
        </w:rPr>
        <w:t>XIII.- DOCUMENTOS CONTRACTUALES</w:t>
      </w:r>
      <w:r w:rsidRPr="00F65E96">
        <w:rPr>
          <w:rFonts w:ascii="Bookman Old Style" w:hAnsi="Bookman Old Style" w:cs="Bookman Old Style"/>
          <w:sz w:val="20"/>
          <w:szCs w:val="20"/>
        </w:rPr>
        <w:t>. Forman parte integrante del presente contrato los siguientes documentos: a) invitación al proceso de comparación de precios CP - 04/2015 - MAG - BCIE, denominado "Adquisición de Tanques de Plásticos para Captación de Agua", de fecha di</w:t>
      </w:r>
      <w:r>
        <w:rPr>
          <w:rFonts w:ascii="Bookman Old Style" w:hAnsi="Bookman Old Style" w:cs="Bookman Old Style"/>
          <w:sz w:val="20"/>
          <w:szCs w:val="20"/>
        </w:rPr>
        <w:t>ez</w:t>
      </w:r>
      <w:r w:rsidRPr="00F65E96">
        <w:rPr>
          <w:rFonts w:ascii="Bookman Old Style" w:hAnsi="Bookman Old Style" w:cs="Bookman Old Style"/>
          <w:sz w:val="20"/>
          <w:szCs w:val="20"/>
        </w:rPr>
        <w:t xml:space="preserve"> de junio de dos mil quince; b) carta de ampliación de plazos emitida por la coordinadora del Comité Ejecutivo BCIE/Directora OACI/MAG,</w:t>
      </w:r>
      <w:r>
        <w:rPr>
          <w:rFonts w:ascii="Bookman Old Style" w:hAnsi="Bookman Old Style" w:cs="Bookman Old Style"/>
          <w:sz w:val="20"/>
          <w:szCs w:val="20"/>
        </w:rPr>
        <w:t xml:space="preserve"> el día dieciocho de junio de dos mil quince;</w:t>
      </w:r>
      <w:r w:rsidRPr="00F65E96">
        <w:rPr>
          <w:rFonts w:ascii="Bookman Old Style" w:hAnsi="Bookman Old Style" w:cs="Bookman Old Style"/>
          <w:sz w:val="20"/>
          <w:szCs w:val="20"/>
        </w:rPr>
        <w:t xml:space="preserve"> </w:t>
      </w:r>
      <w:r>
        <w:rPr>
          <w:rFonts w:ascii="Bookman Old Style" w:hAnsi="Bookman Old Style" w:cs="Bookman Old Style"/>
          <w:sz w:val="20"/>
          <w:szCs w:val="20"/>
        </w:rPr>
        <w:t>b</w:t>
      </w:r>
      <w:r w:rsidRPr="00F65E96">
        <w:rPr>
          <w:rFonts w:ascii="Bookman Old Style" w:hAnsi="Bookman Old Style" w:cs="Bookman Old Style"/>
          <w:sz w:val="20"/>
          <w:szCs w:val="20"/>
        </w:rPr>
        <w:t xml:space="preserve">) carta de ampliación de plazos emitida por la coordinadora del Comité Ejecutivo BCIE/Directora OACI/MAG el día treinta de junio de dos mil quince; c) oferta de LA CONTRATISTA de fecha veintinueve de junio de dos mil quince; e) resolución de adjudicación; f) garantía de cumplimiento de contrato; y otros documentos que emanaren del presente contrato, los cuales son complementarios entre sí y se interpretarán en forma conjunta. </w:t>
      </w:r>
      <w:r w:rsidRPr="00F65E96">
        <w:rPr>
          <w:rFonts w:ascii="Bookman Old Style" w:hAnsi="Bookman Old Style" w:cs="Bookman Old Style"/>
          <w:b/>
          <w:bCs/>
          <w:sz w:val="20"/>
          <w:szCs w:val="20"/>
        </w:rPr>
        <w:t>XIV.- INTERPRETACIÓN DEL CONTRATO.</w:t>
      </w:r>
      <w:r w:rsidRPr="00F65E96">
        <w:rPr>
          <w:rFonts w:ascii="Bookman Old Style" w:hAnsi="Bookman Old Style" w:cs="Bookman Old Style"/>
          <w:sz w:val="20"/>
          <w:szCs w:val="20"/>
        </w:rPr>
        <w:t xml:space="preserve"> De </w:t>
      </w:r>
      <w:r w:rsidRPr="00F65E96">
        <w:rPr>
          <w:rFonts w:ascii="Bookman Old Style" w:hAnsi="Bookman Old Style" w:cs="Bookman Old Style"/>
          <w:sz w:val="20"/>
          <w:szCs w:val="20"/>
        </w:rPr>
        <w:lastRenderedPageBreak/>
        <w:t xml:space="preserve">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F65E96">
        <w:rPr>
          <w:rFonts w:ascii="Bookman Old Style" w:hAnsi="Bookman Old Style" w:cs="Bookman Old Style"/>
          <w:sz w:val="20"/>
          <w:szCs w:val="20"/>
          <w:lang w:val="es-ES" w:eastAsia="es-ES"/>
        </w:rPr>
        <w:t xml:space="preserve">instrumento, pudiendo en tal caso girar las instrucciones por escrito que al respecto considere convenientes. “LA CONTRATISTA” expresamente acepta tal disposición y se obliga a dar estricto cumplimiento a las instrucciones que al respecto dicte EL MAG, las cuales le serán comunicadas por medio del administrador del contrato. </w:t>
      </w:r>
      <w:r w:rsidRPr="00F65E96">
        <w:rPr>
          <w:rFonts w:ascii="Bookman Old Style" w:hAnsi="Bookman Old Style" w:cs="Bookman Old Style"/>
          <w:b/>
          <w:bCs/>
          <w:sz w:val="20"/>
          <w:szCs w:val="20"/>
          <w:lang w:val="es-ES" w:eastAsia="es-ES"/>
        </w:rPr>
        <w:t xml:space="preserve">XV.- MODIFICACIÓN UNILATERAL. </w:t>
      </w:r>
      <w:r w:rsidRPr="00F65E96">
        <w:rPr>
          <w:rFonts w:ascii="Bookman Old Style" w:hAnsi="Bookman Old Style" w:cs="Bookman Old Style"/>
          <w:sz w:val="20"/>
          <w:szCs w:val="20"/>
          <w:lang w:val="es-ES" w:eastAsia="es-ES"/>
        </w:rPr>
        <w:t xml:space="preserve">Queda convenido por ambas partes que cuando el interés público lo hiciera necesario, sea por necesidades nuevas, causas imprevistas u otras circunstancias, “EL MAG” podrá modificar de forma unilateral el presente contrato. Se entiende que no será modificable de forma sustancial el objeto del mismo. </w:t>
      </w:r>
      <w:r w:rsidRPr="00F65E96">
        <w:rPr>
          <w:rFonts w:ascii="Bookman Old Style" w:hAnsi="Bookman Old Style" w:cs="Bookman Old Style"/>
          <w:b/>
          <w:bCs/>
          <w:sz w:val="20"/>
          <w:szCs w:val="20"/>
          <w:lang w:val="es-ES" w:eastAsia="es-ES"/>
        </w:rPr>
        <w:t>XVI.- FUERZA MAYOR O CASO FORTUITO</w:t>
      </w:r>
      <w:r w:rsidRPr="00F65E96">
        <w:rPr>
          <w:rFonts w:ascii="Bookman Old Style" w:hAnsi="Bookman Old Style" w:cs="Bookman Old Style"/>
          <w:sz w:val="20"/>
          <w:szCs w:val="20"/>
          <w:lang w:val="es-ES" w:eastAsia="es-ES"/>
        </w:rPr>
        <w:t xml:space="preserve">. En situaciones de caso fortuito o fuerza mayor y de conformidad con el artículo ochenta y seis de la Ley de Adquisiciones y Contrataciones de la Administración Pública, “LA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F65E96">
        <w:rPr>
          <w:rFonts w:ascii="Bookman Old Style" w:hAnsi="Bookman Old Style" w:cs="Bookman Old Style"/>
          <w:b/>
          <w:bCs/>
          <w:sz w:val="20"/>
          <w:szCs w:val="20"/>
          <w:lang w:val="es-ES" w:eastAsia="es-ES"/>
        </w:rPr>
        <w:t>XVII.- SOLUCIÓN DE CONFLICTOS.</w:t>
      </w:r>
      <w:r w:rsidRPr="00F65E96">
        <w:rPr>
          <w:rFonts w:ascii="Bookman Old Style" w:hAnsi="Bookman Old Style" w:cs="Bookman Old Style"/>
          <w:sz w:val="20"/>
          <w:szCs w:val="20"/>
          <w:lang w:val="es-ES" w:eastAsia="es-ES"/>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w:t>
      </w:r>
      <w:r w:rsidRPr="00F65E96">
        <w:rPr>
          <w:rFonts w:ascii="Bookman Old Style" w:hAnsi="Bookman Old Style" w:cs="Bookman Old Style"/>
          <w:b/>
          <w:bCs/>
          <w:sz w:val="20"/>
          <w:szCs w:val="20"/>
          <w:lang w:val="es-ES" w:eastAsia="es-ES"/>
        </w:rPr>
        <w:t>XVIII.- TERMINACIÓN BILATERAL</w:t>
      </w:r>
      <w:r w:rsidRPr="00F65E96">
        <w:rPr>
          <w:rFonts w:ascii="Bookman Old Style" w:hAnsi="Bookman Old Style" w:cs="Bookman Old Style"/>
          <w:sz w:val="20"/>
          <w:szCs w:val="20"/>
          <w:lang w:val="es-ES" w:eastAsia="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F65E96">
        <w:rPr>
          <w:rFonts w:ascii="Bookman Old Style" w:hAnsi="Bookman Old Style" w:cs="Bookman Old Style"/>
          <w:b/>
          <w:bCs/>
          <w:sz w:val="20"/>
          <w:szCs w:val="20"/>
          <w:lang w:val="es-ES" w:eastAsia="es-ES"/>
        </w:rPr>
        <w:t>XIX.- DOMICILIO ESPECIAL.</w:t>
      </w:r>
      <w:r w:rsidRPr="00F65E96">
        <w:rPr>
          <w:rFonts w:ascii="Bookman Old Style" w:hAnsi="Bookman Old Style" w:cs="Bookman Old Style"/>
          <w:sz w:val="20"/>
          <w:szCs w:val="20"/>
          <w:lang w:val="es-ES" w:eastAsia="es-ES"/>
        </w:rPr>
        <w:t xml:space="preserve"> Para los efectos jurisdiccionales de este contrato las partes señalan como domicilio especial el de la ciudad de Santa Tecla, departamento de La Libertad, a la competencia de cuyos tribunales se someten. </w:t>
      </w:r>
      <w:r w:rsidRPr="00F65E96">
        <w:rPr>
          <w:rFonts w:ascii="Bookman Old Style" w:hAnsi="Bookman Old Style" w:cs="Bookman Old Style"/>
          <w:b/>
          <w:bCs/>
          <w:sz w:val="20"/>
          <w:szCs w:val="20"/>
          <w:lang w:val="es-ES" w:eastAsia="es-ES"/>
        </w:rPr>
        <w:t>XX.- NOTIFICACIONES.</w:t>
      </w:r>
      <w:r w:rsidRPr="00F65E96">
        <w:rPr>
          <w:rFonts w:ascii="Bookman Old Style" w:hAnsi="Bookman Old Style" w:cs="Bookman Old Style"/>
          <w:sz w:val="20"/>
          <w:szCs w:val="20"/>
          <w:lang w:val="es-ES" w:eastAsia="es-ES"/>
        </w:rPr>
        <w:t xml:space="preserve"> Todas las notificaciones referentes a la ejecución de este contrato, serán válidas solamente cuando sean hechas por escrito a EL MAG a través del administrador del contrato en </w:t>
      </w:r>
      <w:r w:rsidRPr="00F65E96">
        <w:rPr>
          <w:rFonts w:ascii="Bookman Old Style" w:hAnsi="Bookman Old Style" w:cs="Bookman Old Style"/>
          <w:sz w:val="20"/>
          <w:szCs w:val="20"/>
          <w:lang w:val="es-SV" w:eastAsia="es-ES"/>
        </w:rPr>
        <w:t>oficinas de MAG/SEDE ubicadas en final Primera Avenida Norte y Trece Calle Oriente, Avenida Manuel Gallardo, municipio de Santa Tecla, departamento de La Libertad</w:t>
      </w:r>
      <w:r w:rsidRPr="00F65E96">
        <w:rPr>
          <w:rFonts w:ascii="Bookman Old Style" w:hAnsi="Bookman Old Style" w:cs="Bookman Old Style"/>
          <w:sz w:val="20"/>
          <w:szCs w:val="20"/>
          <w:lang w:val="es-ES" w:eastAsia="es-ES"/>
        </w:rPr>
        <w:t xml:space="preserve">, y a “LA CONTRATISTA” a través de Walter Edgardo Pacheco Meléndez, </w:t>
      </w:r>
      <w:r w:rsidR="00525B94" w:rsidRPr="00C7342A">
        <w:rPr>
          <w:highlight w:val="black"/>
        </w:rPr>
        <w:t>XXXXXXXXDUI y domicilio XXXXXXXXXX</w:t>
      </w:r>
      <w:r w:rsidR="00525B94" w:rsidRPr="00F65E96">
        <w:rPr>
          <w:rFonts w:ascii="Bookman Old Style" w:hAnsi="Bookman Old Style" w:cs="Bookman Old Style"/>
          <w:sz w:val="20"/>
          <w:szCs w:val="20"/>
          <w:lang w:val="es-ES" w:eastAsia="es-ES"/>
        </w:rPr>
        <w:t xml:space="preserve"> </w:t>
      </w:r>
      <w:r w:rsidRPr="00F65E96">
        <w:rPr>
          <w:rFonts w:ascii="Bookman Old Style" w:hAnsi="Bookman Old Style" w:cs="Bookman Old Style"/>
          <w:sz w:val="20"/>
          <w:szCs w:val="20"/>
          <w:lang w:val="es-ES" w:eastAsia="es-ES"/>
        </w:rPr>
        <w:t>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siete días del  mes de septiembre de dos mil quince.</w:t>
      </w:r>
    </w:p>
    <w:p w:rsidR="00A33462" w:rsidRPr="00F65E96" w:rsidRDefault="00A33462" w:rsidP="007D16CB">
      <w:pPr>
        <w:autoSpaceDE w:val="0"/>
        <w:autoSpaceDN w:val="0"/>
        <w:adjustRightInd w:val="0"/>
        <w:spacing w:line="360" w:lineRule="auto"/>
        <w:rPr>
          <w:rFonts w:ascii="Bookman Old Style" w:hAnsi="Bookman Old Style" w:cs="Bookman Old Style"/>
          <w:sz w:val="20"/>
          <w:szCs w:val="20"/>
          <w:lang w:val="es-ES" w:eastAsia="es-ES"/>
        </w:rPr>
      </w:pPr>
    </w:p>
    <w:p w:rsidR="00A33462" w:rsidRDefault="00A33462" w:rsidP="007D16CB">
      <w:pPr>
        <w:autoSpaceDE w:val="0"/>
        <w:autoSpaceDN w:val="0"/>
        <w:adjustRightInd w:val="0"/>
        <w:spacing w:line="360" w:lineRule="auto"/>
        <w:rPr>
          <w:rFonts w:ascii="Bookman Old Style" w:hAnsi="Bookman Old Style" w:cs="Bookman Old Style"/>
          <w:sz w:val="20"/>
          <w:szCs w:val="20"/>
          <w:lang w:val="es-ES" w:eastAsia="es-ES"/>
        </w:rPr>
      </w:pPr>
    </w:p>
    <w:p w:rsidR="00A33462" w:rsidRDefault="00A33462" w:rsidP="007D16CB">
      <w:pPr>
        <w:autoSpaceDE w:val="0"/>
        <w:autoSpaceDN w:val="0"/>
        <w:adjustRightInd w:val="0"/>
        <w:spacing w:line="360" w:lineRule="auto"/>
        <w:rPr>
          <w:rFonts w:ascii="Bookman Old Style" w:hAnsi="Bookman Old Style" w:cs="Bookman Old Style"/>
          <w:sz w:val="20"/>
          <w:szCs w:val="20"/>
          <w:lang w:val="es-ES" w:eastAsia="es-ES"/>
        </w:rPr>
      </w:pPr>
    </w:p>
    <w:p w:rsidR="00A33462" w:rsidRDefault="00A33462" w:rsidP="007D16CB">
      <w:pPr>
        <w:autoSpaceDE w:val="0"/>
        <w:autoSpaceDN w:val="0"/>
        <w:adjustRightInd w:val="0"/>
        <w:spacing w:line="360" w:lineRule="auto"/>
        <w:rPr>
          <w:rFonts w:ascii="Bookman Old Style" w:hAnsi="Bookman Old Style" w:cs="Bookman Old Style"/>
          <w:sz w:val="20"/>
          <w:szCs w:val="20"/>
          <w:lang w:val="es-ES" w:eastAsia="es-ES"/>
        </w:rPr>
      </w:pPr>
    </w:p>
    <w:p w:rsidR="00A33462" w:rsidRPr="00F65E96" w:rsidRDefault="00A33462" w:rsidP="007D16CB">
      <w:pPr>
        <w:autoSpaceDE w:val="0"/>
        <w:autoSpaceDN w:val="0"/>
        <w:adjustRightInd w:val="0"/>
        <w:spacing w:line="360" w:lineRule="auto"/>
        <w:rPr>
          <w:rFonts w:ascii="Bookman Old Style" w:hAnsi="Bookman Old Style" w:cs="Bookman Old Style"/>
          <w:sz w:val="20"/>
          <w:szCs w:val="20"/>
          <w:lang w:val="es-ES" w:eastAsia="es-ES"/>
        </w:rPr>
      </w:pPr>
    </w:p>
    <w:p w:rsidR="00A33462" w:rsidRPr="00F65E96" w:rsidRDefault="00A33462" w:rsidP="007D16CB">
      <w:pPr>
        <w:autoSpaceDE w:val="0"/>
        <w:autoSpaceDN w:val="0"/>
        <w:adjustRightInd w:val="0"/>
        <w:spacing w:line="360" w:lineRule="auto"/>
        <w:rPr>
          <w:rFonts w:ascii="Bookman Old Style" w:hAnsi="Bookman Old Style" w:cs="Bookman Old Style"/>
          <w:sz w:val="20"/>
          <w:szCs w:val="20"/>
          <w:lang w:val="es-ES" w:eastAsia="es-ES"/>
        </w:rPr>
      </w:pPr>
      <w:r w:rsidRPr="00F65E96">
        <w:rPr>
          <w:rFonts w:ascii="Bookman Old Style" w:hAnsi="Bookman Old Style" w:cs="Bookman Old Style"/>
          <w:sz w:val="20"/>
          <w:szCs w:val="20"/>
          <w:lang w:val="es-ES" w:eastAsia="es-ES"/>
        </w:rPr>
        <w:t>EL CONTRATANTE</w:t>
      </w:r>
      <w:r w:rsidRPr="00F65E96">
        <w:rPr>
          <w:rFonts w:ascii="Bookman Old Style" w:hAnsi="Bookman Old Style" w:cs="Bookman Old Style"/>
          <w:sz w:val="20"/>
          <w:szCs w:val="20"/>
          <w:lang w:val="es-ES" w:eastAsia="es-ES"/>
        </w:rPr>
        <w:tab/>
      </w:r>
      <w:r w:rsidRPr="00F65E96">
        <w:rPr>
          <w:rFonts w:ascii="Bookman Old Style" w:hAnsi="Bookman Old Style" w:cs="Bookman Old Style"/>
          <w:sz w:val="20"/>
          <w:szCs w:val="20"/>
          <w:lang w:val="es-ES" w:eastAsia="es-ES"/>
        </w:rPr>
        <w:tab/>
      </w:r>
      <w:r w:rsidRPr="00F65E96">
        <w:rPr>
          <w:rFonts w:ascii="Bookman Old Style" w:hAnsi="Bookman Old Style" w:cs="Bookman Old Style"/>
          <w:sz w:val="20"/>
          <w:szCs w:val="20"/>
          <w:lang w:val="es-ES" w:eastAsia="es-ES"/>
        </w:rPr>
        <w:tab/>
      </w:r>
      <w:r w:rsidRPr="00F65E96">
        <w:rPr>
          <w:rFonts w:ascii="Bookman Old Style" w:hAnsi="Bookman Old Style" w:cs="Bookman Old Style"/>
          <w:sz w:val="20"/>
          <w:szCs w:val="20"/>
          <w:lang w:val="es-ES" w:eastAsia="es-ES"/>
        </w:rPr>
        <w:tab/>
      </w:r>
      <w:r w:rsidRPr="00F65E96">
        <w:rPr>
          <w:rFonts w:ascii="Bookman Old Style" w:hAnsi="Bookman Old Style" w:cs="Bookman Old Style"/>
          <w:sz w:val="20"/>
          <w:szCs w:val="20"/>
          <w:lang w:val="es-ES" w:eastAsia="es-ES"/>
        </w:rPr>
        <w:tab/>
      </w:r>
      <w:r w:rsidRPr="00F65E96">
        <w:rPr>
          <w:rFonts w:ascii="Bookman Old Style" w:hAnsi="Bookman Old Style" w:cs="Bookman Old Style"/>
          <w:sz w:val="20"/>
          <w:szCs w:val="20"/>
          <w:lang w:val="es-ES" w:eastAsia="es-ES"/>
        </w:rPr>
        <w:tab/>
        <w:t xml:space="preserve">LA CONTRATISTA </w:t>
      </w:r>
    </w:p>
    <w:p w:rsidR="00A33462" w:rsidRDefault="00A33462" w:rsidP="00D630BC">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p w:rsidR="00A33462" w:rsidRDefault="00A33462" w:rsidP="00536836">
      <w:pPr>
        <w:spacing w:line="360" w:lineRule="auto"/>
        <w:ind w:left="-425"/>
        <w:rPr>
          <w:rFonts w:ascii="Calibri" w:hAnsi="Calibri" w:cs="Calibri"/>
          <w:sz w:val="22"/>
          <w:szCs w:val="22"/>
          <w:highlight w:val="yellow"/>
          <w:lang w:val="es-ES"/>
        </w:rPr>
      </w:pPr>
    </w:p>
    <w:p w:rsidR="00A33462" w:rsidRPr="00F65E96" w:rsidRDefault="00A33462" w:rsidP="0053683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Bookman Old Style" w:hAnsi="Bookman Old Style" w:cs="Bookman Old Style"/>
          <w:sz w:val="20"/>
          <w:szCs w:val="20"/>
          <w:lang w:val="es-ES" w:eastAsia="es-ES"/>
        </w:rPr>
      </w:pPr>
      <w:r>
        <w:rPr>
          <w:rFonts w:ascii="Arial" w:hAnsi="Arial" w:cs="Arial"/>
          <w:b/>
          <w:bCs/>
          <w:color w:val="0000FF"/>
          <w:sz w:val="21"/>
          <w:szCs w:val="21"/>
          <w:lang w:eastAsia="es-SV"/>
        </w:rPr>
        <w:t>Versión Pública de información confidencial Art. 30 LAIP</w:t>
      </w:r>
    </w:p>
    <w:sectPr w:rsidR="00A33462" w:rsidRPr="00F65E96" w:rsidSect="0062356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A8C" w:rsidRDefault="00253A8C" w:rsidP="00F57890">
      <w:r>
        <w:separator/>
      </w:r>
    </w:p>
  </w:endnote>
  <w:endnote w:type="continuationSeparator" w:id="1">
    <w:p w:rsidR="00253A8C" w:rsidRDefault="00253A8C" w:rsidP="00F57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462" w:rsidRDefault="00A3346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A8C" w:rsidRDefault="00253A8C" w:rsidP="00F57890">
      <w:r>
        <w:separator/>
      </w:r>
    </w:p>
  </w:footnote>
  <w:footnote w:type="continuationSeparator" w:id="1">
    <w:p w:rsidR="00253A8C" w:rsidRDefault="00253A8C" w:rsidP="00F57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462" w:rsidRDefault="008F7D07">
    <w:pPr>
      <w:pStyle w:val="Encabezado"/>
      <w:jc w:val="center"/>
    </w:pPr>
    <w:fldSimple w:instr="PAGE   \* MERGEFORMAT">
      <w:r w:rsidR="00E66583" w:rsidRPr="00E66583">
        <w:rPr>
          <w:noProof/>
          <w:lang w:val="es-ES"/>
        </w:rPr>
        <w:t>1</w:t>
      </w:r>
    </w:fldSimple>
  </w:p>
  <w:p w:rsidR="00A33462" w:rsidRDefault="00A3346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0066B"/>
    <w:rsid w:val="000131F9"/>
    <w:rsid w:val="00023C66"/>
    <w:rsid w:val="00035014"/>
    <w:rsid w:val="00050BDC"/>
    <w:rsid w:val="00054416"/>
    <w:rsid w:val="000549A6"/>
    <w:rsid w:val="000659E0"/>
    <w:rsid w:val="000A07CA"/>
    <w:rsid w:val="000A361F"/>
    <w:rsid w:val="000C24F1"/>
    <w:rsid w:val="000D2ADC"/>
    <w:rsid w:val="000E3B4F"/>
    <w:rsid w:val="000F5DDA"/>
    <w:rsid w:val="000F7A74"/>
    <w:rsid w:val="00102964"/>
    <w:rsid w:val="00116C2F"/>
    <w:rsid w:val="00121616"/>
    <w:rsid w:val="00122191"/>
    <w:rsid w:val="0015038E"/>
    <w:rsid w:val="00151873"/>
    <w:rsid w:val="00175296"/>
    <w:rsid w:val="001C7CC5"/>
    <w:rsid w:val="001E1D26"/>
    <w:rsid w:val="00200427"/>
    <w:rsid w:val="0021245A"/>
    <w:rsid w:val="00231975"/>
    <w:rsid w:val="00244E01"/>
    <w:rsid w:val="00253A8C"/>
    <w:rsid w:val="002650A7"/>
    <w:rsid w:val="00276C95"/>
    <w:rsid w:val="0029473B"/>
    <w:rsid w:val="002A4CAB"/>
    <w:rsid w:val="002B5B70"/>
    <w:rsid w:val="002E6EA8"/>
    <w:rsid w:val="0030435B"/>
    <w:rsid w:val="00314514"/>
    <w:rsid w:val="003201A8"/>
    <w:rsid w:val="003375A5"/>
    <w:rsid w:val="00362E8F"/>
    <w:rsid w:val="00363A86"/>
    <w:rsid w:val="00367F5B"/>
    <w:rsid w:val="003E1F70"/>
    <w:rsid w:val="003F25CB"/>
    <w:rsid w:val="003F52ED"/>
    <w:rsid w:val="003F53E9"/>
    <w:rsid w:val="00421785"/>
    <w:rsid w:val="004256C7"/>
    <w:rsid w:val="00426888"/>
    <w:rsid w:val="0044236B"/>
    <w:rsid w:val="0044307D"/>
    <w:rsid w:val="00452E88"/>
    <w:rsid w:val="00474CDB"/>
    <w:rsid w:val="00482F35"/>
    <w:rsid w:val="00485FA9"/>
    <w:rsid w:val="00494F92"/>
    <w:rsid w:val="004C3D62"/>
    <w:rsid w:val="004D2D64"/>
    <w:rsid w:val="004E3204"/>
    <w:rsid w:val="004E4C82"/>
    <w:rsid w:val="004F5BB7"/>
    <w:rsid w:val="00510B3A"/>
    <w:rsid w:val="00525B94"/>
    <w:rsid w:val="00526783"/>
    <w:rsid w:val="00534E1D"/>
    <w:rsid w:val="00535326"/>
    <w:rsid w:val="00536836"/>
    <w:rsid w:val="00537DDD"/>
    <w:rsid w:val="00546A23"/>
    <w:rsid w:val="005632B9"/>
    <w:rsid w:val="00564ED9"/>
    <w:rsid w:val="00596267"/>
    <w:rsid w:val="005B3E2E"/>
    <w:rsid w:val="005C7A42"/>
    <w:rsid w:val="005D2438"/>
    <w:rsid w:val="005D3AB5"/>
    <w:rsid w:val="005D5F5D"/>
    <w:rsid w:val="005E0536"/>
    <w:rsid w:val="006115C2"/>
    <w:rsid w:val="00623565"/>
    <w:rsid w:val="006517A4"/>
    <w:rsid w:val="006654A2"/>
    <w:rsid w:val="00665AF0"/>
    <w:rsid w:val="006B2C3D"/>
    <w:rsid w:val="006C4EAD"/>
    <w:rsid w:val="006D1EC8"/>
    <w:rsid w:val="006D2A4E"/>
    <w:rsid w:val="006D76C6"/>
    <w:rsid w:val="006F2C04"/>
    <w:rsid w:val="006F73A4"/>
    <w:rsid w:val="00710333"/>
    <w:rsid w:val="0077217F"/>
    <w:rsid w:val="00772233"/>
    <w:rsid w:val="00775EF0"/>
    <w:rsid w:val="007862D8"/>
    <w:rsid w:val="00791284"/>
    <w:rsid w:val="0079791E"/>
    <w:rsid w:val="007A72F7"/>
    <w:rsid w:val="007C4AB3"/>
    <w:rsid w:val="007C6A9B"/>
    <w:rsid w:val="007D16CB"/>
    <w:rsid w:val="007E2B01"/>
    <w:rsid w:val="00811F6A"/>
    <w:rsid w:val="008152A5"/>
    <w:rsid w:val="00815565"/>
    <w:rsid w:val="008260A5"/>
    <w:rsid w:val="0083322B"/>
    <w:rsid w:val="008403AB"/>
    <w:rsid w:val="0085715F"/>
    <w:rsid w:val="008662EB"/>
    <w:rsid w:val="008669F8"/>
    <w:rsid w:val="00872133"/>
    <w:rsid w:val="008914E0"/>
    <w:rsid w:val="00892529"/>
    <w:rsid w:val="0089463A"/>
    <w:rsid w:val="008B5CBD"/>
    <w:rsid w:val="008B7484"/>
    <w:rsid w:val="008E0B1B"/>
    <w:rsid w:val="008E5CD1"/>
    <w:rsid w:val="008E6DF2"/>
    <w:rsid w:val="008F7D07"/>
    <w:rsid w:val="0090078C"/>
    <w:rsid w:val="009102BA"/>
    <w:rsid w:val="0091042E"/>
    <w:rsid w:val="00917F64"/>
    <w:rsid w:val="009236C2"/>
    <w:rsid w:val="009254EA"/>
    <w:rsid w:val="009542E8"/>
    <w:rsid w:val="00991AA2"/>
    <w:rsid w:val="009B53E7"/>
    <w:rsid w:val="009C41A0"/>
    <w:rsid w:val="009C6910"/>
    <w:rsid w:val="009D1F12"/>
    <w:rsid w:val="009E68D4"/>
    <w:rsid w:val="009F31AA"/>
    <w:rsid w:val="00A1419A"/>
    <w:rsid w:val="00A17A6D"/>
    <w:rsid w:val="00A17CA9"/>
    <w:rsid w:val="00A22820"/>
    <w:rsid w:val="00A33462"/>
    <w:rsid w:val="00A36DCB"/>
    <w:rsid w:val="00A7353B"/>
    <w:rsid w:val="00A90C3B"/>
    <w:rsid w:val="00A93225"/>
    <w:rsid w:val="00A95B8F"/>
    <w:rsid w:val="00AD3B80"/>
    <w:rsid w:val="00AD4675"/>
    <w:rsid w:val="00AD696C"/>
    <w:rsid w:val="00B04B33"/>
    <w:rsid w:val="00B21A92"/>
    <w:rsid w:val="00B24F42"/>
    <w:rsid w:val="00B3220C"/>
    <w:rsid w:val="00B42350"/>
    <w:rsid w:val="00B45998"/>
    <w:rsid w:val="00B4651F"/>
    <w:rsid w:val="00B527E7"/>
    <w:rsid w:val="00B606D1"/>
    <w:rsid w:val="00B96ACF"/>
    <w:rsid w:val="00BA61F0"/>
    <w:rsid w:val="00BB0415"/>
    <w:rsid w:val="00BB22E9"/>
    <w:rsid w:val="00BB450E"/>
    <w:rsid w:val="00BB6190"/>
    <w:rsid w:val="00BC17CA"/>
    <w:rsid w:val="00BD2C03"/>
    <w:rsid w:val="00BD6FE6"/>
    <w:rsid w:val="00C0194F"/>
    <w:rsid w:val="00C212C3"/>
    <w:rsid w:val="00C32507"/>
    <w:rsid w:val="00C40222"/>
    <w:rsid w:val="00C40B5D"/>
    <w:rsid w:val="00C927C2"/>
    <w:rsid w:val="00C96AD5"/>
    <w:rsid w:val="00CD02FF"/>
    <w:rsid w:val="00CD350F"/>
    <w:rsid w:val="00CD75CC"/>
    <w:rsid w:val="00CF507E"/>
    <w:rsid w:val="00D009C7"/>
    <w:rsid w:val="00D31792"/>
    <w:rsid w:val="00D45228"/>
    <w:rsid w:val="00D630BC"/>
    <w:rsid w:val="00D6377A"/>
    <w:rsid w:val="00D73B22"/>
    <w:rsid w:val="00D94588"/>
    <w:rsid w:val="00DE16CF"/>
    <w:rsid w:val="00E234B4"/>
    <w:rsid w:val="00E66583"/>
    <w:rsid w:val="00E870D1"/>
    <w:rsid w:val="00EA693F"/>
    <w:rsid w:val="00ED02A5"/>
    <w:rsid w:val="00ED3915"/>
    <w:rsid w:val="00EF1505"/>
    <w:rsid w:val="00EF244F"/>
    <w:rsid w:val="00F15CDC"/>
    <w:rsid w:val="00F57890"/>
    <w:rsid w:val="00F63AF3"/>
    <w:rsid w:val="00F65E96"/>
    <w:rsid w:val="00F673AC"/>
    <w:rsid w:val="00F67CFA"/>
    <w:rsid w:val="00F7500E"/>
    <w:rsid w:val="00F759EF"/>
    <w:rsid w:val="00F7708D"/>
    <w:rsid w:val="00F95C5F"/>
    <w:rsid w:val="00FA0515"/>
    <w:rsid w:val="00FA4015"/>
    <w:rsid w:val="00FA7739"/>
    <w:rsid w:val="00FE6788"/>
    <w:rsid w:val="00FF0542"/>
    <w:rsid w:val="00FF060A"/>
    <w:rsid w:val="00FF787B"/>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bCs/>
      <w:sz w:val="44"/>
      <w:szCs w:val="44"/>
    </w:rPr>
  </w:style>
  <w:style w:type="character" w:customStyle="1" w:styleId="SubttuloCar">
    <w:name w:val="Subtítulo Car"/>
    <w:basedOn w:val="Fuentedeprrafopredeter"/>
    <w:link w:val="Subttulo"/>
    <w:uiPriority w:val="99"/>
    <w:rsid w:val="00C32507"/>
    <w:rPr>
      <w:rFonts w:ascii="Times New Roman" w:hAnsi="Times New Roman" w:cs="Times New Roman"/>
      <w:b/>
      <w:bCs/>
      <w:sz w:val="20"/>
      <w:szCs w:val="20"/>
      <w:lang w:val="es-ES_tradnl"/>
    </w:rPr>
  </w:style>
  <w:style w:type="paragraph" w:customStyle="1" w:styleId="Sinespaciado1">
    <w:name w:val="Sin espaciado1"/>
    <w:uiPriority w:val="99"/>
    <w:rsid w:val="00C32507"/>
    <w:rPr>
      <w:rFonts w:eastAsia="Times New Roman" w:cs="Calibri"/>
      <w:sz w:val="22"/>
      <w:szCs w:val="22"/>
      <w:lang w:eastAsia="en-US"/>
    </w:rPr>
  </w:style>
  <w:style w:type="table" w:styleId="Tablaconcuadrcula">
    <w:name w:val="Table Grid"/>
    <w:basedOn w:val="Tablanormal"/>
    <w:uiPriority w:val="99"/>
    <w:rsid w:val="005C7A4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rsid w:val="00F57890"/>
    <w:pPr>
      <w:tabs>
        <w:tab w:val="center" w:pos="4419"/>
        <w:tab w:val="right" w:pos="8838"/>
      </w:tabs>
    </w:pPr>
  </w:style>
  <w:style w:type="character" w:customStyle="1" w:styleId="EncabezadoCar">
    <w:name w:val="Encabezado Car"/>
    <w:basedOn w:val="Fuentedeprrafopredeter"/>
    <w:link w:val="Encabezado"/>
    <w:uiPriority w:val="99"/>
    <w:rsid w:val="00F57890"/>
    <w:rPr>
      <w:rFonts w:ascii="Times New Roman" w:hAnsi="Times New Roman" w:cs="Times New Roman"/>
      <w:sz w:val="20"/>
      <w:szCs w:val="20"/>
      <w:lang w:val="es-ES_tradnl"/>
    </w:rPr>
  </w:style>
  <w:style w:type="paragraph" w:styleId="Piedepgina">
    <w:name w:val="footer"/>
    <w:basedOn w:val="Normal"/>
    <w:link w:val="PiedepginaCar"/>
    <w:uiPriority w:val="99"/>
    <w:rsid w:val="00F57890"/>
    <w:pPr>
      <w:tabs>
        <w:tab w:val="center" w:pos="4419"/>
        <w:tab w:val="right" w:pos="8838"/>
      </w:tabs>
    </w:pPr>
  </w:style>
  <w:style w:type="character" w:customStyle="1" w:styleId="PiedepginaCar">
    <w:name w:val="Pie de página Car"/>
    <w:basedOn w:val="Fuentedeprrafopredeter"/>
    <w:link w:val="Piedepgina"/>
    <w:uiPriority w:val="99"/>
    <w:rsid w:val="00F57890"/>
    <w:rPr>
      <w:rFonts w:ascii="Times New Roman" w:hAnsi="Times New Roman" w:cs="Times New Roman"/>
      <w:sz w:val="20"/>
      <w:szCs w:val="20"/>
      <w:lang w:val="es-ES_tradnl"/>
    </w:rPr>
  </w:style>
  <w:style w:type="paragraph" w:styleId="Textodeglobo">
    <w:name w:val="Balloon Text"/>
    <w:basedOn w:val="Normal"/>
    <w:link w:val="TextodegloboCar"/>
    <w:uiPriority w:val="99"/>
    <w:semiHidden/>
    <w:rsid w:val="008B5CBD"/>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CBD"/>
    <w:rPr>
      <w:rFonts w:ascii="Tahoma" w:hAnsi="Tahoma" w:cs="Tahoma"/>
      <w:sz w:val="16"/>
      <w:szCs w:val="16"/>
      <w:lang w:val="es-ES_tradnl"/>
    </w:rPr>
  </w:style>
  <w:style w:type="table" w:customStyle="1" w:styleId="Tablaconcuadrcula1">
    <w:name w:val="Tabla con cuadrícula1"/>
    <w:uiPriority w:val="99"/>
    <w:rsid w:val="004C3D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0701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2964</Words>
  <Characters>16308</Characters>
  <Application>Microsoft Office Word</Application>
  <DocSecurity>0</DocSecurity>
  <Lines>135</Lines>
  <Paragraphs>38</Paragraphs>
  <ScaleCrop>false</ScaleCrop>
  <Company>Hewlett-Packard Company</Company>
  <LinksUpToDate>false</LinksUpToDate>
  <CharactersWithSpaces>19234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Marta Guadalupe Quintanilla</dc:creator>
  <cp:keywords/>
  <dc:description/>
  <cp:lastModifiedBy>mgamero</cp:lastModifiedBy>
  <cp:revision>4</cp:revision>
  <cp:lastPrinted>2015-09-10T17:04:00Z</cp:lastPrinted>
  <dcterms:created xsi:type="dcterms:W3CDTF">2015-09-30T02:48:00Z</dcterms:created>
  <dcterms:modified xsi:type="dcterms:W3CDTF">2016-03-01T16:26:00Z</dcterms:modified>
</cp:coreProperties>
</file>