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28" w:rsidRDefault="00155828">
      <w:pPr>
        <w:pStyle w:val="Ttulo10"/>
        <w:keepNext/>
        <w:keepLines/>
        <w:shd w:val="clear" w:color="auto" w:fill="auto"/>
        <w:spacing w:after="159" w:line="200" w:lineRule="exact"/>
        <w:rPr>
          <w:rStyle w:val="Ttulo11"/>
          <w:b/>
          <w:bCs/>
        </w:rPr>
      </w:pPr>
      <w:bookmarkStart w:id="0" w:name="bookmark0"/>
    </w:p>
    <w:bookmarkEnd w:id="0"/>
    <w:p w:rsidR="00155828" w:rsidRPr="00155828" w:rsidRDefault="00155828" w:rsidP="00155828">
      <w:pPr>
        <w:widowControl/>
        <w:spacing w:line="276" w:lineRule="auto"/>
        <w:jc w:val="center"/>
        <w:rPr>
          <w:rFonts w:ascii="Arial" w:eastAsia="Times New Roman" w:hAnsi="Arial" w:cs="Arial"/>
          <w:b/>
          <w:bCs/>
          <w:i/>
          <w:color w:val="0000FF"/>
          <w:sz w:val="21"/>
          <w:szCs w:val="21"/>
          <w:lang w:bidi="ar-SA"/>
        </w:rPr>
      </w:pPr>
      <w:r w:rsidRPr="00155828">
        <w:rPr>
          <w:rFonts w:ascii="Arial" w:eastAsia="Times New Roman" w:hAnsi="Arial" w:cs="Arial"/>
          <w:b/>
          <w:bCs/>
          <w:i/>
          <w:color w:val="0000FF"/>
          <w:sz w:val="21"/>
          <w:szCs w:val="21"/>
          <w:lang w:bidi="ar-SA"/>
        </w:rPr>
        <w:t>Versión Pública de información confidencial Art. 30 LAIP</w:t>
      </w:r>
    </w:p>
    <w:p w:rsidR="00155828" w:rsidRPr="00155828" w:rsidRDefault="00155828" w:rsidP="00155828">
      <w:pPr>
        <w:widowControl/>
        <w:spacing w:line="276" w:lineRule="auto"/>
        <w:jc w:val="center"/>
        <w:rPr>
          <w:rFonts w:ascii="Arial" w:eastAsia="Times New Roman" w:hAnsi="Arial" w:cs="Arial"/>
          <w:b/>
          <w:bCs/>
          <w:i/>
          <w:color w:val="0000FF"/>
          <w:sz w:val="21"/>
          <w:szCs w:val="21"/>
          <w:lang w:bidi="ar-SA"/>
        </w:rPr>
      </w:pPr>
      <w:r w:rsidRPr="00155828">
        <w:rPr>
          <w:rFonts w:ascii="Arial" w:eastAsia="Times New Roman" w:hAnsi="Arial" w:cs="Arial"/>
          <w:b/>
          <w:bCs/>
          <w:i/>
          <w:color w:val="0000FF"/>
          <w:sz w:val="21"/>
          <w:szCs w:val="21"/>
          <w:lang w:bidi="ar-SA"/>
        </w:rPr>
        <w:t xml:space="preserve">(La información suprimida es de carácter confidencial conforme a los artículos 6 letra “a” y 24 </w:t>
      </w:r>
      <w:proofErr w:type="gramStart"/>
      <w:r w:rsidRPr="00155828">
        <w:rPr>
          <w:rFonts w:ascii="Arial" w:eastAsia="Times New Roman" w:hAnsi="Arial" w:cs="Arial"/>
          <w:b/>
          <w:bCs/>
          <w:i/>
          <w:color w:val="0000FF"/>
          <w:sz w:val="21"/>
          <w:szCs w:val="21"/>
          <w:lang w:bidi="ar-SA"/>
        </w:rPr>
        <w:t>letra</w:t>
      </w:r>
      <w:proofErr w:type="gramEnd"/>
      <w:r w:rsidRPr="00155828">
        <w:rPr>
          <w:rFonts w:ascii="Arial" w:eastAsia="Times New Roman" w:hAnsi="Arial" w:cs="Arial"/>
          <w:b/>
          <w:bCs/>
          <w:i/>
          <w:color w:val="0000FF"/>
          <w:sz w:val="21"/>
          <w:szCs w:val="21"/>
          <w:lang w:bidi="ar-SA"/>
        </w:rPr>
        <w:t xml:space="preserve"> “c” de la Ley del Acceso a la Información Pública, en la primera y última página de este contrato.)</w:t>
      </w:r>
    </w:p>
    <w:p w:rsidR="00155828" w:rsidRDefault="00155828">
      <w:pPr>
        <w:pStyle w:val="Cuerpodeltexto20"/>
        <w:shd w:val="clear" w:color="auto" w:fill="auto"/>
        <w:spacing w:before="0"/>
      </w:pPr>
    </w:p>
    <w:p w:rsidR="00532D78" w:rsidRDefault="00DB588A">
      <w:pPr>
        <w:pStyle w:val="Cuerpodeltexto20"/>
        <w:shd w:val="clear" w:color="auto" w:fill="auto"/>
        <w:spacing w:before="0"/>
      </w:pPr>
      <w:r>
        <w:t>CONTRATO MAG No. 018/2015</w:t>
      </w:r>
    </w:p>
    <w:p w:rsidR="00532D78" w:rsidRDefault="00DB588A">
      <w:pPr>
        <w:pStyle w:val="Cuerpodeltexto20"/>
        <w:shd w:val="clear" w:color="auto" w:fill="auto"/>
        <w:spacing w:before="0"/>
      </w:pPr>
      <w:r>
        <w:t>“SERVICIO DE VIGILANCIA PRIVADA PARA EL MINISTERIO DE AGRICULTURA Y</w:t>
      </w:r>
    </w:p>
    <w:p w:rsidR="00532D78" w:rsidRDefault="00DB588A">
      <w:pPr>
        <w:pStyle w:val="Cuerpodeltexto20"/>
        <w:shd w:val="clear" w:color="auto" w:fill="auto"/>
        <w:spacing w:before="0" w:after="328"/>
      </w:pPr>
      <w:r>
        <w:t>GANADERÍA Y SUS DEPENDENCIAS”</w:t>
      </w:r>
    </w:p>
    <w:p w:rsidR="00532D78" w:rsidRDefault="00DB588A">
      <w:pPr>
        <w:pStyle w:val="Cuerpodeltexto20"/>
        <w:shd w:val="clear" w:color="auto" w:fill="auto"/>
        <w:spacing w:before="0" w:after="352" w:line="341" w:lineRule="exact"/>
        <w:jc w:val="both"/>
      </w:pPr>
      <w:r>
        <w:t>Nosotros, WALTER ULISES MENJIVAR DIAZ, actuando en representación del Estado y Gobierno de El Salvador en el Ramo de Agricultura y Ganadería, en mi calidad de Director General de Administración y Finanzas, designado por el señor Ministro de Agricultura y G</w:t>
      </w:r>
      <w:r>
        <w:t>anadería para firmar contratos de adquisiciones de bienes muebles no sujetos a Licitación, de adquisiciones de obras, servicios y consultorías gestionados por esta Secretaría de Estado y que en el transcurso de este contrato me denominaré “EL CONTRATANTE o</w:t>
      </w:r>
      <w:r>
        <w:t xml:space="preserve"> EL MAG” con Número de Identificación Tributaria cero seiscientos catorce-cero diez mil ciento treinta y uno-cero cero seis-nueve; y por otra parte PEDRO ANTONIO SILIEZAR JUÁREZ, actuando en mi calidad de Administrador Único Propietario y Representante Leg</w:t>
      </w:r>
      <w:r>
        <w:t xml:space="preserve">al de la sociedad SERVICIOS DE SEGURIDAD, ENTREGA Y RECOLECCIÓN DE VALORES, SOCIEDAD ANONIMA DE CAPITAL VARIABLE, que se abrevia SSERVAL, S.A. DE C.V., sociedad del domicilio de San Salvador, departamento de San Salvador, con </w:t>
      </w:r>
      <w:r w:rsidR="00536758" w:rsidRPr="00536758">
        <w:rPr>
          <w:highlight w:val="black"/>
        </w:rPr>
        <w:t>XXXXXXXXXXXXX</w:t>
      </w:r>
      <w:r>
        <w:t xml:space="preserve">, que en el transcurso del presente instrumento me denominaré “EL CONTRATISTA”, y en los caracteres antes dichos MANIFESTAMOS: Que hemos acordado otorgar el presente contrato </w:t>
      </w:r>
      <w:r>
        <w:t xml:space="preserve">de “SERVICIO DE VIGILANCIA PRIVADA PARA EL MINISTERIO DE AGRICULTURA Y GANADERÍA Y SUS DEPENDENCIAS”, a favor y a satisfacción del Ministerio de Agricultura y Ganadería, en virtud de lo establecido en los documentos de invitación adjuntos, los términos de </w:t>
      </w:r>
      <w:r>
        <w:t xml:space="preserve">referencia del proceso por Libre Gestión número </w:t>
      </w:r>
      <w:r>
        <w:rPr>
          <w:rStyle w:val="Cuerpodeltexto21"/>
        </w:rPr>
        <w:t>MAG 001/2015</w:t>
      </w:r>
      <w:r>
        <w:t xml:space="preserve"> denominado “SERVICIO DE VIGILANCIA PRIVADA PARA EL MINISTERIO DE AGRICULTURA Y GANADERÍA Y SUS DEPENDENCIAS”, que se regirá de conformidad con lo establecido en la Ley de Adquisiciones y Contrata</w:t>
      </w:r>
      <w:r>
        <w:t>ciones de la Administración Pública, que en adelante se denominará LACAP y su Reglamento, y en especial a las obligaciones, especificaciones y pactos siguientes: I. OBJETO DEL CONTRATO. El objeto del presente contrato es la prestación del “SERVICIO DE VIGI</w:t>
      </w:r>
      <w:r>
        <w:t>LANCIA PRIVADA PARA EL MINISTERIO DE AGRICULTURA Y GANADERÍA Y SUS DEPENDENCIAS”, según el siguiente detalle: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28"/>
        <w:gridCol w:w="682"/>
        <w:gridCol w:w="691"/>
        <w:gridCol w:w="965"/>
        <w:gridCol w:w="1522"/>
        <w:gridCol w:w="1526"/>
      </w:tblGrid>
      <w:tr w:rsidR="00532D78">
        <w:tblPrEx>
          <w:tblCellMar>
            <w:top w:w="0" w:type="dxa"/>
            <w:bottom w:w="0" w:type="dxa"/>
          </w:tblCellMar>
        </w:tblPrEx>
        <w:trPr>
          <w:trHeight w:hRule="exact" w:val="806"/>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
              </w:rPr>
              <w:lastRenderedPageBreak/>
              <w:t>Lugar</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jc w:val="left"/>
            </w:pPr>
            <w:r>
              <w:rPr>
                <w:rStyle w:val="Cuerpodeltexto28pto"/>
              </w:rPr>
              <w:t>Turno</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jc w:val="left"/>
            </w:pPr>
            <w:r>
              <w:rPr>
                <w:rStyle w:val="Cuerpodeltexto28pto"/>
              </w:rPr>
              <w:t>Horas</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pPr>
            <w:r>
              <w:rPr>
                <w:rStyle w:val="Cuerpodeltexto28pto"/>
              </w:rPr>
              <w:t>N° de Guardia</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pPr>
            <w:r>
              <w:rPr>
                <w:rStyle w:val="Cuerpodeltexto28pto"/>
              </w:rPr>
              <w:t>Precio Unitario c/IVA (US$)</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both"/>
            </w:pPr>
            <w:r>
              <w:rPr>
                <w:rStyle w:val="Cuerpodeltexto28pto"/>
              </w:rPr>
              <w:t>Precio Total c/IVA (US$)</w:t>
            </w:r>
          </w:p>
        </w:tc>
      </w:tr>
      <w:tr w:rsidR="00532D78">
        <w:tblPrEx>
          <w:tblCellMar>
            <w:top w:w="0" w:type="dxa"/>
            <w:bottom w:w="0" w:type="dxa"/>
          </w:tblCellMar>
        </w:tblPrEx>
        <w:trPr>
          <w:trHeight w:hRule="exact" w:val="1162"/>
          <w:jc w:val="center"/>
        </w:trPr>
        <w:tc>
          <w:tcPr>
            <w:tcW w:w="2928"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both"/>
            </w:pPr>
            <w:r>
              <w:rPr>
                <w:rStyle w:val="Cuerpodeltexto28pto0"/>
              </w:rPr>
              <w:t xml:space="preserve">Instalaciones del Hogar del Paso, Santa Rosa de Lima, </w:t>
            </w:r>
            <w:r>
              <w:rPr>
                <w:rStyle w:val="Cuerpodeltexto28pto0"/>
              </w:rPr>
              <w:t>departamento de La Unión.</w:t>
            </w:r>
          </w:p>
        </w:tc>
        <w:tc>
          <w:tcPr>
            <w:tcW w:w="682"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bl>
    <w:p w:rsidR="00532D78" w:rsidRDefault="00532D78">
      <w:pPr>
        <w:framePr w:w="8314" w:wrap="notBeside" w:vAnchor="text" w:hAnchor="text" w:xAlign="center" w:y="1"/>
        <w:rPr>
          <w:sz w:val="2"/>
          <w:szCs w:val="2"/>
        </w:rPr>
      </w:pPr>
    </w:p>
    <w:p w:rsidR="00532D78" w:rsidRDefault="00532D7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8"/>
        <w:gridCol w:w="682"/>
        <w:gridCol w:w="691"/>
        <w:gridCol w:w="965"/>
        <w:gridCol w:w="1522"/>
        <w:gridCol w:w="1526"/>
      </w:tblGrid>
      <w:tr w:rsidR="00532D78">
        <w:tblPrEx>
          <w:tblCellMar>
            <w:top w:w="0" w:type="dxa"/>
            <w:bottom w:w="0" w:type="dxa"/>
          </w:tblCellMar>
        </w:tblPrEx>
        <w:trPr>
          <w:trHeight w:hRule="exact" w:val="715"/>
          <w:jc w:val="center"/>
        </w:trPr>
        <w:tc>
          <w:tcPr>
            <w:tcW w:w="2928" w:type="dxa"/>
            <w:tcBorders>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lastRenderedPageBreak/>
              <w:t>CEDAF, cantón El Rosario, departamento de Morazán.</w:t>
            </w:r>
          </w:p>
        </w:tc>
        <w:tc>
          <w:tcPr>
            <w:tcW w:w="682" w:type="dxa"/>
            <w:tcBorders>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w:t>
            </w:r>
          </w:p>
        </w:tc>
        <w:tc>
          <w:tcPr>
            <w:tcW w:w="691" w:type="dxa"/>
            <w:tcBorders>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w:t>
            </w:r>
          </w:p>
        </w:tc>
        <w:tc>
          <w:tcPr>
            <w:tcW w:w="1522" w:type="dxa"/>
            <w:tcBorders>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$5,048.30</w:t>
            </w:r>
          </w:p>
        </w:tc>
      </w:tr>
      <w:tr w:rsidR="00532D78">
        <w:tblPrEx>
          <w:tblCellMar>
            <w:top w:w="0" w:type="dxa"/>
            <w:bottom w:w="0" w:type="dxa"/>
          </w:tblCellMar>
        </w:tblPrEx>
        <w:trPr>
          <w:trHeight w:hRule="exact" w:val="667"/>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11" w:lineRule="exact"/>
              <w:jc w:val="left"/>
            </w:pPr>
            <w:r>
              <w:rPr>
                <w:rStyle w:val="Cuerpodeltexto28pto0"/>
              </w:rPr>
              <w:t>Planta de Lácteos, Cuidad Dolores.</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576"/>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jc w:val="left"/>
            </w:pPr>
            <w:r>
              <w:rPr>
                <w:rStyle w:val="Cuerpodeltexto28pto0"/>
              </w:rPr>
              <w:t xml:space="preserve">Planta de Lácteos, </w:t>
            </w:r>
            <w:proofErr w:type="spellStart"/>
            <w:r>
              <w:rPr>
                <w:rStyle w:val="Cuerpodeltexto28pto0"/>
              </w:rPr>
              <w:t>Ilobasco</w:t>
            </w:r>
            <w:proofErr w:type="spellEnd"/>
            <w:r>
              <w:rPr>
                <w:rStyle w:val="Cuerpodeltexto28pto0"/>
              </w:rPr>
              <w:t>.</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1061"/>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t>Oficinas</w:t>
            </w:r>
            <w:r>
              <w:rPr>
                <w:rStyle w:val="Cuerpodeltexto28pto0"/>
              </w:rPr>
              <w:t xml:space="preserve"> MAG ubicadas en </w:t>
            </w:r>
            <w:proofErr w:type="spellStart"/>
            <w:r>
              <w:rPr>
                <w:rStyle w:val="Cuerpodeltexto28pto0"/>
              </w:rPr>
              <w:t>Guacotecti</w:t>
            </w:r>
            <w:proofErr w:type="spellEnd"/>
            <w:r>
              <w:rPr>
                <w:rStyle w:val="Cuerpodeltexto28pto0"/>
              </w:rPr>
              <w:t>, Sensuntepeque.</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4</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$2,019.32</w:t>
            </w:r>
          </w:p>
        </w:tc>
      </w:tr>
      <w:tr w:rsidR="00532D78">
        <w:tblPrEx>
          <w:tblCellMar>
            <w:top w:w="0" w:type="dxa"/>
            <w:bottom w:w="0" w:type="dxa"/>
          </w:tblCellMar>
        </w:tblPrEx>
        <w:trPr>
          <w:trHeight w:hRule="exact" w:val="1032"/>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proofErr w:type="gramStart"/>
            <w:r>
              <w:rPr>
                <w:rStyle w:val="Cuerpodeltexto28pto0"/>
              </w:rPr>
              <w:t>Oficinas Cabecera</w:t>
            </w:r>
            <w:proofErr w:type="gramEnd"/>
            <w:r>
              <w:rPr>
                <w:rStyle w:val="Cuerpodeltexto28pto0"/>
              </w:rPr>
              <w:t xml:space="preserve"> Departamental Chalatenango.</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1234"/>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t xml:space="preserve">Centro de Rescate de Animales de Vida Silvestre en </w:t>
            </w:r>
            <w:proofErr w:type="spellStart"/>
            <w:r>
              <w:rPr>
                <w:rStyle w:val="Cuerpodeltexto28pto0"/>
              </w:rPr>
              <w:t>Texistepeque</w:t>
            </w:r>
            <w:proofErr w:type="spellEnd"/>
            <w:r>
              <w:rPr>
                <w:rStyle w:val="Cuerpodeltexto28pto0"/>
              </w:rPr>
              <w:t>, departamento de Santa Ana.</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1747"/>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t>Oficinas Centrales de la Dirección General de Sanidad Vegetal y Animal en el cantón el Matazano, Soyapango, departamento de San Salvador</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8</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16</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$8,077.28</w:t>
            </w:r>
          </w:p>
        </w:tc>
      </w:tr>
      <w:tr w:rsidR="00532D78">
        <w:tblPrEx>
          <w:tblCellMar>
            <w:top w:w="0" w:type="dxa"/>
            <w:bottom w:w="0" w:type="dxa"/>
          </w:tblCellMar>
        </w:tblPrEx>
        <w:trPr>
          <w:trHeight w:hRule="exact" w:val="1402"/>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t>Oficinas DGSVA, Antiguas Instalaciones Ex IRA, Cantón El Portezuelo, departamento</w:t>
            </w:r>
            <w:r>
              <w:rPr>
                <w:rStyle w:val="Cuerpodeltexto28pto0"/>
              </w:rPr>
              <w:t xml:space="preserve"> de Santa Ana</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658"/>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jc w:val="left"/>
            </w:pPr>
            <w:r>
              <w:rPr>
                <w:rStyle w:val="Cuerpodeltexto28pto0"/>
              </w:rPr>
              <w:t>Oficinas DGSVA, San Miguel</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1142"/>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2" w:lineRule="exact"/>
              <w:jc w:val="left"/>
            </w:pPr>
            <w:r>
              <w:rPr>
                <w:rStyle w:val="Cuerpodeltexto28pto0"/>
              </w:rPr>
              <w:t>Estación Puerto El Triunfo, departamento de Usulután</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4</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8</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$4,038.64</w:t>
            </w:r>
          </w:p>
        </w:tc>
      </w:tr>
      <w:tr w:rsidR="00532D78">
        <w:tblPrEx>
          <w:tblCellMar>
            <w:top w:w="0" w:type="dxa"/>
            <w:bottom w:w="0" w:type="dxa"/>
          </w:tblCellMar>
        </w:tblPrEx>
        <w:trPr>
          <w:trHeight w:hRule="exact" w:val="845"/>
          <w:jc w:val="center"/>
        </w:trPr>
        <w:tc>
          <w:tcPr>
            <w:tcW w:w="2928" w:type="dxa"/>
            <w:vMerge w:val="restart"/>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t>Estación Experimental Acuícola Santa Cruz Porrillo, municipio Tecoluca, departamento</w:t>
            </w:r>
            <w:r>
              <w:rPr>
                <w:rStyle w:val="Cuerpodeltexto28pto0"/>
              </w:rPr>
              <w:t xml:space="preserve"> de San Vicente</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4</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$2,019.32</w:t>
            </w:r>
          </w:p>
        </w:tc>
      </w:tr>
      <w:tr w:rsidR="00532D78">
        <w:tblPrEx>
          <w:tblCellMar>
            <w:top w:w="0" w:type="dxa"/>
            <w:bottom w:w="0" w:type="dxa"/>
          </w:tblCellMar>
        </w:tblPrEx>
        <w:trPr>
          <w:trHeight w:hRule="exact" w:val="562"/>
          <w:jc w:val="center"/>
        </w:trPr>
        <w:tc>
          <w:tcPr>
            <w:tcW w:w="2928" w:type="dxa"/>
            <w:vMerge/>
            <w:tcBorders>
              <w:left w:val="single" w:sz="4" w:space="0" w:color="auto"/>
            </w:tcBorders>
            <w:shd w:val="clear" w:color="auto" w:fill="FFFFFF"/>
            <w:vAlign w:val="center"/>
          </w:tcPr>
          <w:p w:rsidR="00532D78" w:rsidRDefault="00532D78">
            <w:pPr>
              <w:framePr w:w="8314" w:wrap="notBeside" w:vAnchor="text" w:hAnchor="text" w:xAlign="center" w:y="1"/>
            </w:pP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16</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r>
      <w:tr w:rsidR="00532D78">
        <w:tblPrEx>
          <w:tblCellMar>
            <w:top w:w="0" w:type="dxa"/>
            <w:bottom w:w="0" w:type="dxa"/>
          </w:tblCellMar>
        </w:tblPrEx>
        <w:trPr>
          <w:trHeight w:hRule="exact" w:val="854"/>
          <w:jc w:val="center"/>
        </w:trPr>
        <w:tc>
          <w:tcPr>
            <w:tcW w:w="2928"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t xml:space="preserve">Estación Maricultura Los </w:t>
            </w:r>
            <w:proofErr w:type="spellStart"/>
            <w:r>
              <w:rPr>
                <w:rStyle w:val="Cuerpodeltexto28pto0"/>
              </w:rPr>
              <w:t>Cóbanos</w:t>
            </w:r>
            <w:proofErr w:type="spellEnd"/>
            <w:r>
              <w:rPr>
                <w:rStyle w:val="Cuerpodeltexto28pto0"/>
              </w:rPr>
              <w:t>, playa Los Almendros, Cantón San Julián,</w:t>
            </w:r>
          </w:p>
        </w:tc>
        <w:tc>
          <w:tcPr>
            <w:tcW w:w="682"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bl>
    <w:p w:rsidR="00532D78" w:rsidRDefault="00532D78">
      <w:pPr>
        <w:framePr w:w="8314" w:wrap="notBeside" w:vAnchor="text" w:hAnchor="text" w:xAlign="center" w:y="1"/>
        <w:rPr>
          <w:sz w:val="2"/>
          <w:szCs w:val="2"/>
        </w:rPr>
      </w:pPr>
    </w:p>
    <w:p w:rsidR="00532D78" w:rsidRDefault="00532D7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8"/>
        <w:gridCol w:w="682"/>
        <w:gridCol w:w="691"/>
        <w:gridCol w:w="965"/>
        <w:gridCol w:w="1522"/>
        <w:gridCol w:w="1526"/>
      </w:tblGrid>
      <w:tr w:rsidR="00532D78">
        <w:tblPrEx>
          <w:tblCellMar>
            <w:top w:w="0" w:type="dxa"/>
            <w:bottom w:w="0" w:type="dxa"/>
          </w:tblCellMar>
        </w:tblPrEx>
        <w:trPr>
          <w:trHeight w:hRule="exact" w:val="581"/>
          <w:jc w:val="center"/>
        </w:trPr>
        <w:tc>
          <w:tcPr>
            <w:tcW w:w="2928" w:type="dxa"/>
            <w:tcBorders>
              <w:left w:val="single" w:sz="4" w:space="0" w:color="auto"/>
            </w:tcBorders>
            <w:shd w:val="clear" w:color="auto" w:fill="FFFFFF"/>
          </w:tcPr>
          <w:p w:rsidR="00532D78" w:rsidRDefault="00DB588A">
            <w:pPr>
              <w:pStyle w:val="Cuerpodeltexto20"/>
              <w:framePr w:w="8314" w:wrap="notBeside" w:vAnchor="text" w:hAnchor="text" w:xAlign="center" w:y="1"/>
              <w:shd w:val="clear" w:color="auto" w:fill="auto"/>
              <w:spacing w:before="0" w:line="160" w:lineRule="exact"/>
              <w:jc w:val="left"/>
            </w:pPr>
            <w:r>
              <w:rPr>
                <w:rStyle w:val="Cuerpodeltexto28pto0"/>
              </w:rPr>
              <w:lastRenderedPageBreak/>
              <w:t>departamento de Sonsonate</w:t>
            </w:r>
          </w:p>
        </w:tc>
        <w:tc>
          <w:tcPr>
            <w:tcW w:w="682" w:type="dxa"/>
            <w:tcBorders>
              <w:left w:val="single" w:sz="4" w:space="0" w:color="auto"/>
            </w:tcBorders>
            <w:shd w:val="clear" w:color="auto" w:fill="FFFFFF"/>
          </w:tcPr>
          <w:p w:rsidR="00532D78" w:rsidRDefault="00532D78">
            <w:pPr>
              <w:framePr w:w="8314" w:wrap="notBeside" w:vAnchor="text" w:hAnchor="text" w:xAlign="center" w:y="1"/>
              <w:rPr>
                <w:sz w:val="10"/>
                <w:szCs w:val="10"/>
              </w:rPr>
            </w:pPr>
          </w:p>
        </w:tc>
        <w:tc>
          <w:tcPr>
            <w:tcW w:w="691" w:type="dxa"/>
            <w:tcBorders>
              <w:left w:val="single" w:sz="4" w:space="0" w:color="auto"/>
            </w:tcBorders>
            <w:shd w:val="clear" w:color="auto" w:fill="FFFFFF"/>
          </w:tcPr>
          <w:p w:rsidR="00532D78" w:rsidRDefault="00532D78">
            <w:pPr>
              <w:framePr w:w="8314" w:wrap="notBeside" w:vAnchor="text" w:hAnchor="text" w:xAlign="center" w:y="1"/>
              <w:rPr>
                <w:sz w:val="10"/>
                <w:szCs w:val="10"/>
              </w:rPr>
            </w:pPr>
          </w:p>
        </w:tc>
        <w:tc>
          <w:tcPr>
            <w:tcW w:w="965" w:type="dxa"/>
            <w:tcBorders>
              <w:left w:val="single" w:sz="4" w:space="0" w:color="auto"/>
            </w:tcBorders>
            <w:shd w:val="clear" w:color="auto" w:fill="FFFFFF"/>
          </w:tcPr>
          <w:p w:rsidR="00532D78" w:rsidRDefault="00532D78">
            <w:pPr>
              <w:framePr w:w="8314" w:wrap="notBeside" w:vAnchor="text" w:hAnchor="text" w:xAlign="center" w:y="1"/>
              <w:rPr>
                <w:sz w:val="10"/>
                <w:szCs w:val="10"/>
              </w:rPr>
            </w:pPr>
          </w:p>
        </w:tc>
        <w:tc>
          <w:tcPr>
            <w:tcW w:w="1522" w:type="dxa"/>
            <w:tcBorders>
              <w:left w:val="single" w:sz="4" w:space="0" w:color="auto"/>
            </w:tcBorders>
            <w:shd w:val="clear" w:color="auto" w:fill="FFFFFF"/>
          </w:tcPr>
          <w:p w:rsidR="00532D78" w:rsidRDefault="00532D78">
            <w:pPr>
              <w:framePr w:w="8314" w:wrap="notBeside" w:vAnchor="text" w:hAnchor="text" w:xAlign="center" w:y="1"/>
              <w:rPr>
                <w:sz w:val="10"/>
                <w:szCs w:val="10"/>
              </w:rPr>
            </w:pPr>
          </w:p>
        </w:tc>
        <w:tc>
          <w:tcPr>
            <w:tcW w:w="1526" w:type="dxa"/>
            <w:tcBorders>
              <w:left w:val="single" w:sz="4" w:space="0" w:color="auto"/>
              <w:right w:val="single" w:sz="4" w:space="0" w:color="auto"/>
            </w:tcBorders>
            <w:shd w:val="clear" w:color="auto" w:fill="FFFFFF"/>
          </w:tcPr>
          <w:p w:rsidR="00532D78" w:rsidRDefault="00532D78">
            <w:pPr>
              <w:framePr w:w="8314" w:wrap="notBeside" w:vAnchor="text" w:hAnchor="text" w:xAlign="center" w:y="1"/>
              <w:rPr>
                <w:sz w:val="10"/>
                <w:szCs w:val="10"/>
              </w:rPr>
            </w:pPr>
          </w:p>
        </w:tc>
      </w:tr>
      <w:tr w:rsidR="00532D78">
        <w:tblPrEx>
          <w:tblCellMar>
            <w:top w:w="0" w:type="dxa"/>
            <w:bottom w:w="0" w:type="dxa"/>
          </w:tblCellMar>
        </w:tblPrEx>
        <w:trPr>
          <w:trHeight w:hRule="exact" w:val="1157"/>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2" w:lineRule="exact"/>
              <w:jc w:val="left"/>
            </w:pPr>
            <w:r>
              <w:rPr>
                <w:rStyle w:val="Cuerpodeltexto28pto0"/>
              </w:rPr>
              <w:t xml:space="preserve">Oficina Administrativa de CEDEFOR, cantón Flor </w:t>
            </w:r>
            <w:r>
              <w:rPr>
                <w:rStyle w:val="Cuerpodeltexto28pto0"/>
              </w:rPr>
              <w:t>Amarilla, La Libertad.</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3</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6</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$3,028.98</w:t>
            </w:r>
          </w:p>
        </w:tc>
      </w:tr>
      <w:tr w:rsidR="00532D78">
        <w:tblPrEx>
          <w:tblCellMar>
            <w:top w:w="0" w:type="dxa"/>
            <w:bottom w:w="0" w:type="dxa"/>
          </w:tblCellMar>
        </w:tblPrEx>
        <w:trPr>
          <w:trHeight w:hRule="exact" w:val="566"/>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6" w:lineRule="exact"/>
              <w:jc w:val="left"/>
            </w:pPr>
            <w:r>
              <w:rPr>
                <w:rStyle w:val="Cuerpodeltexto28pto0"/>
              </w:rPr>
              <w:t>Oficina de SEDE-MAG, Santa Tecla</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3</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6</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$3,028.98</w:t>
            </w:r>
          </w:p>
        </w:tc>
      </w:tr>
      <w:tr w:rsidR="00532D78">
        <w:tblPrEx>
          <w:tblCellMar>
            <w:top w:w="0" w:type="dxa"/>
            <w:bottom w:w="0" w:type="dxa"/>
          </w:tblCellMar>
        </w:tblPrEx>
        <w:trPr>
          <w:trHeight w:hRule="exact" w:val="826"/>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11" w:lineRule="exact"/>
              <w:jc w:val="left"/>
            </w:pPr>
            <w:r>
              <w:rPr>
                <w:rStyle w:val="Cuerpodeltexto28pto0"/>
              </w:rPr>
              <w:t>Izalco, Oficina CENDEPESCA, Sonsonate</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835"/>
          <w:jc w:val="center"/>
        </w:trPr>
        <w:tc>
          <w:tcPr>
            <w:tcW w:w="2928"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202" w:lineRule="exact"/>
              <w:jc w:val="left"/>
            </w:pPr>
            <w:r>
              <w:rPr>
                <w:rStyle w:val="Cuerpodeltexto28pto0"/>
              </w:rPr>
              <w:t xml:space="preserve">Atiocoyo, La Libertad, San Pablo </w:t>
            </w:r>
            <w:proofErr w:type="spellStart"/>
            <w:r>
              <w:rPr>
                <w:rStyle w:val="Cuerpodeltexto28pto0"/>
              </w:rPr>
              <w:t>Tacachico</w:t>
            </w:r>
            <w:proofErr w:type="spellEnd"/>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432"/>
          <w:jc w:val="center"/>
        </w:trPr>
        <w:tc>
          <w:tcPr>
            <w:tcW w:w="2928" w:type="dxa"/>
            <w:tcBorders>
              <w:top w:val="single" w:sz="4" w:space="0" w:color="auto"/>
              <w:left w:val="single" w:sz="4" w:space="0" w:color="auto"/>
            </w:tcBorders>
            <w:shd w:val="clear" w:color="auto" w:fill="FFFFFF"/>
            <w:vAlign w:val="bottom"/>
          </w:tcPr>
          <w:p w:rsidR="00532D78" w:rsidRDefault="00DB588A">
            <w:pPr>
              <w:pStyle w:val="Cuerpodeltexto20"/>
              <w:framePr w:w="8314" w:wrap="notBeside" w:vAnchor="text" w:hAnchor="text" w:xAlign="center" w:y="1"/>
              <w:shd w:val="clear" w:color="auto" w:fill="auto"/>
              <w:spacing w:before="0" w:line="211" w:lineRule="exact"/>
              <w:jc w:val="left"/>
            </w:pPr>
            <w:r>
              <w:rPr>
                <w:rStyle w:val="Cuerpodeltexto28pto0"/>
              </w:rPr>
              <w:t xml:space="preserve">Dirección de </w:t>
            </w:r>
            <w:r>
              <w:rPr>
                <w:rStyle w:val="Cuerpodeltexto28pto0"/>
              </w:rPr>
              <w:t>Desarrollo Rural IICA, Santa tecla</w:t>
            </w:r>
          </w:p>
        </w:tc>
        <w:tc>
          <w:tcPr>
            <w:tcW w:w="68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w:t>
            </w:r>
          </w:p>
        </w:tc>
        <w:tc>
          <w:tcPr>
            <w:tcW w:w="691"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24</w:t>
            </w:r>
          </w:p>
        </w:tc>
        <w:tc>
          <w:tcPr>
            <w:tcW w:w="965"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2</w:t>
            </w:r>
          </w:p>
        </w:tc>
        <w:tc>
          <w:tcPr>
            <w:tcW w:w="1522" w:type="dxa"/>
            <w:tcBorders>
              <w:top w:val="single" w:sz="4" w:space="0" w:color="auto"/>
              <w:lef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$504.83</w:t>
            </w:r>
          </w:p>
        </w:tc>
        <w:tc>
          <w:tcPr>
            <w:tcW w:w="1526" w:type="dxa"/>
            <w:tcBorders>
              <w:top w:val="single" w:sz="4" w:space="0" w:color="auto"/>
              <w:left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0"/>
              </w:rPr>
              <w:t>$1,009.66</w:t>
            </w:r>
          </w:p>
        </w:tc>
      </w:tr>
      <w:tr w:rsidR="00532D78">
        <w:tblPrEx>
          <w:tblCellMar>
            <w:top w:w="0" w:type="dxa"/>
            <w:bottom w:w="0" w:type="dxa"/>
          </w:tblCellMar>
        </w:tblPrEx>
        <w:trPr>
          <w:trHeight w:hRule="exact" w:val="528"/>
          <w:jc w:val="center"/>
        </w:trPr>
        <w:tc>
          <w:tcPr>
            <w:tcW w:w="4301" w:type="dxa"/>
            <w:gridSpan w:val="3"/>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jc w:val="left"/>
            </w:pPr>
            <w:r>
              <w:rPr>
                <w:rStyle w:val="Cuerpodeltexto28pto"/>
              </w:rPr>
              <w:t>TOTAL</w:t>
            </w:r>
          </w:p>
        </w:tc>
        <w:tc>
          <w:tcPr>
            <w:tcW w:w="965"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pPr>
            <w:r>
              <w:rPr>
                <w:rStyle w:val="Cuerpodeltexto28pto"/>
              </w:rPr>
              <w:t>77</w:t>
            </w:r>
          </w:p>
        </w:tc>
        <w:tc>
          <w:tcPr>
            <w:tcW w:w="1522" w:type="dxa"/>
            <w:tcBorders>
              <w:top w:val="single" w:sz="4" w:space="0" w:color="auto"/>
              <w:left w:val="single" w:sz="4" w:space="0" w:color="auto"/>
              <w:bottom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jc w:val="left"/>
            </w:pPr>
            <w:r>
              <w:rPr>
                <w:rStyle w:val="Cuerpodeltexto28pto0"/>
              </w:rPr>
              <w:t>-</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center"/>
          </w:tcPr>
          <w:p w:rsidR="00532D78" w:rsidRDefault="00DB588A">
            <w:pPr>
              <w:pStyle w:val="Cuerpodeltexto20"/>
              <w:framePr w:w="8314" w:wrap="notBeside" w:vAnchor="text" w:hAnchor="text" w:xAlign="center" w:y="1"/>
              <w:shd w:val="clear" w:color="auto" w:fill="auto"/>
              <w:spacing w:before="0" w:line="160" w:lineRule="exact"/>
              <w:ind w:left="240"/>
              <w:jc w:val="left"/>
            </w:pPr>
            <w:r>
              <w:rPr>
                <w:rStyle w:val="Cuerpodeltexto28pto"/>
              </w:rPr>
              <w:t>$38,871.91</w:t>
            </w:r>
          </w:p>
        </w:tc>
      </w:tr>
    </w:tbl>
    <w:p w:rsidR="00532D78" w:rsidRDefault="00532D78">
      <w:pPr>
        <w:framePr w:w="8314" w:wrap="notBeside" w:vAnchor="text" w:hAnchor="text" w:xAlign="center" w:y="1"/>
        <w:rPr>
          <w:sz w:val="2"/>
          <w:szCs w:val="2"/>
        </w:rPr>
      </w:pPr>
    </w:p>
    <w:p w:rsidR="00532D78" w:rsidRDefault="00532D78">
      <w:pPr>
        <w:rPr>
          <w:sz w:val="2"/>
          <w:szCs w:val="2"/>
        </w:rPr>
      </w:pPr>
    </w:p>
    <w:p w:rsidR="00532D78" w:rsidRDefault="00DB588A">
      <w:pPr>
        <w:pStyle w:val="Cuerpodeltexto20"/>
        <w:shd w:val="clear" w:color="auto" w:fill="auto"/>
        <w:spacing w:before="226" w:line="341" w:lineRule="exact"/>
        <w:jc w:val="both"/>
      </w:pPr>
      <w:r>
        <w:t xml:space="preserve">Los Servicios de Vigilancia serán prestados por "EL CONTRATISTA" durante el plazo y en la forma establecida en el presente contrato. A efecto de garantizar el </w:t>
      </w:r>
      <w:r>
        <w:t xml:space="preserve">cumplimiento del presente contrato, “EL CONTRATANTE” deberá realizar todas las gestiones de control en los aspectos material, técnico financiero, legal y contable que razonablemente considere necesarias a efecto de salvaguardar los intereses que persigue. </w:t>
      </w:r>
      <w:r>
        <w:t>II. PRECIO Y FORMA DE PAGO. El precio total por el servicio mencionado en la cláusula I de este contrato es la cantidad de TREINTA Y OCHO MIL OCHOCIENTOS SETENTA Y UN DÓLARES CON NOVENTA Y UN CENTAVOS DE DÓLAR DE LOS ESTADOS UNIDOS DE AMÉRICA (US $38,871.9</w:t>
      </w:r>
      <w:r>
        <w:t>1), el cual incluye el Impuesto a la transferencia de Bienes Muebles y a la Prestación de Servicios (IVA). “EL CONTRATANTE” podrá efectuar el pago dentro de un plazo aproximado de sesenta días hábiles contados a partir del recibo a satisfacción del servici</w:t>
      </w:r>
      <w:r>
        <w:t xml:space="preserve">o por parte del Administrador del Contrato y de la Factura de Consumidor Final a nombre de Secretaria de Estado-MAG; y por ser la Dirección solicitante Agente de Retención, de dicho pago se retendrá el uno por ciento en concepto de anticipo del Impuesto a </w:t>
      </w:r>
      <w:r>
        <w:t xml:space="preserve">la Transferencia de Bienes Muebles y a la Prestación de Servicios (IVA), según Resolución emitida por el Ministerio de Hacienda número doce mil trescientos uno-NEX-dos mil ciento treinta y seis-dos mil siete, al Ministerio de Agricultura y Ganadería. III. </w:t>
      </w:r>
      <w:r>
        <w:t xml:space="preserve">PLAZO. El plazo del presente contrato será de treinta y un días calendario, contados a partir del día uno al treinta y uno de marzo de dos mil quince. En vista del precio del presente contrato, de conformidad a lo establecido en la LACAP para los procesos </w:t>
      </w:r>
      <w:r>
        <w:t>de Libre Gestión y su Reglamento, el plazo del presente contrato no podrá prorrogarse bajo ninguna circunstancia. IV. FORMA Y LUGAR DE PRESENTACIÓN DE LOS SERVICIOS. De conformidad con el artículo cuarenta y cuatro letra j) de la Ley de Adquisiciones y Con</w:t>
      </w:r>
      <w:r>
        <w:t xml:space="preserve">trataciones de la Administración Pública y con los Términos de Referencia establecidos en el proceso de Libre Gestión </w:t>
      </w:r>
      <w:r>
        <w:lastRenderedPageBreak/>
        <w:t>MAG-Número 001/2015 denominado “SERVICIO DE VIGILANCIA PRIVADA PARA EL MINISTERIO DE AGRICULTURA Y GANADERÍA Y SUS DEPENDENCIAS”, el servi</w:t>
      </w:r>
      <w:r>
        <w:t>cio se prestará en los lugares indicados en la Cláusula I del presente contrato y conforme a lo establecido en dichos Términos; cuando no especifique donde haya de cumplirse una tarea en particular, se entenderá en los lugares que “EL MAG” de acuerdo a sus</w:t>
      </w:r>
      <w:r>
        <w:t xml:space="preserve"> necesidades pueda solicitar. Este requerimiento se hará con una antelación de cinco días hábiles, para tal efecto "EL CONTRATISTA", se obliga a contar con el personal competente para realizar los servicios, a efecto de que toda solicitud sea satisfecha en</w:t>
      </w:r>
      <w:r>
        <w:t xml:space="preserve"> los plazos indicados. Además de dar fiel y estricto cumplimiento a las actividades y alcances detalladas en los términos de referencia. La recepción del servicio a que se refiere el objeto de este contrato se efectuará conforme a la legislación vigente. V</w:t>
      </w:r>
      <w:r>
        <w:t xml:space="preserve">. OBLIGACIONES DE “EL CONTRATANTE”. “EL CONTRATANTE” deberá hacer el pago por el servicio detallado en la cláusula I, con aplicación al Fondo General- Secretaria de Estado. VI. ADMINISTRACIÓN DEL CONTRATO. El Titular del MAG, mediante Acuerdo Ejecutivo en </w:t>
      </w:r>
      <w:r>
        <w:t xml:space="preserve">el Ramo de Agricultura y Ganadería número SESENTA Y SIETE, de fecha dos de febrero de dos mil quince, nombró como Administrador del presente Contrato al Licenciado Carlos Manuel Lovo </w:t>
      </w:r>
      <w:proofErr w:type="spellStart"/>
      <w:r>
        <w:t>Menjivar</w:t>
      </w:r>
      <w:proofErr w:type="spellEnd"/>
      <w:r>
        <w:t xml:space="preserve">, Director de la Oficina General de </w:t>
      </w:r>
      <w:proofErr w:type="spellStart"/>
      <w:r>
        <w:t>Administracion</w:t>
      </w:r>
      <w:proofErr w:type="spellEnd"/>
      <w:r>
        <w:t xml:space="preserve"> Adhonorem Inte</w:t>
      </w:r>
      <w:r>
        <w:t xml:space="preserve">rino; asimismo, ejercerá la administración del contrato, cualquier persona que lo sustituya en el cargo de Director de la Oficina General de </w:t>
      </w:r>
      <w:proofErr w:type="spellStart"/>
      <w:r>
        <w:t>Administracion</w:t>
      </w:r>
      <w:proofErr w:type="spellEnd"/>
      <w:r>
        <w:t xml:space="preserve"> a fin de dar continuidad a la ejecución del contrato. Serán funciones del Administrador del contrato</w:t>
      </w:r>
      <w:r>
        <w:t xml:space="preserve"> las siguientes: a) Ser el representante del Ministerio en el desarrollo y ejecución del contrato; b) Dar seguimiento a la ejecución del contrato y efectuar directamente los reclamos por escrito a “EL CONTRATISTA” en caso de incumplimiento; c) Hacer report</w:t>
      </w:r>
      <w:r>
        <w:t xml:space="preserve">es de cualquier deficiencia en el desarrollo del contrato y remitir cuando corresponda, al Titular a través de la Oficina de Adquisiciones y Contrataciones Institucional del MAG, el respectivo informe para los efectos de imposición de multa, conforme a lo </w:t>
      </w:r>
      <w:r>
        <w:t>establecido en los Arts. 160 LACAP y 80 RELACAP; d) Emitir dictamen sobre la procedencia o no, de cualquier modificación al contrato, en caso de ser procedente, deberá realizar la gestión respectiva, ante la OACI/MAG, previo al vencimiento del plazo, propo</w:t>
      </w:r>
      <w:r>
        <w:t>rcionando toda la documentación de respaldo necesaria para su tramitación, e) La elaboración del Acta de Recepción respectiva, de conformidad a lo estipulado en el artículo 77 RELACAP; f) Remitir a la OACI copia del Acta de Recepción, a más tardar tres día</w:t>
      </w:r>
      <w:r>
        <w:t>s hábiles posteriores a la recepción; g) Evaluar el desempeño de “El CONTRATISTA”, mediante el formulario respectivo, en un plazo máximo de ocho días hábiles a la emisión del acta de recepción total o definitiva, evaluación que deberá ser enviada a la OACI</w:t>
      </w:r>
      <w:r>
        <w:t xml:space="preserve"> en un tiempo máximo de dos días hábiles posteriores a la fecha de la evaluación; h) Informar a la OACI sobre el vencimiento de las garantías, en un periodo no mayor de ocho días hábiles posteriores a su vencimiento, a fin de que esa Oficina proceda a su d</w:t>
      </w:r>
      <w:r>
        <w:t xml:space="preserve">evolución conforme al Art. 82-Bis letra h) de la LACAP; i) Remitir copia a la OACI de toda gestión que realice en el ejercicio de sus funciones como Administrador de Contrato conforme al Art. 42 Inc. 3 RELACAP; j) Cumplir con cualquier otra función que le </w:t>
      </w:r>
      <w:r>
        <w:t xml:space="preserve">corresponda de acuerdo al contrato y demás documentos contractuales o que le sean asignadas por “EL MAG” así como también con las demás funciones establecidas en los Arts. 19, 82-Bis y 129 de </w:t>
      </w:r>
      <w:r>
        <w:lastRenderedPageBreak/>
        <w:t>la Ley de Adquisiciones y Contrataciones de la Administración pú</w:t>
      </w:r>
      <w:r>
        <w:t>blica (LACAP), 74, 75 Inc. 2, y 81 RELACAP, y demás disposiciones aplicables de la Ley de Adquisiciones y Contrataciones de la Administración Pública, su Reglamento y Manual de Procedimientos para el Ciclo de Gestión de Adquisiciones y Contrataciones de la</w:t>
      </w:r>
      <w:r>
        <w:t>s Instituciones de la Administración Pública. VII. CESIÓN. Queda expresamente prohibido a "EL CONTRATISTA" traspasar o ceder a cualquier título los derechos y obligaciones que emanan del presente contrato. La transgresión de esta disposición dará lugar a l</w:t>
      </w:r>
      <w:r>
        <w:t>a caducidad del contrato, procediéndose además a hacer efectiva la garantía de cumplimiento de contrato. VIII. GARANTÍAS. Para garantizar el cumplimiento de las obligaciones emanadas del presente contrato “EL CONTRATISTA”, se obliga a presentar a “EL CONTR</w:t>
      </w:r>
      <w:r>
        <w:t>ATANTE” en un plazo no mayor de diez días hábiles, contados a partir de la fecha en que reciba el presente contrato debidamente legalizado, las siguientes garantías: a) Garantía de Cumplimiento de Contrato por un valor de TRES MIL OCHOCIENTOS OCHENTA Y SIE</w:t>
      </w:r>
      <w:r>
        <w:t xml:space="preserve">TE DÓLARES CON DIECINUEVE CENTAVOS DE DÓLAR DE LOS ESTADOS UNIDOS DE AMÉRICA (US$3,887.19), equivalente al diez por ciento del valor total del contrato emitida a favor del Ministerio de Agricultura y Ganadería, por un Banco, Compañía de Seguros o Sociedad </w:t>
      </w:r>
      <w:r>
        <w:t>Afianzadora debidamente autorizados por la Superintendencia del Sistema Financiero, la cual deberá tener una vigencia de noventa y un días calendario contados a partir del uno de marzo y finalizando el treinta de mayo de dos mil quince. Si no se presentare</w:t>
      </w:r>
      <w:r>
        <w:t xml:space="preserve"> tal garantía en el plazo establecido se tendrá por caducado el presente contrato y se entenderá que “EL CONTRATISTA” ha desistido de su oferta; y, b) Póliza de Responsabilidad Civil contra Bienes por un valor de QUINCE MIL DÓLARES DE LOS ESTADOS UNIDOS DE</w:t>
      </w:r>
      <w:r>
        <w:t xml:space="preserve"> AMÉRICA (US$15,000.00), emitida a favor del MAG por un Banco, Compañía de Seguros o Sociedad Afianzadora debidamente autorizados por la Superintendencia del Sistema Financiero, la cual deberá tener una vigencia de treinta y un días calendario contados a p</w:t>
      </w:r>
      <w:r>
        <w:t>artir del día uno de marzo hasta el treinta y uno de marzo del presente año. IX. INCUMPLIMIENTO. En caso de mora de “EL CONTRATISTA” en el cumplimiento de las obligaciones emanadas del presente contrato se le aplicarán las multas establecidas en artículo o</w:t>
      </w:r>
      <w:r>
        <w:t>chenta y cinco de la Ley de Adquisiciones y Contrataciones de la Administración Publica. X. CADUCIDAD. Además de las causas de caducidad establecidas en el artículo noventa y cuatro de la LACAP y en otras leyes vigentes, serán causales de caducidad y “EL C</w:t>
      </w:r>
      <w:r>
        <w:t xml:space="preserve">ONTRATANTE” podrá dar por terminado el contrato, sin responsabilidad alguna de su parte, cuando “EL CONTRATISTA”: a) Entregue servicios de inferior calidad o en diferentes condiciones de lo ofertado; y, b) Traspase o ceda a cualquier título los derechos y </w:t>
      </w:r>
      <w:r>
        <w:t>obligaciones que emanan del presente contrato. XI. PLAZO DE RECLAMOS. A partir de la recepción formal de los servicios objeto de este contrato, EL MAG tendrá un plazo de diez días hábiles para efectuar cualquier reclamo relacionado con el suministro del se</w:t>
      </w:r>
      <w:r>
        <w:t>rvicio. “EL CONTRATISTA” deberá reponer o cumplir a satisfacción del MAG dentro del plazo establecido en la nota de reclamo, si EL CONTRATISTA no subsana los defectos comprobados se tendrá por incumplido el contrato y se le hará efectiva la garantía de cum</w:t>
      </w:r>
      <w:r>
        <w:t xml:space="preserve">plimiento de contrato o se procederá a la imposición de sanciones o en su caso se dará por caducado el contrato sin responsabilidad para EL MAG. Esta disposición no inhibe de reclamaciones </w:t>
      </w:r>
      <w:r>
        <w:lastRenderedPageBreak/>
        <w:t>que pudieren hacerse sobre la buena calidad del servicio. XII. MODI</w:t>
      </w:r>
      <w:r>
        <w:t>FICACIÓN. “Los Contratantes” acuerdan que el presente contrato podrá ser modificado de conformidad con la Ley. En tal caso, EL MAG emitirá la correspondiente resolución modificativa, la cual se relacionará en el instrumento modificativo que será firmado po</w:t>
      </w:r>
      <w:r>
        <w:t xml:space="preserve">r El Contratante y El Contratista. XII. DOCUMENTOS CONTRACTUALES. Forman parte integrante del presente contrato los siguientes documentos: a) La carta de invitación al proceso de Libre </w:t>
      </w:r>
      <w:proofErr w:type="spellStart"/>
      <w:r>
        <w:t>Gestion</w:t>
      </w:r>
      <w:proofErr w:type="spellEnd"/>
      <w:r>
        <w:t xml:space="preserve"> MAG No. 001/2015, de fecha diecinueve de enero de dos mil quinc</w:t>
      </w:r>
      <w:r>
        <w:t>e; b) Oferta del contratista de fecha veintitrés de enero de dos mil quince; c) Resolución de adjudicación; d) Garantías; e) Resolución modificativa; y, f) Otros documentos que emanaren del presente contrato los cuales son complementarios entre si y se int</w:t>
      </w:r>
      <w:r>
        <w:t>erpretaran en forma conjunta. XIII. INTERPRETACIÓN DEL CONTRATO. De conformidad con el artículo ochenta y cuatro incisos uno y dos de la Ley de Adquisiciones y Contrataciones de la Administración Pública, “EL CONTRATANTE” se reserva la facultad de interpre</w:t>
      </w:r>
      <w:r>
        <w:t>tar el presente contrato de conformidad con la Constitución de la República, la Ley de Adquisiciones y Contrataciones de la Administración Pública y su Reglamento, demás legislación aplicable y los Principios Generales del Derecho Administrativo y de la fo</w:t>
      </w:r>
      <w:r>
        <w:t>rma que más convenga al interés público que se pretende satisfacer de forma directa o indirecta con la prestación del servicio objeto del presente instrumento, pudiendo en tal caso girar las instrucciones por escrito que al respecto considere convenientes.</w:t>
      </w:r>
      <w:r>
        <w:t xml:space="preserve"> “EL CONTRATISTA” expresamente acepta tal disposición y se obliga a dar estricto cumplimiento a las instrucciones que al respecto dicte “EL CONTRATANTE” las cuales le serán comunicadas por medio del Administrador del Contrato. XIV. MODIFICACIÓN UNILATERAL.</w:t>
      </w:r>
      <w:r>
        <w:t xml:space="preserve"> Queda convenido por ambas partes que cuando el interés público lo hiciera necesario, sea por necesidades nuevas, causas imprevistas u otras circunstancias, así establecidas por “EL CONTRATANTE” este podrá modificar de forma unilateral el presente contrato</w:t>
      </w:r>
      <w:r>
        <w:t>, emitiendo al efecto la resolución correspondiente, la que formará parte integrante del presente contrato. Se entiende que no será modificable de forma sustancial el objeto del mismo. XV. FUERZA MAYOR O CASO FORTUITO. Para los efectos de este contrato, “F</w:t>
      </w:r>
      <w:r>
        <w:t>uerza Mayor o Caso Fortuito”, significa un evento que escapa al control de uno de los contratantes y el cual hace que el cumplimiento de las obligaciones contractuales de esa parte resulte imposible o impráctico en atención a las circunstancias. Esto inclu</w:t>
      </w:r>
      <w:r>
        <w:t>ye, pero no se limita a guerra, motines, disturbios civiles, terremoto, incendio, explosión, inundación, u otras condiciones climáticas adversas, huelgas, cierres empresariales, u otras acciones similares. XVI. SOLUCIÓN DE CONFLICTOS. Cualquier conflicto q</w:t>
      </w:r>
      <w:r>
        <w:t>ue surja con motivo</w:t>
      </w:r>
      <w:r>
        <w:br w:type="page"/>
      </w:r>
    </w:p>
    <w:p w:rsidR="00532D78" w:rsidRDefault="00155828">
      <w:pPr>
        <w:pStyle w:val="Cuerpodeltexto20"/>
        <w:shd w:val="clear" w:color="auto" w:fill="auto"/>
        <w:spacing w:before="0" w:line="341" w:lineRule="exact"/>
        <w:jc w:val="both"/>
      </w:pPr>
      <w:r>
        <w:rPr>
          <w:noProof/>
          <w:lang w:val="es-SV" w:eastAsia="es-SV" w:bidi="ar-SA"/>
        </w:rPr>
        <w:lastRenderedPageBreak/>
        <mc:AlternateContent>
          <mc:Choice Requires="wps">
            <w:drawing>
              <wp:anchor distT="0" distB="0" distL="130810" distR="4038600" simplePos="0" relativeHeight="377487104" behindDoc="1" locked="0" layoutInCell="1" allowOverlap="1">
                <wp:simplePos x="0" y="0"/>
                <wp:positionH relativeFrom="margin">
                  <wp:posOffset>132715</wp:posOffset>
                </wp:positionH>
                <wp:positionV relativeFrom="paragraph">
                  <wp:posOffset>5317490</wp:posOffset>
                </wp:positionV>
                <wp:extent cx="1859280" cy="292100"/>
                <wp:effectExtent l="0" t="2540" r="0" b="19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78" w:rsidRDefault="00DB588A">
                            <w:pPr>
                              <w:pStyle w:val="Cuerpodeltexto20"/>
                              <w:shd w:val="clear" w:color="auto" w:fill="auto"/>
                              <w:spacing w:before="0" w:line="230" w:lineRule="exact"/>
                              <w:ind w:left="60"/>
                            </w:pPr>
                            <w:r>
                              <w:rPr>
                                <w:rStyle w:val="Cuerpodeltexto2Exact"/>
                              </w:rPr>
                              <w:t>Walter Ulises Menjívar Díaz</w:t>
                            </w:r>
                            <w:r>
                              <w:rPr>
                                <w:rStyle w:val="Cuerpodeltexto2Exact"/>
                              </w:rPr>
                              <w:br/>
                              <w:t>“EL CONTRATANTE”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45pt;margin-top:418.7pt;width:146.4pt;height:23pt;z-index:-125829376;visibility:visible;mso-wrap-style:square;mso-width-percent:0;mso-height-percent:0;mso-wrap-distance-left:10.3pt;mso-wrap-distance-top:0;mso-wrap-distance-right:3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arAIAAKk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" filled="f" stroked="f">
                <v:textbox style="mso-fit-shape-to-text:t" inset="0,0,0,0">
                  <w:txbxContent>
                    <w:p w:rsidR="00532D78" w:rsidRDefault="00DB588A">
                      <w:pPr>
                        <w:pStyle w:val="Cuerpodeltexto20"/>
                        <w:shd w:val="clear" w:color="auto" w:fill="auto"/>
                        <w:spacing w:before="0" w:line="230" w:lineRule="exact"/>
                        <w:ind w:left="60"/>
                      </w:pPr>
                      <w:r>
                        <w:rPr>
                          <w:rStyle w:val="Cuerpodeltexto2Exact"/>
                        </w:rPr>
                        <w:t>Walter Ulises Menjívar Díaz</w:t>
                      </w:r>
                      <w:r>
                        <w:rPr>
                          <w:rStyle w:val="Cuerpodeltexto2Exact"/>
                        </w:rPr>
                        <w:br/>
                        <w:t>“EL CONTRATANTE”</w:t>
                      </w:r>
                    </w:p>
                  </w:txbxContent>
                </v:textbox>
                <w10:wrap type="topAndBottom" anchorx="margin"/>
              </v:shape>
            </w:pict>
          </mc:Fallback>
        </mc:AlternateContent>
      </w:r>
      <w:r>
        <w:rPr>
          <w:noProof/>
          <w:lang w:val="es-SV" w:eastAsia="es-SV" w:bidi="ar-SA"/>
        </w:rPr>
        <mc:AlternateContent>
          <mc:Choice Requires="wps">
            <w:drawing>
              <wp:anchor distT="0" distB="0" distL="2990215" distR="1033145" simplePos="0" relativeHeight="377487105" behindDoc="1" locked="0" layoutInCell="1" allowOverlap="1">
                <wp:simplePos x="0" y="0"/>
                <wp:positionH relativeFrom="margin">
                  <wp:posOffset>2991485</wp:posOffset>
                </wp:positionH>
                <wp:positionV relativeFrom="paragraph">
                  <wp:posOffset>5323840</wp:posOffset>
                </wp:positionV>
                <wp:extent cx="2005330" cy="292100"/>
                <wp:effectExtent l="635" t="0" r="3810" b="190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78" w:rsidRDefault="00DB588A">
                            <w:pPr>
                              <w:pStyle w:val="Cuerpodeltexto20"/>
                              <w:shd w:val="clear" w:color="auto" w:fill="auto"/>
                              <w:spacing w:before="0" w:line="230" w:lineRule="exact"/>
                            </w:pPr>
                            <w:r>
                              <w:rPr>
                                <w:rStyle w:val="Cuerpodeltexto2Exact"/>
                              </w:rPr>
                              <w:t xml:space="preserve">Pedro Antonio </w:t>
                            </w:r>
                            <w:proofErr w:type="spellStart"/>
                            <w:r>
                              <w:rPr>
                                <w:rStyle w:val="Cuerpodeltexto2Exact"/>
                              </w:rPr>
                              <w:t>Siliezar</w:t>
                            </w:r>
                            <w:proofErr w:type="spellEnd"/>
                            <w:r>
                              <w:rPr>
                                <w:rStyle w:val="Cuerpodeltexto2Exact"/>
                              </w:rPr>
                              <w:t xml:space="preserve"> Juárez</w:t>
                            </w:r>
                            <w:r>
                              <w:rPr>
                                <w:rStyle w:val="Cuerpodeltexto2Exact"/>
                              </w:rPr>
                              <w:br/>
                              <w:t>“EL CONTRATISTA”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35.55pt;margin-top:419.2pt;width:157.9pt;height:23pt;z-index:-125829375;visibility:visible;mso-wrap-style:square;mso-width-percent:0;mso-height-percent:0;mso-wrap-distance-left:235.45pt;mso-wrap-distance-top:0;mso-wrap-distance-right:81.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" filled="f" stroked="f">
                <v:textbox style="mso-fit-shape-to-text:t" inset="0,0,0,0">
                  <w:txbxContent>
                    <w:p w:rsidR="00532D78" w:rsidRDefault="00DB588A">
                      <w:pPr>
                        <w:pStyle w:val="Cuerpodeltexto20"/>
                        <w:shd w:val="clear" w:color="auto" w:fill="auto"/>
                        <w:spacing w:before="0" w:line="230" w:lineRule="exact"/>
                      </w:pPr>
                      <w:r>
                        <w:rPr>
                          <w:rStyle w:val="Cuerpodeltexto2Exact"/>
                        </w:rPr>
                        <w:t xml:space="preserve">Pedro Antonio </w:t>
                      </w:r>
                      <w:proofErr w:type="spellStart"/>
                      <w:r>
                        <w:rPr>
                          <w:rStyle w:val="Cuerpodeltexto2Exact"/>
                        </w:rPr>
                        <w:t>Siliezar</w:t>
                      </w:r>
                      <w:proofErr w:type="spellEnd"/>
                      <w:r>
                        <w:rPr>
                          <w:rStyle w:val="Cuerpodeltexto2Exact"/>
                        </w:rPr>
                        <w:t xml:space="preserve"> Juárez</w:t>
                      </w:r>
                      <w:r>
                        <w:rPr>
                          <w:rStyle w:val="Cuerpodeltexto2Exact"/>
                        </w:rPr>
                        <w:br/>
                        <w:t>“EL CONTRATISTA”</w:t>
                      </w:r>
                    </w:p>
                  </w:txbxContent>
                </v:textbox>
                <w10:wrap type="topAndBottom" anchorx="margin"/>
              </v:shape>
            </w:pict>
          </mc:Fallback>
        </mc:AlternateContent>
      </w:r>
      <w:proofErr w:type="gramStart"/>
      <w:r w:rsidR="00DB588A">
        <w:t>de</w:t>
      </w:r>
      <w:proofErr w:type="gramEnd"/>
      <w:r w:rsidR="00DB588A">
        <w:t xml:space="preserve"> la interpretación o ejecución del contrato, se resolverá en primer lugar por arreglo directo entre “Los Contratantes”, de conformidad</w:t>
      </w:r>
      <w:r w:rsidR="00DB588A">
        <w:t xml:space="preserve"> al procedimiento establecido en la LACAP; intentado y agotado el Arreglo Directo entre “Los Contratantes” y si el litigio o controversia persistiere, se acudirá a los tribunales comunes. XVII. TERMINACIÓN BILATERAL. Los contratantes podrán, de conformidad</w:t>
      </w:r>
      <w:r w:rsidR="00DB588A">
        <w:t xml:space="preserve"> con el artículo noventa y cinco de la Ley de Adquisiciones y Contrataciones de la Administración Pública y su Reglamento, dar por terminada bilateralmente la relación jurídica que emana del presente contrato, debiendo en tal caso emitirse la resolución co</w:t>
      </w:r>
      <w:r w:rsidR="00DB588A">
        <w:t xml:space="preserve">rrespondiente y otorgarse el instrumento de </w:t>
      </w:r>
      <w:proofErr w:type="spellStart"/>
      <w:r w:rsidR="00DB588A">
        <w:t>resciliación</w:t>
      </w:r>
      <w:proofErr w:type="spellEnd"/>
      <w:r w:rsidR="00DB588A">
        <w:t xml:space="preserve"> en un plazo no mayor de ocho días hábiles de notificada tal resolución. XVIII. DOMICILIO ESPECIAL. Para los efectos jurisdiccionales de este contrato “Los Contratantes” señalan como domicilio especia</w:t>
      </w:r>
      <w:r w:rsidR="00DB588A">
        <w:t xml:space="preserve">l la ciudad de Santa Tecla, departamento de La Libertad, </w:t>
      </w:r>
      <w:r w:rsidR="00536758" w:rsidRPr="00536758">
        <w:rPr>
          <w:highlight w:val="black"/>
        </w:rPr>
        <w:t>XXXXXX</w:t>
      </w:r>
      <w:bookmarkStart w:id="1" w:name="_GoBack"/>
      <w:bookmarkEnd w:id="1"/>
      <w:r w:rsidR="00536758">
        <w:t xml:space="preserve"> </w:t>
      </w:r>
      <w:r w:rsidR="00DB588A">
        <w:t>a la competencia de cuyos tribunales se someten. XIX. NOTIFICACIONES. Todas las notificaciones referentes a la ejecución de este contrato, serán válidas solamente cuando sean hechas por escrito a “EL</w:t>
      </w:r>
      <w:r w:rsidR="00DB588A">
        <w:t xml:space="preserve"> CONTRATANTE” a través del Administrador del Contrato en la oficina del MAG/SEDE ubicada en Final Primera Avenida Norte y trece calle Oriente, Avenida Manuel Gallardo, Santa Tecla, Departamento de La Libertad y a “EL CONTRATISTA” a través del señor Pedro A</w:t>
      </w:r>
      <w:r w:rsidR="00DB588A">
        <w:t xml:space="preserve">ntonio </w:t>
      </w:r>
      <w:proofErr w:type="spellStart"/>
      <w:r w:rsidR="00DB588A">
        <w:t>Siliezar</w:t>
      </w:r>
      <w:proofErr w:type="spellEnd"/>
      <w:r w:rsidR="00DB588A">
        <w:t xml:space="preserve"> Juárez</w:t>
      </w:r>
      <w:proofErr w:type="gramStart"/>
      <w:r w:rsidR="00DB588A">
        <w:t>,.</w:t>
      </w:r>
      <w:proofErr w:type="gramEnd"/>
      <w:r w:rsidR="00DB588A">
        <w:t xml:space="preserve"> Así nos expresamos los otorgantes, quiénes enterados y conscientes de los términos y efectos legales del presente contrato, por convenir así a los intereses de nuestros representados, ratificamos su contenido, en fe de lo cual firm</w:t>
      </w:r>
      <w:r w:rsidR="00DB588A">
        <w:t>amos en la ciudad de Santa Tecla, departamento de La Libertad, a los veintisiete días del mes de febrero de dos mil quince.</w:t>
      </w:r>
    </w:p>
    <w:p w:rsidR="00536758" w:rsidRDefault="00536758">
      <w:pPr>
        <w:pStyle w:val="Ttulo10"/>
        <w:keepNext/>
        <w:keepLines/>
        <w:shd w:val="clear" w:color="auto" w:fill="auto"/>
        <w:spacing w:after="0" w:line="200" w:lineRule="exact"/>
        <w:rPr>
          <w:rStyle w:val="Ttulo11"/>
          <w:b/>
          <w:bCs/>
        </w:rPr>
      </w:pPr>
      <w:bookmarkStart w:id="2" w:name="bookmark1"/>
    </w:p>
    <w:p w:rsidR="00532D78" w:rsidRDefault="00DB588A">
      <w:pPr>
        <w:pStyle w:val="Ttulo10"/>
        <w:keepNext/>
        <w:keepLines/>
        <w:shd w:val="clear" w:color="auto" w:fill="auto"/>
        <w:spacing w:after="0" w:line="200" w:lineRule="exact"/>
      </w:pPr>
      <w:r>
        <w:rPr>
          <w:rStyle w:val="Ttulo11"/>
          <w:b/>
          <w:bCs/>
        </w:rPr>
        <w:t>Versión Pública de información confidencial Art. 30 LAIP</w:t>
      </w:r>
      <w:bookmarkEnd w:id="2"/>
    </w:p>
    <w:sectPr w:rsidR="00532D78">
      <w:footerReference w:type="default" r:id="rId7"/>
      <w:pgSz w:w="11900" w:h="16840"/>
      <w:pgMar w:top="2042" w:right="1191" w:bottom="2112" w:left="121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8A" w:rsidRDefault="00DB588A">
      <w:r>
        <w:separator/>
      </w:r>
    </w:p>
  </w:endnote>
  <w:endnote w:type="continuationSeparator" w:id="0">
    <w:p w:rsidR="00DB588A" w:rsidRDefault="00DB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78" w:rsidRDefault="00155828">
    <w:pPr>
      <w:rPr>
        <w:sz w:val="2"/>
        <w:szCs w:val="2"/>
      </w:rPr>
    </w:pPr>
    <w:r>
      <w:rPr>
        <w:noProof/>
        <w:lang w:val="es-SV" w:eastAsia="es-SV" w:bidi="ar-SA"/>
      </w:rPr>
      <mc:AlternateContent>
        <mc:Choice Requires="wps">
          <w:drawing>
            <wp:anchor distT="0" distB="0" distL="63500" distR="63500" simplePos="0" relativeHeight="251657728" behindDoc="1" locked="0" layoutInCell="1" allowOverlap="1">
              <wp:simplePos x="0" y="0"/>
              <wp:positionH relativeFrom="page">
                <wp:posOffset>6719570</wp:posOffset>
              </wp:positionH>
              <wp:positionV relativeFrom="page">
                <wp:posOffset>9707880</wp:posOffset>
              </wp:positionV>
              <wp:extent cx="59055" cy="240030"/>
              <wp:effectExtent l="4445" t="1905"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78" w:rsidRDefault="00DB588A">
                          <w:pPr>
                            <w:pStyle w:val="Encabezamientoopiedepgina0"/>
                            <w:shd w:val="clear" w:color="auto" w:fill="auto"/>
                            <w:spacing w:line="240" w:lineRule="auto"/>
                          </w:pPr>
                          <w:r>
                            <w:fldChar w:fldCharType="begin"/>
                          </w:r>
                          <w:r>
                            <w:instrText xml:space="preserve"> PAGE \* MERGEFORMAT </w:instrText>
                          </w:r>
                          <w:r>
                            <w:fldChar w:fldCharType="separate"/>
                          </w:r>
                          <w:r w:rsidR="00536758" w:rsidRPr="00536758">
                            <w:rPr>
                              <w:rStyle w:val="Encabezamientoopiedepgina1"/>
                              <w:noProof/>
                            </w:rPr>
                            <w:t>2</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9.1pt;margin-top:764.4pt;width:4.65pt;height:18.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" filled="f" stroked="f">
              <v:textbox style="mso-fit-shape-to-text:t" inset="0,0,0,0">
                <w:txbxContent>
                  <w:p w:rsidR="00532D78" w:rsidRDefault="00DB588A">
                    <w:pPr>
                      <w:pStyle w:val="Encabezamientoopiedepgina0"/>
                      <w:shd w:val="clear" w:color="auto" w:fill="auto"/>
                      <w:spacing w:line="240" w:lineRule="auto"/>
                    </w:pPr>
                    <w:r>
                      <w:fldChar w:fldCharType="begin"/>
                    </w:r>
                    <w:r>
                      <w:instrText xml:space="preserve"> PAGE \* MERGEFORMAT </w:instrText>
                    </w:r>
                    <w:r>
                      <w:fldChar w:fldCharType="separate"/>
                    </w:r>
                    <w:r w:rsidR="00536758" w:rsidRPr="00536758">
                      <w:rPr>
                        <w:rStyle w:val="Encabezamientoopiedepgina1"/>
                        <w:noProof/>
                      </w:rPr>
                      <w:t>2</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8A" w:rsidRDefault="00DB588A"/>
  </w:footnote>
  <w:footnote w:type="continuationSeparator" w:id="0">
    <w:p w:rsidR="00DB588A" w:rsidRDefault="00DB58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78"/>
    <w:rsid w:val="00155828"/>
    <w:rsid w:val="00532D78"/>
    <w:rsid w:val="00536758"/>
    <w:rsid w:val="00DB58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Bookman Old Style" w:eastAsia="Bookman Old Style" w:hAnsi="Bookman Old Style" w:cs="Bookman Old Style"/>
      <w:b w:val="0"/>
      <w:bCs w:val="0"/>
      <w:i w:val="0"/>
      <w:iCs w:val="0"/>
      <w:smallCaps w:val="0"/>
      <w:strike w:val="0"/>
      <w:sz w:val="19"/>
      <w:szCs w:val="19"/>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0"/>
      <w:szCs w:val="20"/>
      <w:u w:val="none"/>
    </w:rPr>
  </w:style>
  <w:style w:type="character" w:customStyle="1" w:styleId="Ttulo11">
    <w:name w:val="Título #1"/>
    <w:basedOn w:val="Ttulo1"/>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1">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s-ES" w:eastAsia="es-ES" w:bidi="es-ES"/>
    </w:rPr>
  </w:style>
  <w:style w:type="character" w:customStyle="1" w:styleId="Cuerpodeltexto28pto">
    <w:name w:val="Cuerpo del texto (2) + 8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16"/>
      <w:szCs w:val="16"/>
      <w:u w:val="none"/>
      <w:lang w:val="es-ES" w:eastAsia="es-ES" w:bidi="es-ES"/>
    </w:rPr>
  </w:style>
  <w:style w:type="character" w:customStyle="1" w:styleId="Cuerpodeltexto28pto0">
    <w:name w:val="Cuerpo del texto (2) + 8 pto"/>
    <w:basedOn w:val="Cuerpodeltexto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s-ES" w:eastAsia="es-ES" w:bidi="es-ES"/>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val="0"/>
      <w:bCs w:val="0"/>
      <w:i w:val="0"/>
      <w:iCs w:val="0"/>
      <w:smallCaps w:val="0"/>
      <w:strike w:val="0"/>
      <w:sz w:val="28"/>
      <w:szCs w:val="28"/>
      <w:u w:val="none"/>
    </w:rPr>
  </w:style>
  <w:style w:type="character" w:customStyle="1" w:styleId="Encabezamientoopiedepgina1">
    <w:name w:val="Encabezamiento o pie de página"/>
    <w:basedOn w:val="Encabezamientoopiedepgina"/>
    <w:rPr>
      <w:rFonts w:ascii="AngsanaUPC" w:eastAsia="AngsanaUPC" w:hAnsi="AngsanaUPC" w:cs="AngsanaUPC"/>
      <w:b w:val="0"/>
      <w:bCs w:val="0"/>
      <w:i w:val="0"/>
      <w:iCs w:val="0"/>
      <w:smallCaps w:val="0"/>
      <w:strike w:val="0"/>
      <w:color w:val="000000"/>
      <w:spacing w:val="0"/>
      <w:w w:val="100"/>
      <w:position w:val="0"/>
      <w:sz w:val="28"/>
      <w:szCs w:val="28"/>
      <w:u w:val="none"/>
      <w:lang w:val="es-ES" w:eastAsia="es-ES" w:bidi="es-ES"/>
    </w:rPr>
  </w:style>
  <w:style w:type="paragraph" w:customStyle="1" w:styleId="Cuerpodeltexto20">
    <w:name w:val="Cuerpo del texto (2)"/>
    <w:basedOn w:val="Normal"/>
    <w:link w:val="Cuerpodeltexto2"/>
    <w:pPr>
      <w:shd w:val="clear" w:color="auto" w:fill="FFFFFF"/>
      <w:spacing w:before="240" w:line="226" w:lineRule="exact"/>
      <w:jc w:val="center"/>
    </w:pPr>
    <w:rPr>
      <w:rFonts w:ascii="Bookman Old Style" w:eastAsia="Bookman Old Style" w:hAnsi="Bookman Old Style" w:cs="Bookman Old Style"/>
      <w:sz w:val="19"/>
      <w:szCs w:val="19"/>
    </w:rPr>
  </w:style>
  <w:style w:type="paragraph" w:customStyle="1" w:styleId="Ttulo10">
    <w:name w:val="Título #1"/>
    <w:basedOn w:val="Normal"/>
    <w:link w:val="Ttulo1"/>
    <w:pPr>
      <w:shd w:val="clear" w:color="auto" w:fill="FFFFFF"/>
      <w:spacing w:after="240" w:line="0" w:lineRule="atLeast"/>
      <w:jc w:val="center"/>
      <w:outlineLvl w:val="0"/>
    </w:pPr>
    <w:rPr>
      <w:rFonts w:ascii="Arial" w:eastAsia="Arial" w:hAnsi="Arial" w:cs="Arial"/>
      <w:b/>
      <w:bCs/>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ngsanaUPC" w:eastAsia="AngsanaUPC" w:hAnsi="AngsanaUPC" w:cs="AngsanaUPC"/>
      <w:sz w:val="28"/>
      <w:szCs w:val="28"/>
    </w:rPr>
  </w:style>
  <w:style w:type="paragraph" w:styleId="Encabezado">
    <w:name w:val="header"/>
    <w:basedOn w:val="Normal"/>
    <w:link w:val="EncabezadoCar"/>
    <w:uiPriority w:val="99"/>
    <w:unhideWhenUsed/>
    <w:rsid w:val="00155828"/>
    <w:pPr>
      <w:tabs>
        <w:tab w:val="center" w:pos="4419"/>
        <w:tab w:val="right" w:pos="8838"/>
      </w:tabs>
    </w:pPr>
  </w:style>
  <w:style w:type="character" w:customStyle="1" w:styleId="EncabezadoCar">
    <w:name w:val="Encabezado Car"/>
    <w:basedOn w:val="Fuentedeprrafopredeter"/>
    <w:link w:val="Encabezado"/>
    <w:uiPriority w:val="99"/>
    <w:rsid w:val="00155828"/>
    <w:rPr>
      <w:color w:val="000000"/>
    </w:rPr>
  </w:style>
  <w:style w:type="paragraph" w:styleId="Piedepgina">
    <w:name w:val="footer"/>
    <w:basedOn w:val="Normal"/>
    <w:link w:val="PiedepginaCar"/>
    <w:uiPriority w:val="99"/>
    <w:unhideWhenUsed/>
    <w:rsid w:val="00155828"/>
    <w:pPr>
      <w:tabs>
        <w:tab w:val="center" w:pos="4419"/>
        <w:tab w:val="right" w:pos="8838"/>
      </w:tabs>
    </w:pPr>
  </w:style>
  <w:style w:type="character" w:customStyle="1" w:styleId="PiedepginaCar">
    <w:name w:val="Pie de página Car"/>
    <w:basedOn w:val="Fuentedeprrafopredeter"/>
    <w:link w:val="Piedepgina"/>
    <w:uiPriority w:val="99"/>
    <w:rsid w:val="0015582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Exact">
    <w:name w:val="Cuerpo del texto (2) Exact"/>
    <w:basedOn w:val="Fuentedeprrafopredeter"/>
    <w:rPr>
      <w:rFonts w:ascii="Bookman Old Style" w:eastAsia="Bookman Old Style" w:hAnsi="Bookman Old Style" w:cs="Bookman Old Style"/>
      <w:b w:val="0"/>
      <w:bCs w:val="0"/>
      <w:i w:val="0"/>
      <w:iCs w:val="0"/>
      <w:smallCaps w:val="0"/>
      <w:strike w:val="0"/>
      <w:sz w:val="19"/>
      <w:szCs w:val="19"/>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0"/>
      <w:szCs w:val="20"/>
      <w:u w:val="none"/>
    </w:rPr>
  </w:style>
  <w:style w:type="character" w:customStyle="1" w:styleId="Ttulo11">
    <w:name w:val="Título #1"/>
    <w:basedOn w:val="Ttulo1"/>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1">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s-ES" w:eastAsia="es-ES" w:bidi="es-ES"/>
    </w:rPr>
  </w:style>
  <w:style w:type="character" w:customStyle="1" w:styleId="Cuerpodeltexto28pto">
    <w:name w:val="Cuerpo del texto (2) + 8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16"/>
      <w:szCs w:val="16"/>
      <w:u w:val="none"/>
      <w:lang w:val="es-ES" w:eastAsia="es-ES" w:bidi="es-ES"/>
    </w:rPr>
  </w:style>
  <w:style w:type="character" w:customStyle="1" w:styleId="Cuerpodeltexto28pto0">
    <w:name w:val="Cuerpo del texto (2) + 8 pto"/>
    <w:basedOn w:val="Cuerpodeltexto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s-ES" w:eastAsia="es-ES" w:bidi="es-ES"/>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val="0"/>
      <w:bCs w:val="0"/>
      <w:i w:val="0"/>
      <w:iCs w:val="0"/>
      <w:smallCaps w:val="0"/>
      <w:strike w:val="0"/>
      <w:sz w:val="28"/>
      <w:szCs w:val="28"/>
      <w:u w:val="none"/>
    </w:rPr>
  </w:style>
  <w:style w:type="character" w:customStyle="1" w:styleId="Encabezamientoopiedepgina1">
    <w:name w:val="Encabezamiento o pie de página"/>
    <w:basedOn w:val="Encabezamientoopiedepgina"/>
    <w:rPr>
      <w:rFonts w:ascii="AngsanaUPC" w:eastAsia="AngsanaUPC" w:hAnsi="AngsanaUPC" w:cs="AngsanaUPC"/>
      <w:b w:val="0"/>
      <w:bCs w:val="0"/>
      <w:i w:val="0"/>
      <w:iCs w:val="0"/>
      <w:smallCaps w:val="0"/>
      <w:strike w:val="0"/>
      <w:color w:val="000000"/>
      <w:spacing w:val="0"/>
      <w:w w:val="100"/>
      <w:position w:val="0"/>
      <w:sz w:val="28"/>
      <w:szCs w:val="28"/>
      <w:u w:val="none"/>
      <w:lang w:val="es-ES" w:eastAsia="es-ES" w:bidi="es-ES"/>
    </w:rPr>
  </w:style>
  <w:style w:type="paragraph" w:customStyle="1" w:styleId="Cuerpodeltexto20">
    <w:name w:val="Cuerpo del texto (2)"/>
    <w:basedOn w:val="Normal"/>
    <w:link w:val="Cuerpodeltexto2"/>
    <w:pPr>
      <w:shd w:val="clear" w:color="auto" w:fill="FFFFFF"/>
      <w:spacing w:before="240" w:line="226" w:lineRule="exact"/>
      <w:jc w:val="center"/>
    </w:pPr>
    <w:rPr>
      <w:rFonts w:ascii="Bookman Old Style" w:eastAsia="Bookman Old Style" w:hAnsi="Bookman Old Style" w:cs="Bookman Old Style"/>
      <w:sz w:val="19"/>
      <w:szCs w:val="19"/>
    </w:rPr>
  </w:style>
  <w:style w:type="paragraph" w:customStyle="1" w:styleId="Ttulo10">
    <w:name w:val="Título #1"/>
    <w:basedOn w:val="Normal"/>
    <w:link w:val="Ttulo1"/>
    <w:pPr>
      <w:shd w:val="clear" w:color="auto" w:fill="FFFFFF"/>
      <w:spacing w:after="240" w:line="0" w:lineRule="atLeast"/>
      <w:jc w:val="center"/>
      <w:outlineLvl w:val="0"/>
    </w:pPr>
    <w:rPr>
      <w:rFonts w:ascii="Arial" w:eastAsia="Arial" w:hAnsi="Arial" w:cs="Arial"/>
      <w:b/>
      <w:bCs/>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ngsanaUPC" w:eastAsia="AngsanaUPC" w:hAnsi="AngsanaUPC" w:cs="AngsanaUPC"/>
      <w:sz w:val="28"/>
      <w:szCs w:val="28"/>
    </w:rPr>
  </w:style>
  <w:style w:type="paragraph" w:styleId="Encabezado">
    <w:name w:val="header"/>
    <w:basedOn w:val="Normal"/>
    <w:link w:val="EncabezadoCar"/>
    <w:uiPriority w:val="99"/>
    <w:unhideWhenUsed/>
    <w:rsid w:val="00155828"/>
    <w:pPr>
      <w:tabs>
        <w:tab w:val="center" w:pos="4419"/>
        <w:tab w:val="right" w:pos="8838"/>
      </w:tabs>
    </w:pPr>
  </w:style>
  <w:style w:type="character" w:customStyle="1" w:styleId="EncabezadoCar">
    <w:name w:val="Encabezado Car"/>
    <w:basedOn w:val="Fuentedeprrafopredeter"/>
    <w:link w:val="Encabezado"/>
    <w:uiPriority w:val="99"/>
    <w:rsid w:val="00155828"/>
    <w:rPr>
      <w:color w:val="000000"/>
    </w:rPr>
  </w:style>
  <w:style w:type="paragraph" w:styleId="Piedepgina">
    <w:name w:val="footer"/>
    <w:basedOn w:val="Normal"/>
    <w:link w:val="PiedepginaCar"/>
    <w:uiPriority w:val="99"/>
    <w:unhideWhenUsed/>
    <w:rsid w:val="00155828"/>
    <w:pPr>
      <w:tabs>
        <w:tab w:val="center" w:pos="4419"/>
        <w:tab w:val="right" w:pos="8838"/>
      </w:tabs>
    </w:pPr>
  </w:style>
  <w:style w:type="character" w:customStyle="1" w:styleId="PiedepginaCar">
    <w:name w:val="Pie de página Car"/>
    <w:basedOn w:val="Fuentedeprrafopredeter"/>
    <w:link w:val="Piedepgina"/>
    <w:uiPriority w:val="99"/>
    <w:rsid w:val="001558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2810</Words>
  <Characters>15455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PROFROMA DE CONTRATO LIBRE GESTION _018-2015 SERVCIO DE VIGILANCIA PRIVADA PARA EL MAG Y SUS DEPENDENCIAS revi</vt:lpstr>
    </vt:vector>
  </TitlesOfParts>
  <Company>Hewlett-Packard Company</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PROFROMA DE CONTRATO LIBRE GESTION _018-2015 SERVCIO DE VIGILANCIA PRIVADA PARA EL MAG Y SUS DEPENDENCIAS revi</dc:title>
  <dc:creator>Ana Patricia Sanchez Cruz</dc:creator>
  <cp:lastModifiedBy>Ana Patricia Sanchez Cruz</cp:lastModifiedBy>
  <cp:revision>2</cp:revision>
  <dcterms:created xsi:type="dcterms:W3CDTF">2016-04-01T20:07:00Z</dcterms:created>
  <dcterms:modified xsi:type="dcterms:W3CDTF">2016-04-01T20:13:00Z</dcterms:modified>
</cp:coreProperties>
</file>