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4C" w:rsidRDefault="006D148C" w:rsidP="003E1D81">
      <w:pPr>
        <w:spacing w:after="0" w:line="240" w:lineRule="auto"/>
        <w:jc w:val="right"/>
      </w:pPr>
      <w:bookmarkStart w:id="0" w:name="_Hlk17810078"/>
      <w:r>
        <w:t>R</w:t>
      </w:r>
      <w:r w:rsidR="00D72B4C">
        <w:t>EF</w:t>
      </w:r>
      <w:r w:rsidR="003E1D81">
        <w:t xml:space="preserve"> </w:t>
      </w:r>
      <w:r w:rsidR="000F28EC">
        <w:t>UAIP</w:t>
      </w:r>
      <w:r w:rsidR="004A48D8">
        <w:t>-</w:t>
      </w:r>
      <w:r w:rsidR="00D72B4C">
        <w:t>A00</w:t>
      </w:r>
      <w:r w:rsidR="004A48D8">
        <w:t>2</w:t>
      </w:r>
      <w:r w:rsidR="00691847">
        <w:t>7</w:t>
      </w:r>
      <w:r w:rsidR="00D72B4C">
        <w:t>-AMZ-20</w:t>
      </w:r>
      <w:r w:rsidR="00461836">
        <w:t>20</w:t>
      </w:r>
      <w:r w:rsidR="00D72B4C">
        <w:t xml:space="preserve">                                                                                                                                                                                               Resolución</w:t>
      </w:r>
    </w:p>
    <w:p w:rsidR="00FF45C3" w:rsidRDefault="00FF45C3" w:rsidP="00FF45C3">
      <w:pPr>
        <w:jc w:val="both"/>
      </w:pPr>
      <w:r w:rsidRPr="00115CFB">
        <w:rPr>
          <w:rFonts w:ascii="Times New Roman" w:hAnsi="Times New Roman" w:cs="Times New Roman"/>
          <w:b/>
        </w:rPr>
        <w:t>ALCALDIA MUNICIPAL DE ZARAGOZA: UNIDAD DE ACCESO A LA INFORMACIÓN PÚBLICA</w:t>
      </w:r>
      <w:r>
        <w:t xml:space="preserve">. En la ciudad de Zaragoza, a las </w:t>
      </w:r>
      <w:r w:rsidR="004A0752">
        <w:t>diez</w:t>
      </w:r>
      <w:r w:rsidR="004D077C">
        <w:t xml:space="preserve"> </w:t>
      </w:r>
      <w:r w:rsidR="004A48D8">
        <w:t>horas</w:t>
      </w:r>
      <w:r w:rsidR="004A0752">
        <w:t xml:space="preserve"> y veintidós</w:t>
      </w:r>
      <w:r w:rsidR="004D077C">
        <w:t xml:space="preserve"> minutos del</w:t>
      </w:r>
      <w:r>
        <w:t xml:space="preserve"> </w:t>
      </w:r>
      <w:r w:rsidR="004A0752">
        <w:t>día veintinueve</w:t>
      </w:r>
      <w:r w:rsidR="004D077C">
        <w:t xml:space="preserve"> de septiembre </w:t>
      </w:r>
      <w:r>
        <w:t xml:space="preserve">de año dos mil </w:t>
      </w:r>
      <w:r w:rsidR="00461836">
        <w:t>veinte</w:t>
      </w:r>
      <w:r>
        <w:t xml:space="preserve">. </w:t>
      </w:r>
    </w:p>
    <w:p w:rsidR="004A48D8" w:rsidRDefault="00FF45C3" w:rsidP="00FF45C3">
      <w:pPr>
        <w:jc w:val="both"/>
      </w:pPr>
      <w:r>
        <w:t>l. CONSIDERANDOS:</w:t>
      </w:r>
    </w:p>
    <w:p w:rsidR="00B66C87" w:rsidRDefault="004A48D8" w:rsidP="00FF45C3">
      <w:pPr>
        <w:jc w:val="both"/>
      </w:pPr>
      <w:r>
        <w:t xml:space="preserve"> Que, a </w:t>
      </w:r>
      <w:r w:rsidR="004A0752">
        <w:t>las doce</w:t>
      </w:r>
      <w:r w:rsidR="004D077C">
        <w:t xml:space="preserve"> horas</w:t>
      </w:r>
      <w:r w:rsidR="004A0752">
        <w:t xml:space="preserve"> y dos</w:t>
      </w:r>
      <w:r w:rsidR="00E0075A">
        <w:t xml:space="preserve"> </w:t>
      </w:r>
      <w:r w:rsidR="00FF45C3">
        <w:t>minutos, del día</w:t>
      </w:r>
      <w:r w:rsidR="004A0752">
        <w:t xml:space="preserve"> dieciséis</w:t>
      </w:r>
      <w:r w:rsidR="004D077C">
        <w:t xml:space="preserve"> de septiembre</w:t>
      </w:r>
      <w:r w:rsidR="00E0075A">
        <w:t xml:space="preserve"> de</w:t>
      </w:r>
      <w:r w:rsidR="00461836">
        <w:t>l</w:t>
      </w:r>
      <w:r w:rsidR="00B66C87">
        <w:t xml:space="preserve"> presente año</w:t>
      </w:r>
      <w:r w:rsidR="00FF45C3">
        <w:t xml:space="preserve">, se recibió Solicitud de Acceso de </w:t>
      </w:r>
      <w:r w:rsidR="004A0752">
        <w:t>Información por</w:t>
      </w:r>
      <w:r w:rsidR="00E0075A">
        <w:t xml:space="preserve"> </w:t>
      </w:r>
      <w:r w:rsidR="004D077C">
        <w:t>e</w:t>
      </w:r>
      <w:r w:rsidR="004A0752">
        <w:t xml:space="preserve">l ciudadano </w:t>
      </w:r>
      <w:r w:rsidR="000F28EC">
        <w:rPr>
          <w:b/>
        </w:rPr>
        <w:t>---------------------------------</w:t>
      </w:r>
      <w:r w:rsidR="004D077C">
        <w:t>, del</w:t>
      </w:r>
      <w:r w:rsidR="00FF45C3">
        <w:t xml:space="preserve"> domicilio de</w:t>
      </w:r>
      <w:r w:rsidR="00B66C87">
        <w:t xml:space="preserve"> </w:t>
      </w:r>
      <w:r w:rsidR="000F28EC">
        <w:t>-------------------</w:t>
      </w:r>
      <w:r w:rsidR="00754780">
        <w:t>,</w:t>
      </w:r>
      <w:r w:rsidR="00FF45C3">
        <w:t xml:space="preserve"> Departamento de</w:t>
      </w:r>
      <w:r w:rsidR="000F28EC">
        <w:t xml:space="preserve"> -------------------</w:t>
      </w:r>
      <w:r w:rsidR="00FF45C3">
        <w:t xml:space="preserve">, portador de su Documento Único de Identidad </w:t>
      </w:r>
      <w:r w:rsidR="00B66C87">
        <w:t xml:space="preserve">número </w:t>
      </w:r>
      <w:r w:rsidR="000F28EC">
        <w:t>----------------------------</w:t>
      </w:r>
      <w:r w:rsidR="004A0752">
        <w:t>, solicitando</w:t>
      </w:r>
      <w:r w:rsidR="00FF45C3">
        <w:t xml:space="preserve"> la información que se detalla a continuación:</w:t>
      </w:r>
    </w:p>
    <w:p w:rsidR="004A0752" w:rsidRDefault="004A0752" w:rsidP="004A0752">
      <w:pPr>
        <w:pStyle w:val="Prrafodelista"/>
        <w:numPr>
          <w:ilvl w:val="0"/>
          <w:numId w:val="17"/>
        </w:numPr>
        <w:jc w:val="both"/>
      </w:pPr>
      <w:r>
        <w:t>Información sobre todos los inmuebles propiedad de la alcaldía, lugar de ubicación y tamaño de cada propiedad.</w:t>
      </w:r>
    </w:p>
    <w:p w:rsidR="00A448F0" w:rsidRDefault="004126CC" w:rsidP="00A448F0">
      <w:pPr>
        <w:pStyle w:val="Prrafodelista"/>
        <w:numPr>
          <w:ilvl w:val="0"/>
          <w:numId w:val="17"/>
        </w:numPr>
        <w:jc w:val="both"/>
      </w:pPr>
      <w:r>
        <w:t>Se me brinde información de los que no están siendo ocupados o que se encuentran en desuso, lugar de ubicación y tamaño de cada propiedad.</w:t>
      </w:r>
    </w:p>
    <w:p w:rsidR="007C72D9" w:rsidRDefault="00FF45C3" w:rsidP="00A448F0">
      <w:pPr>
        <w:jc w:val="both"/>
      </w:pPr>
      <w:r>
        <w:t>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FF45C3" w:rsidRDefault="00FF45C3" w:rsidP="007C72D9">
      <w:pPr>
        <w:ind w:left="45"/>
        <w:jc w:val="both"/>
      </w:pPr>
      <w:r>
        <w:t>Es de aclarar que la Oficial de Información es el vínculo entre el ente obligado y el solicitante, realizando las gestiones necesarias, para facilitar el acceso a la información.</w:t>
      </w:r>
    </w:p>
    <w:p w:rsidR="00D72B4C" w:rsidRPr="00446274" w:rsidRDefault="00D72B4C" w:rsidP="00FF45C3">
      <w:pPr>
        <w:jc w:val="both"/>
        <w:rPr>
          <w:b/>
          <w:bCs/>
        </w:rPr>
      </w:pPr>
      <w:r w:rsidRPr="00446274">
        <w:rPr>
          <w:b/>
          <w:bCs/>
        </w:rPr>
        <w:t>II</w:t>
      </w:r>
      <w:r w:rsidR="00FF45C3" w:rsidRPr="00446274">
        <w:rPr>
          <w:b/>
          <w:bCs/>
        </w:rPr>
        <w:t>. FUNDAMENTACIÓN</w:t>
      </w:r>
    </w:p>
    <w:p w:rsidR="00FF45C3" w:rsidRDefault="00FF45C3" w:rsidP="00FF45C3">
      <w:pPr>
        <w:jc w:val="both"/>
      </w:pPr>
      <w:r>
        <w:t xml:space="preserve"> El Derecho de Acceso a la Información Pública, tiene una condición indiscutible de derecho fundamental, anclada en el reconocimiento constitucional del Derecho a la Libertad de Expresión (Art. 6 de lo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w:t>
      </w:r>
      <w:r w:rsidR="00D72B4C">
        <w:t>administración, así como en  la rendición de cuentas sobre el destino de los recursos y fondos públicos.</w:t>
      </w:r>
      <w:r>
        <w:t xml:space="preserve">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FF45C3" w:rsidRDefault="00FF45C3" w:rsidP="00FF45C3">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CF16EB" w:rsidRPr="00446274" w:rsidRDefault="00CF16EB" w:rsidP="00FF45C3">
      <w:pPr>
        <w:jc w:val="both"/>
        <w:rPr>
          <w:b/>
          <w:bCs/>
        </w:rPr>
      </w:pPr>
      <w:r w:rsidRPr="00446274">
        <w:rPr>
          <w:b/>
          <w:bCs/>
        </w:rPr>
        <w:lastRenderedPageBreak/>
        <w:t>II</w:t>
      </w:r>
      <w:r w:rsidR="004126CC">
        <w:rPr>
          <w:b/>
          <w:bCs/>
        </w:rPr>
        <w:t xml:space="preserve">I. </w:t>
      </w:r>
      <w:r w:rsidRPr="00446274">
        <w:rPr>
          <w:b/>
          <w:bCs/>
        </w:rPr>
        <w:t>PROCEDIMIENTO DE ACCESO</w:t>
      </w:r>
    </w:p>
    <w:p w:rsidR="00C1129B" w:rsidRDefault="00CF16EB" w:rsidP="004C4F16">
      <w:pPr>
        <w:jc w:val="both"/>
      </w:pPr>
      <w:r w:rsidRPr="00CF16EB">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6D148C">
        <w:t xml:space="preserve">  </w:t>
      </w:r>
    </w:p>
    <w:p w:rsidR="00650EFB" w:rsidRDefault="00C1129B" w:rsidP="00650EFB">
      <w:pPr>
        <w:jc w:val="both"/>
      </w:pPr>
      <w:r>
        <w:t>Realizando los</w:t>
      </w:r>
      <w:r w:rsidR="004C4F16">
        <w:t xml:space="preserve"> requerimientos de información a la </w:t>
      </w:r>
      <w:r w:rsidR="004126CC">
        <w:t xml:space="preserve">Unidad Jurídica y Unidad de Catastro Municipal  </w:t>
      </w:r>
      <w:r w:rsidR="00C92E6B">
        <w:t xml:space="preserve"> Consistente en:</w:t>
      </w:r>
      <w:r w:rsidR="00650EFB" w:rsidRPr="00650EFB">
        <w:t xml:space="preserve"> </w:t>
      </w:r>
    </w:p>
    <w:p w:rsidR="004126CC" w:rsidRDefault="004126CC" w:rsidP="004126CC">
      <w:pPr>
        <w:pStyle w:val="Prrafodelista"/>
        <w:numPr>
          <w:ilvl w:val="0"/>
          <w:numId w:val="18"/>
        </w:numPr>
        <w:spacing w:after="0"/>
        <w:jc w:val="both"/>
      </w:pPr>
      <w:r>
        <w:t>Información sobre todos los inmuebles propiedad de la alcaldía, lugar de ubicación y tamaño de cada propiedad.</w:t>
      </w:r>
    </w:p>
    <w:p w:rsidR="004126CC" w:rsidRDefault="004126CC" w:rsidP="004126CC">
      <w:pPr>
        <w:pStyle w:val="Prrafodelista"/>
        <w:numPr>
          <w:ilvl w:val="0"/>
          <w:numId w:val="18"/>
        </w:numPr>
        <w:spacing w:after="0"/>
        <w:jc w:val="both"/>
      </w:pPr>
      <w:r>
        <w:t>Se me brinde información de los que no están siendo ocupados o que se encuentran en desuso, lugar de ubicación y tamaño de cada propiedad.</w:t>
      </w:r>
    </w:p>
    <w:p w:rsidR="00847E74" w:rsidRDefault="00650EFB" w:rsidP="004126CC">
      <w:pPr>
        <w:pStyle w:val="Prrafodelista"/>
        <w:spacing w:after="0"/>
        <w:jc w:val="both"/>
      </w:pPr>
      <w:r>
        <w:tab/>
        <w:t xml:space="preserve"> </w:t>
      </w:r>
    </w:p>
    <w:p w:rsidR="00460939" w:rsidRDefault="00C92E6B" w:rsidP="008F0275">
      <w:pPr>
        <w:jc w:val="both"/>
      </w:pPr>
      <w:r>
        <w:t xml:space="preserve">Obteniendo como </w:t>
      </w:r>
      <w:r w:rsidR="004126CC">
        <w:t xml:space="preserve">por parte de la </w:t>
      </w:r>
      <w:r w:rsidR="004126CC" w:rsidRPr="007C4073">
        <w:rPr>
          <w:b/>
        </w:rPr>
        <w:t>Unidad Jurídica</w:t>
      </w:r>
      <w:r w:rsidR="004126CC">
        <w:t xml:space="preserve">, </w:t>
      </w:r>
      <w:r w:rsidR="00650EFB">
        <w:t>al requ</w:t>
      </w:r>
      <w:r w:rsidR="004126CC">
        <w:t>erimiento con referencia UAIP-A0027</w:t>
      </w:r>
      <w:r w:rsidR="00650EFB">
        <w:t>-A</w:t>
      </w:r>
      <w:r w:rsidR="00460939">
        <w:t>MZ-2020.</w:t>
      </w:r>
      <w:r w:rsidR="00460939">
        <w:rPr>
          <w:b/>
        </w:rPr>
        <w:t>P</w:t>
      </w:r>
      <w:r w:rsidR="00460939" w:rsidRPr="00460939">
        <w:rPr>
          <w:b/>
        </w:rPr>
        <w:t>or tanto</w:t>
      </w:r>
      <w:r w:rsidR="00460939">
        <w:t>.</w:t>
      </w:r>
    </w:p>
    <w:p w:rsidR="00460939" w:rsidRDefault="00460939" w:rsidP="008F0275">
      <w:pPr>
        <w:jc w:val="both"/>
      </w:pPr>
      <w:r>
        <w:t>Con base a lo solicitado resuelve:</w:t>
      </w:r>
    </w:p>
    <w:p w:rsidR="00460939" w:rsidRDefault="000502AF" w:rsidP="008F0275">
      <w:pPr>
        <w:jc w:val="both"/>
      </w:pPr>
      <w:r w:rsidRPr="000502AF">
        <w:rPr>
          <w:b/>
        </w:rPr>
        <w:t>Requerimiento UNO</w:t>
      </w:r>
      <w:r>
        <w:t xml:space="preserve">: </w:t>
      </w:r>
      <w:r w:rsidR="00460939">
        <w:t>Que dentro de la unidad se obtiene una carencia de bienes (Individual), extendida por el centro Nacional de Registros de la Propiedad Raíz e Hipoteca, Cuarta Sección del Centro, Departamento de La Libertad, donde nos manifieste el lugar del inmueble como el número de matrículas de cada uno, sin embargo no contamos con el tamaño de cada propiedad ya que ese dato se obtiene a través de una ubicación catastral</w:t>
      </w:r>
      <w:r>
        <w:t xml:space="preserve"> y/o una certificación extendida por el CNR, el cual tiene un costo solicitarlo es por ello que se brinda el número de matrícula de cada inmueble para que dentro de sus facultades pueda acercarse al CNR y le puedan brindar el tamaño de cada inmueble.</w:t>
      </w:r>
      <w:r w:rsidR="00AE09FB">
        <w:t>(Se anexara el listado de inmuebles).</w:t>
      </w:r>
    </w:p>
    <w:p w:rsidR="000502AF" w:rsidRDefault="000502AF" w:rsidP="008F0275">
      <w:pPr>
        <w:jc w:val="both"/>
        <w:rPr>
          <w:b/>
        </w:rPr>
      </w:pPr>
      <w:r w:rsidRPr="000502AF">
        <w:rPr>
          <w:b/>
        </w:rPr>
        <w:t>Requerimiento DOS</w:t>
      </w:r>
      <w:r>
        <w:t xml:space="preserve">: Los </w:t>
      </w:r>
      <w:r w:rsidR="00AE09FB">
        <w:t>inmuebles</w:t>
      </w:r>
      <w:r>
        <w:t xml:space="preserve"> ubicados en la tabla anterior con numeral 1,2,3,4,5,7,8,12,13,14,1516,17,18,19,20,21,22,23,27,28,29,30,31,32,33,34,35,36,37,38, 39,40,41,42,43,44 y 50</w:t>
      </w:r>
      <w:r w:rsidR="00AE09FB">
        <w:t xml:space="preserve"> son inmuebles que se encuentran baldíos por su naturaleza y que pueden ser intervenidos en carácter de interés social; sin embargo, </w:t>
      </w:r>
      <w:r w:rsidR="00AE09FB" w:rsidRPr="00AE09FB">
        <w:rPr>
          <w:b/>
        </w:rPr>
        <w:t>no contamos dentro del anteriores inmuebles declarados en desuso</w:t>
      </w:r>
    </w:p>
    <w:p w:rsidR="007C4073" w:rsidRDefault="007C4073" w:rsidP="008F0275">
      <w:pPr>
        <w:jc w:val="both"/>
      </w:pPr>
      <w:r w:rsidRPr="007C4073">
        <w:t>Respuesta de la</w:t>
      </w:r>
      <w:r w:rsidR="00FF0677">
        <w:rPr>
          <w:b/>
        </w:rPr>
        <w:t xml:space="preserve"> Unidad de Catastro requerimiento UNO: </w:t>
      </w:r>
      <w:r w:rsidR="00FF0677" w:rsidRPr="00FF0677">
        <w:t xml:space="preserve">Que en la unidad de catastro </w:t>
      </w:r>
      <w:r w:rsidR="00FF0677">
        <w:rPr>
          <w:b/>
        </w:rPr>
        <w:t xml:space="preserve">tiene una carencia de bienes individual, </w:t>
      </w:r>
      <w:r w:rsidR="00FF0677" w:rsidRPr="00FF0677">
        <w:t>detallando dirección y matricula</w:t>
      </w:r>
      <w:r w:rsidR="00FF0677">
        <w:t xml:space="preserve">, NO contamos con cada tamaño de propiedad ese dato se obtiene a través de </w:t>
      </w:r>
      <w:r w:rsidR="000739DB">
        <w:t>una ubicación catastral</w:t>
      </w:r>
      <w:r w:rsidR="00E553F0">
        <w:t>,</w:t>
      </w:r>
      <w:r w:rsidR="000739DB">
        <w:t xml:space="preserve"> </w:t>
      </w:r>
      <w:r w:rsidR="00FF0677">
        <w:t>adjunto de detalle</w:t>
      </w:r>
      <w:r w:rsidR="007D0618">
        <w:t>.</w:t>
      </w:r>
    </w:p>
    <w:p w:rsidR="007D0618" w:rsidRPr="007D0618" w:rsidRDefault="00E553F0" w:rsidP="008F0275">
      <w:pPr>
        <w:jc w:val="both"/>
      </w:pPr>
      <w:r>
        <w:rPr>
          <w:b/>
        </w:rPr>
        <w:t>Requerimiento DOS</w:t>
      </w:r>
      <w:r w:rsidR="007D0618">
        <w:rPr>
          <w:b/>
        </w:rPr>
        <w:t xml:space="preserve">: No </w:t>
      </w:r>
      <w:r w:rsidR="007D0618">
        <w:t>se tiene registros de inmu</w:t>
      </w:r>
      <w:r w:rsidR="00BD4A4E">
        <w:t>e</w:t>
      </w:r>
      <w:r w:rsidR="007D0618">
        <w:t xml:space="preserve">bles con las categorías </w:t>
      </w:r>
      <w:r w:rsidR="00BD4A4E">
        <w:t>en desuso, si no de interés social, como se menciona en la respuesta número uno no contamos con cada tamaño.</w:t>
      </w:r>
    </w:p>
    <w:p w:rsidR="00460939" w:rsidRPr="00FF0677" w:rsidRDefault="00460939" w:rsidP="008F0275">
      <w:pPr>
        <w:jc w:val="both"/>
      </w:pPr>
    </w:p>
    <w:p w:rsidR="00BD4A4E" w:rsidRDefault="00486D1E" w:rsidP="00AE09FB">
      <w:pPr>
        <w:spacing w:after="0"/>
        <w:jc w:val="both"/>
      </w:pPr>
      <w:r>
        <w:lastRenderedPageBreak/>
        <w:t>Que e</w:t>
      </w:r>
      <w:r w:rsidRPr="00486D1E">
        <w:t>l artículo 73 de la LAIP, establece que en el caso que la información no exista, la Oficial de Información analizará el caso y tomará las medidas pertinentes para localizar la información.  En caso de no encontrarla, expedirá una resolución que confirme la inexistencia de la misma.</w:t>
      </w:r>
      <w:r w:rsidR="00BD4A4E">
        <w:t xml:space="preserve"> </w:t>
      </w:r>
    </w:p>
    <w:p w:rsidR="00A754AA" w:rsidRDefault="00BD4A4E" w:rsidP="00AE09FB">
      <w:pPr>
        <w:spacing w:after="0"/>
        <w:jc w:val="both"/>
      </w:pPr>
      <w:r>
        <w:t xml:space="preserve">Por lo anteriormente expresado por las </w:t>
      </w:r>
      <w:r w:rsidR="00E553F0">
        <w:rPr>
          <w:b/>
        </w:rPr>
        <w:t>U</w:t>
      </w:r>
      <w:r w:rsidRPr="00E553F0">
        <w:rPr>
          <w:b/>
        </w:rPr>
        <w:t xml:space="preserve">nidad </w:t>
      </w:r>
      <w:r w:rsidR="00E553F0">
        <w:rPr>
          <w:b/>
        </w:rPr>
        <w:t>J</w:t>
      </w:r>
      <w:r w:rsidRPr="00E553F0">
        <w:rPr>
          <w:b/>
        </w:rPr>
        <w:t xml:space="preserve">urídica y Catastro Municipal </w:t>
      </w:r>
      <w:r>
        <w:t xml:space="preserve">en la cual ambas manifiestan que como municipalidad </w:t>
      </w:r>
      <w:r w:rsidRPr="00BD4A4E">
        <w:rPr>
          <w:b/>
        </w:rPr>
        <w:t xml:space="preserve">se </w:t>
      </w:r>
      <w:r>
        <w:rPr>
          <w:b/>
        </w:rPr>
        <w:t>ob</w:t>
      </w:r>
      <w:r w:rsidRPr="00BD4A4E">
        <w:rPr>
          <w:b/>
        </w:rPr>
        <w:t xml:space="preserve">tiene una carencia de bienes </w:t>
      </w:r>
      <w:r>
        <w:rPr>
          <w:b/>
        </w:rPr>
        <w:t>(</w:t>
      </w:r>
      <w:r w:rsidRPr="00BD4A4E">
        <w:rPr>
          <w:b/>
        </w:rPr>
        <w:t>individual</w:t>
      </w:r>
      <w:r>
        <w:t>), extendida por el C</w:t>
      </w:r>
      <w:r w:rsidR="00F62FF0">
        <w:t xml:space="preserve">entro </w:t>
      </w:r>
      <w:r>
        <w:t>N</w:t>
      </w:r>
      <w:r w:rsidR="00F62FF0">
        <w:t xml:space="preserve">acional de la Propiedad e Hipoteca, donde se </w:t>
      </w:r>
      <w:r w:rsidR="00E553F0">
        <w:t>proporciona</w:t>
      </w:r>
      <w:r w:rsidR="00F62FF0">
        <w:t xml:space="preserve"> el lugar de ubicación de los inmuebles y el número de matrícula; sin embargo, No se cuenta con el tamaño de cada propiedad ya que esta se obtiene de una certificación catastral o de una certificación literal extendida por el CNR.  La cual representa un costo y que la comuna no cuenta con los recursos necesarios para obtenerla.  </w:t>
      </w:r>
    </w:p>
    <w:p w:rsidR="00E553F0" w:rsidRDefault="00FB0BFC" w:rsidP="00836B66">
      <w:pPr>
        <w:spacing w:after="0"/>
        <w:jc w:val="both"/>
      </w:pPr>
      <w:r w:rsidRPr="00FB0BFC">
        <w:t xml:space="preserve">Por lo anteriormente </w:t>
      </w:r>
      <w:r w:rsidR="00F62FF0" w:rsidRPr="00FB0BFC">
        <w:t>expresado</w:t>
      </w:r>
      <w:r w:rsidR="00E553F0">
        <w:t>:</w:t>
      </w:r>
    </w:p>
    <w:p w:rsidR="00F62FF0" w:rsidRDefault="00F62FF0" w:rsidP="00E553F0">
      <w:pPr>
        <w:pStyle w:val="Prrafodelista"/>
        <w:numPr>
          <w:ilvl w:val="0"/>
          <w:numId w:val="19"/>
        </w:numPr>
        <w:spacing w:after="0"/>
        <w:jc w:val="both"/>
      </w:pPr>
      <w:r>
        <w:t>se</w:t>
      </w:r>
      <w:r w:rsidR="002B5279">
        <w:t xml:space="preserve"> le concede el acceso a la información</w:t>
      </w:r>
      <w:r>
        <w:t xml:space="preserve"> de los inmuebles propiedad de esta municipalidad y lugar de ubicación.</w:t>
      </w:r>
    </w:p>
    <w:p w:rsidR="00F62FF0" w:rsidRDefault="00F62FF0" w:rsidP="00836B66">
      <w:pPr>
        <w:pStyle w:val="Prrafodelista"/>
        <w:numPr>
          <w:ilvl w:val="0"/>
          <w:numId w:val="19"/>
        </w:numPr>
        <w:spacing w:after="0"/>
        <w:jc w:val="both"/>
      </w:pPr>
      <w:r>
        <w:t xml:space="preserve">Se declara </w:t>
      </w:r>
      <w:r w:rsidRPr="00F92E57">
        <w:rPr>
          <w:b/>
        </w:rPr>
        <w:t>la inexistencia</w:t>
      </w:r>
      <w:r>
        <w:t xml:space="preserve"> de la información </w:t>
      </w:r>
      <w:r w:rsidR="006C4A02">
        <w:t>referente</w:t>
      </w:r>
      <w:r>
        <w:t xml:space="preserve"> al tamaño de cada propiedad por ser una información que no ha sido solici</w:t>
      </w:r>
      <w:r w:rsidR="006C4A02">
        <w:t xml:space="preserve">tada al CNR, Por falta recursos para cubrir los gastos. Y que para efecto de garantizarle el derecho que el ciudadano tiene se le brindan los números de matrículas de cada inmueble y que </w:t>
      </w:r>
      <w:r w:rsidR="00F92E57">
        <w:t>él</w:t>
      </w:r>
      <w:r w:rsidR="006C4A02">
        <w:t xml:space="preserve"> pueda sol</w:t>
      </w:r>
      <w:r w:rsidR="005D77EA">
        <w:t>i</w:t>
      </w:r>
      <w:r w:rsidR="00F44C4D">
        <w:t>ci</w:t>
      </w:r>
      <w:r w:rsidR="006C4A02">
        <w:t>tarlo al CRN.</w:t>
      </w:r>
    </w:p>
    <w:p w:rsidR="006C4A02" w:rsidRDefault="006C4A02" w:rsidP="00836B66">
      <w:pPr>
        <w:pStyle w:val="Prrafodelista"/>
        <w:numPr>
          <w:ilvl w:val="0"/>
          <w:numId w:val="19"/>
        </w:numPr>
        <w:spacing w:after="0"/>
        <w:jc w:val="both"/>
      </w:pPr>
      <w:r>
        <w:t xml:space="preserve">Que en esta municipalidad no </w:t>
      </w:r>
      <w:r w:rsidRPr="00F92E57">
        <w:rPr>
          <w:b/>
        </w:rPr>
        <w:t>EXISTEN</w:t>
      </w:r>
      <w:r>
        <w:t xml:space="preserve"> inmuebles declarados en desuso como tal, lo que existen son inmuebles que se encuentran baldíos y que por su naturaleza son de interés social; de los cuales se agrega el número de matrícula y se indica cuales son y lugar de ubicación.</w:t>
      </w:r>
    </w:p>
    <w:p w:rsidR="006C4A02" w:rsidRDefault="00F92E57" w:rsidP="00836B66">
      <w:pPr>
        <w:spacing w:after="0"/>
        <w:jc w:val="both"/>
      </w:pPr>
      <w:r>
        <w:t>Concediéndosele así</w:t>
      </w:r>
      <w:r w:rsidR="006C4A02">
        <w:t xml:space="preserve"> el acceso al inventario de matrículas de inmuebles que son propiedad de esta municipalidad, </w:t>
      </w:r>
      <w:r w:rsidR="00F44C4D">
        <w:t>así</w:t>
      </w:r>
      <w:r w:rsidR="006C4A02">
        <w:t xml:space="preserve"> mismo la dirección de cada uno de ellos.</w:t>
      </w:r>
    </w:p>
    <w:p w:rsidR="00650EFB" w:rsidRDefault="006C4A02" w:rsidP="00836B66">
      <w:pPr>
        <w:spacing w:after="0"/>
        <w:jc w:val="both"/>
      </w:pPr>
      <w:r>
        <w:t xml:space="preserve">Se declara la </w:t>
      </w:r>
      <w:r w:rsidRPr="005D77EA">
        <w:rPr>
          <w:b/>
        </w:rPr>
        <w:t>inexistencia</w:t>
      </w:r>
      <w:r>
        <w:t xml:space="preserve"> de ubicación catastral y certificación extendida por el CNR del tamaño de cada propiedad. </w:t>
      </w:r>
      <w:r w:rsidR="005D77EA">
        <w:t xml:space="preserve"> </w:t>
      </w:r>
      <w:r w:rsidR="00F44C4D">
        <w:t>Así</w:t>
      </w:r>
      <w:r w:rsidR="005D77EA">
        <w:t xml:space="preserve"> como de </w:t>
      </w:r>
      <w:r w:rsidR="00F44C4D">
        <w:t>inmuebles</w:t>
      </w:r>
      <w:r w:rsidR="005D77EA">
        <w:t xml:space="preserve"> declarados en desuso</w:t>
      </w:r>
      <w:r w:rsidR="00F44C4D">
        <w:t>.</w:t>
      </w:r>
    </w:p>
    <w:p w:rsidR="00A227A4" w:rsidRPr="00A227A4" w:rsidRDefault="00B66F90" w:rsidP="00A227A4">
      <w:pPr>
        <w:jc w:val="both"/>
        <w:rPr>
          <w:rFonts w:ascii="Arial Narrow" w:hAnsi="Arial Narrow" w:cstheme="majorHAnsi"/>
          <w:sz w:val="24"/>
          <w:szCs w:val="24"/>
        </w:rPr>
      </w:pPr>
      <w:r w:rsidRPr="00A227A4">
        <w:rPr>
          <w:rFonts w:cstheme="minorHAnsi"/>
          <w:b/>
        </w:rPr>
        <w:t>POR TANTO</w:t>
      </w:r>
      <w:r w:rsidRPr="00A227A4">
        <w:rPr>
          <w:rFonts w:cstheme="minorHAnsi"/>
        </w:rPr>
        <w:t>, de conformidad a los artículos 65, 66, 69, 70, 71, 72</w:t>
      </w:r>
      <w:r w:rsidR="00A227A4" w:rsidRPr="00A227A4">
        <w:rPr>
          <w:rFonts w:cstheme="minorHAnsi"/>
        </w:rPr>
        <w:t>,</w:t>
      </w:r>
      <w:r w:rsidRPr="00A227A4">
        <w:rPr>
          <w:rFonts w:cstheme="minorHAnsi"/>
        </w:rPr>
        <w:t xml:space="preserve"> 73</w:t>
      </w:r>
      <w:r w:rsidR="00A227A4" w:rsidRPr="00A227A4">
        <w:rPr>
          <w:rFonts w:cstheme="minorHAnsi"/>
        </w:rPr>
        <w:t xml:space="preserve"> y</w:t>
      </w:r>
      <w:r w:rsidR="00A227A4" w:rsidRPr="00A227A4">
        <w:t xml:space="preserve"> </w:t>
      </w:r>
      <w:r w:rsidR="00A227A4" w:rsidRPr="00084F3B">
        <w:t>art. 54 del Reglamento de la Ley de Acceso a la Información Pública; la suscrita Oficial de Información</w:t>
      </w:r>
      <w:r w:rsidR="00A227A4">
        <w:t xml:space="preserve"> RESUELVE</w:t>
      </w:r>
    </w:p>
    <w:p w:rsidR="00581F00" w:rsidRDefault="00C12074" w:rsidP="00836B66">
      <w:pPr>
        <w:pStyle w:val="Prrafodelista"/>
        <w:numPr>
          <w:ilvl w:val="0"/>
          <w:numId w:val="11"/>
        </w:numPr>
        <w:spacing w:line="240" w:lineRule="auto"/>
        <w:jc w:val="both"/>
      </w:pPr>
      <w:r w:rsidRPr="00C12074">
        <w:t>La solicitud si cumple con todos los requisitos establecidos en el Art.66 de la Ley de Acceso a la Información Pública (LAIP) y art. 54 literal d) del Reglamento de la Ley de Acceso a la Información Pública</w:t>
      </w:r>
      <w:r w:rsidR="00601430">
        <w:t>.</w:t>
      </w:r>
    </w:p>
    <w:p w:rsidR="00F92E57" w:rsidRDefault="002B5279" w:rsidP="00F92E57">
      <w:pPr>
        <w:pStyle w:val="Prrafodelista"/>
        <w:numPr>
          <w:ilvl w:val="0"/>
          <w:numId w:val="11"/>
        </w:numPr>
        <w:spacing w:after="0" w:line="240" w:lineRule="auto"/>
        <w:jc w:val="both"/>
      </w:pPr>
      <w:r>
        <w:t xml:space="preserve">Conceder </w:t>
      </w:r>
      <w:r w:rsidRPr="002B5279">
        <w:t>el acceso a la i</w:t>
      </w:r>
      <w:r w:rsidR="00F44C4D">
        <w:t xml:space="preserve">nformación requerida referente inventario de bienes </w:t>
      </w:r>
      <w:r w:rsidR="00F92E57">
        <w:t>inmuebles,</w:t>
      </w:r>
      <w:r w:rsidR="00F44C4D">
        <w:t xml:space="preserve"> lugar de ubicación y números de </w:t>
      </w:r>
      <w:r w:rsidR="00A448F0">
        <w:t>matrículas</w:t>
      </w:r>
      <w:r w:rsidR="00F44C4D">
        <w:t>.</w:t>
      </w:r>
    </w:p>
    <w:p w:rsidR="00F44C4D" w:rsidRDefault="00F92E57" w:rsidP="00F44C4D">
      <w:pPr>
        <w:pStyle w:val="Prrafodelista"/>
        <w:numPr>
          <w:ilvl w:val="0"/>
          <w:numId w:val="11"/>
        </w:numPr>
        <w:spacing w:after="0" w:line="240" w:lineRule="auto"/>
        <w:jc w:val="both"/>
      </w:pPr>
      <w:r>
        <w:t>Se declara la inexistencia</w:t>
      </w:r>
      <w:r w:rsidR="00F44C4D">
        <w:t xml:space="preserve"> de </w:t>
      </w:r>
      <w:r>
        <w:t>inmuebles en</w:t>
      </w:r>
      <w:r w:rsidR="00F44C4D">
        <w:t xml:space="preserve"> desuso.</w:t>
      </w:r>
    </w:p>
    <w:p w:rsidR="00F92E57" w:rsidRPr="00F92E57" w:rsidRDefault="00F92E57" w:rsidP="00F92E57">
      <w:pPr>
        <w:pStyle w:val="Prrafodelista"/>
        <w:numPr>
          <w:ilvl w:val="0"/>
          <w:numId w:val="11"/>
        </w:numPr>
        <w:spacing w:after="0" w:line="240" w:lineRule="auto"/>
        <w:jc w:val="both"/>
      </w:pPr>
      <w:r w:rsidRPr="00F92E57">
        <w:t>Se declara la inexistencia de la información referente al tamaño de cada propiedad</w:t>
      </w:r>
      <w:r>
        <w:t xml:space="preserve"> </w:t>
      </w:r>
    </w:p>
    <w:p w:rsidR="005B12E0" w:rsidRDefault="00C12074" w:rsidP="00836B66">
      <w:pPr>
        <w:pStyle w:val="Prrafodelista"/>
        <w:numPr>
          <w:ilvl w:val="0"/>
          <w:numId w:val="11"/>
        </w:numPr>
        <w:spacing w:after="0" w:line="240" w:lineRule="auto"/>
        <w:jc w:val="both"/>
      </w:pPr>
      <w:r w:rsidRPr="00C12074">
        <w:t xml:space="preserve">Notifíquese al solicitante por el medio señalado para tal efecto. </w:t>
      </w:r>
    </w:p>
    <w:p w:rsidR="00836B66" w:rsidRDefault="00C12074" w:rsidP="00836B66">
      <w:pPr>
        <w:pStyle w:val="Prrafodelista"/>
        <w:numPr>
          <w:ilvl w:val="0"/>
          <w:numId w:val="11"/>
        </w:numPr>
        <w:spacing w:after="0" w:line="240" w:lineRule="auto"/>
        <w:jc w:val="both"/>
      </w:pPr>
      <w:r w:rsidRPr="00C12074">
        <w:t xml:space="preserve"> </w:t>
      </w:r>
      <w:r w:rsidR="005B12E0" w:rsidRPr="00C12074">
        <w:t>Archívese el expediente administrativo.</w:t>
      </w:r>
    </w:p>
    <w:p w:rsidR="00836B66" w:rsidRDefault="00836B66" w:rsidP="00F92E57">
      <w:pPr>
        <w:spacing w:after="0" w:line="240" w:lineRule="auto"/>
        <w:jc w:val="both"/>
      </w:pPr>
    </w:p>
    <w:p w:rsidR="00084F3B" w:rsidRDefault="00084F3B" w:rsidP="00084F3B">
      <w:pPr>
        <w:spacing w:after="0"/>
        <w:jc w:val="center"/>
      </w:pPr>
      <w:r>
        <w:t>Trinidad Guardado</w:t>
      </w:r>
    </w:p>
    <w:p w:rsidR="00084F3B" w:rsidRDefault="00084F3B" w:rsidP="00084F3B">
      <w:pPr>
        <w:spacing w:after="0"/>
        <w:jc w:val="center"/>
      </w:pPr>
      <w:r>
        <w:t>Oficial de Información</w:t>
      </w:r>
      <w:bookmarkEnd w:id="0"/>
    </w:p>
    <w:p w:rsidR="0060547A" w:rsidRDefault="0060547A" w:rsidP="00084F3B">
      <w:pPr>
        <w:spacing w:after="0"/>
        <w:jc w:val="center"/>
      </w:pPr>
      <w:r w:rsidRPr="0060547A">
        <w:lastRenderedPageBreak/>
        <w:t>La presente resolución se encuentra en versión pública de conformidad a lo establecido la Ley de Acceso a la Información Pública, por contener datos personales del en el art.30 de solicitante</w:t>
      </w:r>
      <w:bookmarkStart w:id="1" w:name="_GoBack"/>
      <w:bookmarkEnd w:id="1"/>
    </w:p>
    <w:sectPr w:rsidR="006054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A3" w:rsidRDefault="00BA7FA3" w:rsidP="00FF45C3">
      <w:pPr>
        <w:spacing w:after="0" w:line="240" w:lineRule="auto"/>
      </w:pPr>
      <w:r>
        <w:separator/>
      </w:r>
    </w:p>
  </w:endnote>
  <w:endnote w:type="continuationSeparator" w:id="0">
    <w:p w:rsidR="00BA7FA3" w:rsidRDefault="00BA7FA3"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A3" w:rsidRDefault="00BA7FA3" w:rsidP="00FF45C3">
      <w:pPr>
        <w:spacing w:after="0" w:line="240" w:lineRule="auto"/>
      </w:pPr>
      <w:r>
        <w:separator/>
      </w:r>
    </w:p>
  </w:footnote>
  <w:footnote w:type="continuationSeparator" w:id="0">
    <w:p w:rsidR="00BA7FA3" w:rsidRDefault="00BA7FA3" w:rsidP="00FF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C3" w:rsidRPr="00FF45C3" w:rsidRDefault="00FF45C3" w:rsidP="00FF45C3">
    <w:pPr>
      <w:spacing w:after="0" w:line="360" w:lineRule="auto"/>
      <w:jc w:val="both"/>
      <w:rPr>
        <w:rFonts w:ascii="Tahoma" w:eastAsia="Batang" w:hAnsi="Tahoma" w:cs="Tahoma"/>
        <w:sz w:val="24"/>
        <w:szCs w:val="24"/>
      </w:rPr>
    </w:pPr>
    <w:bookmarkStart w:id="2" w:name="_Hlk513537261"/>
    <w:bookmarkStart w:id="3" w:name="_Hlk513537262"/>
    <w:bookmarkStart w:id="4" w:name="_Hlk513537263"/>
    <w:bookmarkStart w:id="5" w:name="_Hlk513537264"/>
    <w:bookmarkStart w:id="6" w:name="_Hlk535929979"/>
    <w:bookmarkStart w:id="7" w:name="_Hlk535929980"/>
    <w:bookmarkStart w:id="8" w:name="_Hlk535929981"/>
    <w:bookmarkStart w:id="9" w:name="_Hlk535929982"/>
    <w:bookmarkStart w:id="10" w:name="_Hlk535929984"/>
    <w:bookmarkStart w:id="11" w:name="_Hlk535929985"/>
    <w:bookmarkStart w:id="12" w:name="_Hlk535930058"/>
    <w:bookmarkStart w:id="13" w:name="_Hlk535930059"/>
    <w:bookmarkStart w:id="14" w:name="_Hlk535930060"/>
    <w:bookmarkStart w:id="15" w:name="_Hlk535930061"/>
    <w:r w:rsidRPr="00FF45C3">
      <w:rPr>
        <w:rFonts w:ascii="Calibri" w:eastAsia="Batang" w:hAnsi="Calibri" w:cs="Times New Roman"/>
        <w:noProof/>
        <w:lang w:eastAsia="es-SV"/>
      </w:rPr>
      <w:drawing>
        <wp:anchor distT="0" distB="0" distL="114300" distR="114300" simplePos="0" relativeHeight="251659264" behindDoc="0" locked="0" layoutInCell="1" allowOverlap="1" wp14:anchorId="336E959A" wp14:editId="346E0306">
          <wp:simplePos x="0" y="0"/>
          <wp:positionH relativeFrom="column">
            <wp:posOffset>5188585</wp:posOffset>
          </wp:positionH>
          <wp:positionV relativeFrom="paragraph">
            <wp:posOffset>-311150</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p>
  <w:p w:rsidR="00FF45C3" w:rsidRPr="00FF45C3" w:rsidRDefault="00FF45C3" w:rsidP="00FF45C3">
    <w:pPr>
      <w:tabs>
        <w:tab w:val="left" w:pos="2000"/>
      </w:tabs>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FF45C3">
    <w:pPr>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FF45C3">
    <w:pPr>
      <w:spacing w:after="0" w:line="276"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FF45C3">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15:restartNumberingAfterBreak="0">
    <w:nsid w:val="0D797CA4"/>
    <w:multiLevelType w:val="hybridMultilevel"/>
    <w:tmpl w:val="00644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56E4C86"/>
    <w:multiLevelType w:val="hybridMultilevel"/>
    <w:tmpl w:val="08A026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B4421C0"/>
    <w:multiLevelType w:val="hybridMultilevel"/>
    <w:tmpl w:val="0D828DAE"/>
    <w:lvl w:ilvl="0" w:tplc="440A0001">
      <w:start w:val="1"/>
      <w:numFmt w:val="bullet"/>
      <w:lvlText w:val=""/>
      <w:lvlJc w:val="left"/>
      <w:pPr>
        <w:ind w:left="773" w:hanging="360"/>
      </w:pPr>
      <w:rPr>
        <w:rFonts w:ascii="Symbol" w:hAnsi="Symbol" w:hint="default"/>
      </w:rPr>
    </w:lvl>
    <w:lvl w:ilvl="1" w:tplc="440A0003" w:tentative="1">
      <w:start w:val="1"/>
      <w:numFmt w:val="bullet"/>
      <w:lvlText w:val="o"/>
      <w:lvlJc w:val="left"/>
      <w:pPr>
        <w:ind w:left="1493" w:hanging="360"/>
      </w:pPr>
      <w:rPr>
        <w:rFonts w:ascii="Courier New" w:hAnsi="Courier New" w:cs="Courier New" w:hint="default"/>
      </w:rPr>
    </w:lvl>
    <w:lvl w:ilvl="2" w:tplc="440A0005" w:tentative="1">
      <w:start w:val="1"/>
      <w:numFmt w:val="bullet"/>
      <w:lvlText w:val=""/>
      <w:lvlJc w:val="left"/>
      <w:pPr>
        <w:ind w:left="2213" w:hanging="360"/>
      </w:pPr>
      <w:rPr>
        <w:rFonts w:ascii="Wingdings" w:hAnsi="Wingdings" w:hint="default"/>
      </w:rPr>
    </w:lvl>
    <w:lvl w:ilvl="3" w:tplc="440A0001" w:tentative="1">
      <w:start w:val="1"/>
      <w:numFmt w:val="bullet"/>
      <w:lvlText w:val=""/>
      <w:lvlJc w:val="left"/>
      <w:pPr>
        <w:ind w:left="2933" w:hanging="360"/>
      </w:pPr>
      <w:rPr>
        <w:rFonts w:ascii="Symbol" w:hAnsi="Symbol" w:hint="default"/>
      </w:rPr>
    </w:lvl>
    <w:lvl w:ilvl="4" w:tplc="440A0003" w:tentative="1">
      <w:start w:val="1"/>
      <w:numFmt w:val="bullet"/>
      <w:lvlText w:val="o"/>
      <w:lvlJc w:val="left"/>
      <w:pPr>
        <w:ind w:left="3653" w:hanging="360"/>
      </w:pPr>
      <w:rPr>
        <w:rFonts w:ascii="Courier New" w:hAnsi="Courier New" w:cs="Courier New" w:hint="default"/>
      </w:rPr>
    </w:lvl>
    <w:lvl w:ilvl="5" w:tplc="440A0005" w:tentative="1">
      <w:start w:val="1"/>
      <w:numFmt w:val="bullet"/>
      <w:lvlText w:val=""/>
      <w:lvlJc w:val="left"/>
      <w:pPr>
        <w:ind w:left="4373" w:hanging="360"/>
      </w:pPr>
      <w:rPr>
        <w:rFonts w:ascii="Wingdings" w:hAnsi="Wingdings" w:hint="default"/>
      </w:rPr>
    </w:lvl>
    <w:lvl w:ilvl="6" w:tplc="440A0001" w:tentative="1">
      <w:start w:val="1"/>
      <w:numFmt w:val="bullet"/>
      <w:lvlText w:val=""/>
      <w:lvlJc w:val="left"/>
      <w:pPr>
        <w:ind w:left="5093" w:hanging="360"/>
      </w:pPr>
      <w:rPr>
        <w:rFonts w:ascii="Symbol" w:hAnsi="Symbol" w:hint="default"/>
      </w:rPr>
    </w:lvl>
    <w:lvl w:ilvl="7" w:tplc="440A0003" w:tentative="1">
      <w:start w:val="1"/>
      <w:numFmt w:val="bullet"/>
      <w:lvlText w:val="o"/>
      <w:lvlJc w:val="left"/>
      <w:pPr>
        <w:ind w:left="5813" w:hanging="360"/>
      </w:pPr>
      <w:rPr>
        <w:rFonts w:ascii="Courier New" w:hAnsi="Courier New" w:cs="Courier New" w:hint="default"/>
      </w:rPr>
    </w:lvl>
    <w:lvl w:ilvl="8" w:tplc="440A0005" w:tentative="1">
      <w:start w:val="1"/>
      <w:numFmt w:val="bullet"/>
      <w:lvlText w:val=""/>
      <w:lvlJc w:val="left"/>
      <w:pPr>
        <w:ind w:left="6533" w:hanging="360"/>
      </w:pPr>
      <w:rPr>
        <w:rFonts w:ascii="Wingdings" w:hAnsi="Wingdings" w:hint="default"/>
      </w:rPr>
    </w:lvl>
  </w:abstractNum>
  <w:abstractNum w:abstractNumId="8" w15:restartNumberingAfterBreak="0">
    <w:nsid w:val="4B803FB3"/>
    <w:multiLevelType w:val="hybridMultilevel"/>
    <w:tmpl w:val="FAAC26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C1C0D92"/>
    <w:multiLevelType w:val="hybridMultilevel"/>
    <w:tmpl w:val="48CC2B9C"/>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1" w15:restartNumberingAfterBreak="0">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536043C"/>
    <w:multiLevelType w:val="hybridMultilevel"/>
    <w:tmpl w:val="69F422C4"/>
    <w:lvl w:ilvl="0" w:tplc="1FEE489E">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C147B97"/>
    <w:multiLevelType w:val="hybridMultilevel"/>
    <w:tmpl w:val="0D886E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C6A6E18"/>
    <w:multiLevelType w:val="hybridMultilevel"/>
    <w:tmpl w:val="98AA53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6586DF5"/>
    <w:multiLevelType w:val="hybridMultilevel"/>
    <w:tmpl w:val="4A562B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774E3B32"/>
    <w:multiLevelType w:val="hybridMultilevel"/>
    <w:tmpl w:val="52644A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1"/>
  </w:num>
  <w:num w:numId="5">
    <w:abstractNumId w:val="4"/>
  </w:num>
  <w:num w:numId="6">
    <w:abstractNumId w:val="18"/>
  </w:num>
  <w:num w:numId="7">
    <w:abstractNumId w:val="3"/>
  </w:num>
  <w:num w:numId="8">
    <w:abstractNumId w:val="17"/>
  </w:num>
  <w:num w:numId="9">
    <w:abstractNumId w:val="6"/>
  </w:num>
  <w:num w:numId="10">
    <w:abstractNumId w:val="0"/>
  </w:num>
  <w:num w:numId="11">
    <w:abstractNumId w:val="9"/>
  </w:num>
  <w:num w:numId="12">
    <w:abstractNumId w:val="13"/>
  </w:num>
  <w:num w:numId="13">
    <w:abstractNumId w:val="15"/>
  </w:num>
  <w:num w:numId="14">
    <w:abstractNumId w:val="14"/>
  </w:num>
  <w:num w:numId="15">
    <w:abstractNumId w:val="5"/>
  </w:num>
  <w:num w:numId="16">
    <w:abstractNumId w:val="12"/>
  </w:num>
  <w:num w:numId="17">
    <w:abstractNumId w:val="16"/>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C3"/>
    <w:rsid w:val="00026FDC"/>
    <w:rsid w:val="00040700"/>
    <w:rsid w:val="000502AF"/>
    <w:rsid w:val="000739DB"/>
    <w:rsid w:val="00084F3B"/>
    <w:rsid w:val="00095324"/>
    <w:rsid w:val="00097720"/>
    <w:rsid w:val="000A4536"/>
    <w:rsid w:val="000F28EC"/>
    <w:rsid w:val="00113399"/>
    <w:rsid w:val="00115CFB"/>
    <w:rsid w:val="00195620"/>
    <w:rsid w:val="00210305"/>
    <w:rsid w:val="00211354"/>
    <w:rsid w:val="0029026D"/>
    <w:rsid w:val="002B5279"/>
    <w:rsid w:val="002B6D6F"/>
    <w:rsid w:val="002D1840"/>
    <w:rsid w:val="0030320D"/>
    <w:rsid w:val="003E1D81"/>
    <w:rsid w:val="004126CC"/>
    <w:rsid w:val="0044561D"/>
    <w:rsid w:val="00446274"/>
    <w:rsid w:val="00460939"/>
    <w:rsid w:val="00461836"/>
    <w:rsid w:val="00474795"/>
    <w:rsid w:val="00486D1E"/>
    <w:rsid w:val="004A0752"/>
    <w:rsid w:val="004A48D8"/>
    <w:rsid w:val="004B031E"/>
    <w:rsid w:val="004C4F16"/>
    <w:rsid w:val="004D077C"/>
    <w:rsid w:val="00581F00"/>
    <w:rsid w:val="005B12E0"/>
    <w:rsid w:val="005D77EA"/>
    <w:rsid w:val="005E22EC"/>
    <w:rsid w:val="00601430"/>
    <w:rsid w:val="0060547A"/>
    <w:rsid w:val="00622CC6"/>
    <w:rsid w:val="00650EFB"/>
    <w:rsid w:val="006750AB"/>
    <w:rsid w:val="0067736C"/>
    <w:rsid w:val="00691847"/>
    <w:rsid w:val="0069751D"/>
    <w:rsid w:val="006C4A02"/>
    <w:rsid w:val="006D148C"/>
    <w:rsid w:val="00741414"/>
    <w:rsid w:val="00754780"/>
    <w:rsid w:val="007C4073"/>
    <w:rsid w:val="007C72D9"/>
    <w:rsid w:val="007D0618"/>
    <w:rsid w:val="00836B66"/>
    <w:rsid w:val="00847E74"/>
    <w:rsid w:val="00874C53"/>
    <w:rsid w:val="00876DE9"/>
    <w:rsid w:val="00896DE2"/>
    <w:rsid w:val="008A451E"/>
    <w:rsid w:val="008C4937"/>
    <w:rsid w:val="008F0275"/>
    <w:rsid w:val="00911EAA"/>
    <w:rsid w:val="00912CC8"/>
    <w:rsid w:val="00926E9D"/>
    <w:rsid w:val="00951404"/>
    <w:rsid w:val="0097475F"/>
    <w:rsid w:val="0097769B"/>
    <w:rsid w:val="009C7801"/>
    <w:rsid w:val="009D2E80"/>
    <w:rsid w:val="009F0B13"/>
    <w:rsid w:val="00A06BAC"/>
    <w:rsid w:val="00A227A4"/>
    <w:rsid w:val="00A448F0"/>
    <w:rsid w:val="00A754AA"/>
    <w:rsid w:val="00AE09FB"/>
    <w:rsid w:val="00AF2322"/>
    <w:rsid w:val="00B028AF"/>
    <w:rsid w:val="00B66C87"/>
    <w:rsid w:val="00B66F90"/>
    <w:rsid w:val="00B91571"/>
    <w:rsid w:val="00BA7FA3"/>
    <w:rsid w:val="00BD4A4E"/>
    <w:rsid w:val="00C1129B"/>
    <w:rsid w:val="00C12074"/>
    <w:rsid w:val="00C762AA"/>
    <w:rsid w:val="00C8416F"/>
    <w:rsid w:val="00C85A3E"/>
    <w:rsid w:val="00C92E6B"/>
    <w:rsid w:val="00CD4E95"/>
    <w:rsid w:val="00CF16EB"/>
    <w:rsid w:val="00D2291A"/>
    <w:rsid w:val="00D4443E"/>
    <w:rsid w:val="00D72B4C"/>
    <w:rsid w:val="00E0075A"/>
    <w:rsid w:val="00E045A1"/>
    <w:rsid w:val="00E24E96"/>
    <w:rsid w:val="00E553F0"/>
    <w:rsid w:val="00F44C4D"/>
    <w:rsid w:val="00F62FF0"/>
    <w:rsid w:val="00F8748B"/>
    <w:rsid w:val="00F92E57"/>
    <w:rsid w:val="00FB0BFC"/>
    <w:rsid w:val="00FC10CF"/>
    <w:rsid w:val="00FD1082"/>
    <w:rsid w:val="00FF0677"/>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C103"/>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customStyle="1" w:styleId="UnresolvedMention">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4</cp:revision>
  <cp:lastPrinted>2020-09-29T21:20:00Z</cp:lastPrinted>
  <dcterms:created xsi:type="dcterms:W3CDTF">2020-10-02T20:08:00Z</dcterms:created>
  <dcterms:modified xsi:type="dcterms:W3CDTF">2020-11-05T16:15:00Z</dcterms:modified>
</cp:coreProperties>
</file>