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4F0EF" w14:textId="3C8C336B" w:rsidR="00D72B4C" w:rsidRDefault="006D148C" w:rsidP="003E1D81">
      <w:pPr>
        <w:spacing w:after="0" w:line="240" w:lineRule="auto"/>
        <w:jc w:val="right"/>
      </w:pPr>
      <w:bookmarkStart w:id="0" w:name="_Hlk17810078"/>
      <w:r>
        <w:t>R</w:t>
      </w:r>
      <w:r w:rsidR="00D72B4C">
        <w:t>EF</w:t>
      </w:r>
      <w:r w:rsidR="003E1D81">
        <w:t xml:space="preserve"> </w:t>
      </w:r>
      <w:r w:rsidR="00D72B4C">
        <w:t>UAIP-A00</w:t>
      </w:r>
      <w:r w:rsidR="002D4117">
        <w:t>21</w:t>
      </w:r>
      <w:r w:rsidR="00D72B4C">
        <w:t>-AMZ-20</w:t>
      </w:r>
      <w:r w:rsidR="00461836">
        <w:t>20</w:t>
      </w:r>
      <w:r w:rsidR="00D72B4C">
        <w:t xml:space="preserve">                                                                                                                                                                                               Resolución</w:t>
      </w:r>
    </w:p>
    <w:p w14:paraId="158BA4CB" w14:textId="145C9ACF"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2D4117">
        <w:t xml:space="preserve">quince </w:t>
      </w:r>
      <w:r w:rsidR="00F66D6F">
        <w:t>horas</w:t>
      </w:r>
      <w:r>
        <w:t xml:space="preserve"> con </w:t>
      </w:r>
      <w:r w:rsidR="002D4117">
        <w:t>tres minutos</w:t>
      </w:r>
      <w:r>
        <w:t xml:space="preserve"> del día</w:t>
      </w:r>
      <w:r w:rsidR="00876DE9">
        <w:t xml:space="preserve"> </w:t>
      </w:r>
      <w:r w:rsidR="002D4117">
        <w:t>diecisiete</w:t>
      </w:r>
      <w:r w:rsidR="004A6F03">
        <w:t xml:space="preserve"> de</w:t>
      </w:r>
      <w:r>
        <w:t xml:space="preserve"> </w:t>
      </w:r>
      <w:r w:rsidR="00C622C0">
        <w:t>agosto</w:t>
      </w:r>
      <w:r>
        <w:t xml:space="preserve"> del año dos mil </w:t>
      </w:r>
      <w:r w:rsidR="00461836">
        <w:t>veinte</w:t>
      </w:r>
      <w:r>
        <w:t xml:space="preserve">. </w:t>
      </w:r>
    </w:p>
    <w:p w14:paraId="293DBA6B" w14:textId="77777777" w:rsidR="00FF45C3" w:rsidRDefault="00FF45C3" w:rsidP="00FF45C3">
      <w:pPr>
        <w:jc w:val="both"/>
      </w:pPr>
      <w:r>
        <w:t>l. CONSIDERANDOS:</w:t>
      </w:r>
    </w:p>
    <w:p w14:paraId="40256DF8" w14:textId="6189505E" w:rsidR="00B66C87" w:rsidRDefault="00FF45C3" w:rsidP="00FF45C3">
      <w:pPr>
        <w:jc w:val="both"/>
      </w:pPr>
      <w:r>
        <w:t xml:space="preserve"> A las </w:t>
      </w:r>
      <w:r w:rsidR="002D4117">
        <w:t>trece horas</w:t>
      </w:r>
      <w:r>
        <w:t xml:space="preserve"> con </w:t>
      </w:r>
      <w:r w:rsidR="002D4117">
        <w:t>cincuenta y seis</w:t>
      </w:r>
      <w:r w:rsidR="00F66D6F">
        <w:t xml:space="preserve"> </w:t>
      </w:r>
      <w:r w:rsidR="00745EBA">
        <w:t>minutos</w:t>
      </w:r>
      <w:r>
        <w:t>, del día</w:t>
      </w:r>
      <w:r w:rsidR="00B66C87">
        <w:t xml:space="preserve"> </w:t>
      </w:r>
      <w:r w:rsidR="002D4117">
        <w:t>once de agosto</w:t>
      </w:r>
      <w:r w:rsidR="00E0075A">
        <w:t xml:space="preserve"> de</w:t>
      </w:r>
      <w:r w:rsidR="00461836">
        <w:t>l</w:t>
      </w:r>
      <w:r w:rsidR="00B66C87">
        <w:t xml:space="preserve"> presente año</w:t>
      </w:r>
      <w:r>
        <w:t xml:space="preserve">, se recibió Solicitud de Acceso de </w:t>
      </w:r>
      <w:r w:rsidR="00B66C87">
        <w:t>Información,</w:t>
      </w:r>
      <w:r>
        <w:t xml:space="preserve"> por</w:t>
      </w:r>
      <w:r w:rsidR="00E0075A">
        <w:t xml:space="preserve"> </w:t>
      </w:r>
      <w:r w:rsidR="002D4117">
        <w:t>el ciudadano</w:t>
      </w:r>
      <w:r w:rsidR="00C622C0">
        <w:t xml:space="preserve"> </w:t>
      </w:r>
      <w:r w:rsidR="00BB7193">
        <w:t>-----------------------------------------------</w:t>
      </w:r>
      <w:r w:rsidR="002D4117">
        <w:t xml:space="preserve">, </w:t>
      </w:r>
      <w:r w:rsidR="00BB7193">
        <w:t>---------------------</w:t>
      </w:r>
      <w:r w:rsidR="002D4117">
        <w:t>, del</w:t>
      </w:r>
      <w:r>
        <w:t xml:space="preserve"> domicilio de</w:t>
      </w:r>
      <w:r w:rsidR="002B68DA">
        <w:t xml:space="preserve"> </w:t>
      </w:r>
      <w:r w:rsidR="00BB7193">
        <w:t>-----------------------------------</w:t>
      </w:r>
      <w:r w:rsidR="001F6309">
        <w:t>,</w:t>
      </w:r>
      <w:r>
        <w:t xml:space="preserve"> Departamento de</w:t>
      </w:r>
      <w:r w:rsidR="002B68DA">
        <w:t xml:space="preserve"> </w:t>
      </w:r>
      <w:r w:rsidR="00BB7193">
        <w:t>-----------------------------------------</w:t>
      </w:r>
      <w:r w:rsidR="00D20408">
        <w:t>,</w:t>
      </w:r>
      <w:r>
        <w:t xml:space="preserve"> portador de su Documento Único de Identidad </w:t>
      </w:r>
      <w:r w:rsidR="00B66C87">
        <w:t xml:space="preserve">número </w:t>
      </w:r>
      <w:r w:rsidR="00BB7193">
        <w:t>-----------------------------------</w:t>
      </w:r>
      <w:r w:rsidR="002D4117">
        <w:t xml:space="preserve">, </w:t>
      </w:r>
      <w:r>
        <w:t xml:space="preserve">quien actúa en su calidad </w:t>
      </w:r>
      <w:r w:rsidR="003E1D81">
        <w:t>de persona natural</w:t>
      </w:r>
      <w:r>
        <w:t>; solicitando la información que se detalla a continuación:</w:t>
      </w:r>
    </w:p>
    <w:p w14:paraId="2393D980" w14:textId="6EE65F41" w:rsidR="002B68DA" w:rsidRDefault="002D4117" w:rsidP="002D4117">
      <w:pPr>
        <w:pStyle w:val="Prrafodelista"/>
        <w:numPr>
          <w:ilvl w:val="0"/>
          <w:numId w:val="26"/>
        </w:numPr>
        <w:jc w:val="both"/>
      </w:pPr>
      <w:r>
        <w:t>Acuerdo de Concejo Municipal de compra de terreno para cementerio Municipal de Zaragoza.</w:t>
      </w:r>
    </w:p>
    <w:p w14:paraId="16E12A91" w14:textId="5763A816" w:rsidR="002D4117" w:rsidRDefault="002D4117" w:rsidP="002D4117">
      <w:pPr>
        <w:pStyle w:val="Prrafodelista"/>
        <w:numPr>
          <w:ilvl w:val="0"/>
          <w:numId w:val="26"/>
        </w:numPr>
        <w:jc w:val="both"/>
      </w:pPr>
      <w:r>
        <w:t>Ubicación y costo</w:t>
      </w:r>
    </w:p>
    <w:p w14:paraId="25342BCF" w14:textId="59EA30FA" w:rsidR="002D4117" w:rsidRDefault="002D4117" w:rsidP="002D4117">
      <w:pPr>
        <w:pStyle w:val="Prrafodelista"/>
        <w:numPr>
          <w:ilvl w:val="0"/>
          <w:numId w:val="26"/>
        </w:numPr>
        <w:jc w:val="both"/>
      </w:pPr>
      <w:r>
        <w:t>Copia de la Compraventa</w:t>
      </w:r>
    </w:p>
    <w:p w14:paraId="6B4480FA" w14:textId="1ED4DDFA" w:rsidR="007C72D9" w:rsidRDefault="00FF45C3" w:rsidP="00210305">
      <w:pPr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14:paraId="3E14F9F2" w14:textId="77777777" w:rsidR="00FF45C3" w:rsidRDefault="00FF45C3" w:rsidP="007C72D9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14:paraId="45C58DF5" w14:textId="77777777"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14:paraId="46E3D010" w14:textId="77777777" w:rsidR="00FF45C3" w:rsidRDefault="00FF45C3" w:rsidP="00FF45C3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</w:t>
      </w:r>
      <w:proofErr w:type="spellStart"/>
      <w:r>
        <w:t>Cn</w:t>
      </w:r>
      <w:proofErr w:type="spellEnd"/>
      <w:r>
        <w:t xml:space="preserve">.) que tiene como presupuesto el derecho de investigar o buscar y recibir informaciones de toda índole, pública o privada, que tengan interés público, y en el Principio Democrático del Estado de Derecho -de la República como forma de Estado- (Art. 85 </w:t>
      </w:r>
      <w:proofErr w:type="spellStart"/>
      <w:r>
        <w:t>Cn</w:t>
      </w:r>
      <w:proofErr w:type="spellEnd"/>
      <w:r>
        <w:t xml:space="preserve">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</w:t>
      </w:r>
      <w:proofErr w:type="spellStart"/>
      <w:r>
        <w:t>lnc</w:t>
      </w:r>
      <w:proofErr w:type="spellEnd"/>
      <w:r>
        <w:t xml:space="preserve">. 13-2011, del 5/12/2012; </w:t>
      </w:r>
      <w:proofErr w:type="spellStart"/>
      <w:r>
        <w:t>lnc</w:t>
      </w:r>
      <w:proofErr w:type="spellEnd"/>
      <w:r>
        <w:t xml:space="preserve">. 1-2010, del 25/8/2010; </w:t>
      </w:r>
      <w:proofErr w:type="spellStart"/>
      <w:r>
        <w:t>lnc</w:t>
      </w:r>
      <w:proofErr w:type="spellEnd"/>
      <w:r>
        <w:t xml:space="preserve">. 91-2007, del 24/9/2010.) </w:t>
      </w:r>
    </w:p>
    <w:p w14:paraId="2CB1CA68" w14:textId="77777777" w:rsidR="00FF45C3" w:rsidRDefault="00FF45C3" w:rsidP="00FF45C3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</w:t>
      </w:r>
      <w:r>
        <w:lastRenderedPageBreak/>
        <w:t xml:space="preserve">donde el ejercicio del poder de las instituciones del estado, estén sujetas a la divulgación público, y los funcionarios actúen bajo un régimen de transparencia. </w:t>
      </w:r>
    </w:p>
    <w:p w14:paraId="3BAED465" w14:textId="0865CB8C"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t>III</w:t>
      </w:r>
      <w:r w:rsidR="002D4117">
        <w:rPr>
          <w:b/>
          <w:bCs/>
        </w:rPr>
        <w:t xml:space="preserve"> </w:t>
      </w:r>
      <w:r w:rsidRPr="00446274">
        <w:rPr>
          <w:b/>
          <w:bCs/>
        </w:rPr>
        <w:t>PROCEDIMIENTO DE ACCESO</w:t>
      </w:r>
    </w:p>
    <w:p w14:paraId="3D16EDA6" w14:textId="4ED83D20" w:rsidR="00C1129B" w:rsidRDefault="00CF16EB" w:rsidP="004C4F16">
      <w:pPr>
        <w:jc w:val="both"/>
      </w:pPr>
      <w:r w:rsidRPr="00CF16EB"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</w:t>
      </w:r>
      <w:r w:rsidR="00F66D6F" w:rsidRPr="00CF16EB">
        <w:t>con el objeto de que</w:t>
      </w:r>
      <w:r w:rsidRPr="00CF16EB">
        <w:t xml:space="preserve"> la localice, verifique su clasificación y comunique la manera en la que la tiene disponible</w:t>
      </w:r>
      <w:r w:rsidR="006D148C">
        <w:t xml:space="preserve">  </w:t>
      </w:r>
    </w:p>
    <w:p w14:paraId="4FFE74BE" w14:textId="4CC1E193" w:rsidR="00210305" w:rsidRDefault="00C1129B" w:rsidP="000D63FE">
      <w:pPr>
        <w:jc w:val="both"/>
      </w:pPr>
      <w:r>
        <w:t xml:space="preserve">Realizando </w:t>
      </w:r>
      <w:r w:rsidR="00D15F85">
        <w:t>el requerimiento</w:t>
      </w:r>
      <w:r w:rsidR="004C4F16">
        <w:t xml:space="preserve"> de información a la </w:t>
      </w:r>
      <w:r w:rsidR="00D15F85">
        <w:t>Secretaria Municipal</w:t>
      </w:r>
      <w:r w:rsidR="000D63FE">
        <w:t xml:space="preserve"> consistente en:</w:t>
      </w:r>
    </w:p>
    <w:p w14:paraId="42CF6BA8" w14:textId="77777777" w:rsidR="00D15F85" w:rsidRDefault="00D15F85" w:rsidP="00D15F85">
      <w:pPr>
        <w:pStyle w:val="Prrafodelista"/>
        <w:numPr>
          <w:ilvl w:val="0"/>
          <w:numId w:val="28"/>
        </w:numPr>
        <w:jc w:val="both"/>
      </w:pPr>
      <w:r>
        <w:t>Acuerdo de Concejo Municipal de compra de terreno para cementerio Municipal de Zaragoza.</w:t>
      </w:r>
    </w:p>
    <w:p w14:paraId="2A61E1E7" w14:textId="77777777" w:rsidR="00D15F85" w:rsidRDefault="00D15F85" w:rsidP="00D15F85">
      <w:pPr>
        <w:pStyle w:val="Prrafodelista"/>
        <w:numPr>
          <w:ilvl w:val="0"/>
          <w:numId w:val="28"/>
        </w:numPr>
        <w:jc w:val="both"/>
      </w:pPr>
      <w:r>
        <w:t>Ubicación y costo</w:t>
      </w:r>
    </w:p>
    <w:p w14:paraId="44F7A9EE" w14:textId="306B88C3" w:rsidR="00D15F85" w:rsidRDefault="00D15F85" w:rsidP="000D63FE">
      <w:pPr>
        <w:pStyle w:val="Prrafodelista"/>
        <w:numPr>
          <w:ilvl w:val="0"/>
          <w:numId w:val="28"/>
        </w:numPr>
        <w:jc w:val="both"/>
      </w:pPr>
      <w:r>
        <w:t>Copia de la Compraventa</w:t>
      </w:r>
    </w:p>
    <w:p w14:paraId="601162E8" w14:textId="77777777" w:rsidR="00D15F85" w:rsidRDefault="000D63FE" w:rsidP="00D15F85">
      <w:pPr>
        <w:jc w:val="both"/>
      </w:pPr>
      <w:r>
        <w:t xml:space="preserve">Que en </w:t>
      </w:r>
      <w:r w:rsidR="00252261">
        <w:t>respuesta al</w:t>
      </w:r>
      <w:r>
        <w:t xml:space="preserve"> requerimiento realizado por esta Oficialía para dar </w:t>
      </w:r>
      <w:r w:rsidR="00D15F85">
        <w:t>respuesta a solicitud UAIP-A0021</w:t>
      </w:r>
      <w:r w:rsidR="00252261">
        <w:t>-AMZ-2020</w:t>
      </w:r>
      <w:r>
        <w:t>,</w:t>
      </w:r>
      <w:r w:rsidR="002B68DA">
        <w:t xml:space="preserve"> </w:t>
      </w:r>
    </w:p>
    <w:p w14:paraId="4885AC84" w14:textId="71EAFA29" w:rsidR="00D15F85" w:rsidRDefault="00D15F85" w:rsidP="00D15F85">
      <w:pPr>
        <w:spacing w:after="0" w:line="240" w:lineRule="auto"/>
        <w:jc w:val="both"/>
      </w:pPr>
      <w:r>
        <w:t>1. Acuerdo de Concejo Municipal de compra de terreno para cementerio Municipal de Zaragoza.</w:t>
      </w:r>
    </w:p>
    <w:p w14:paraId="4B38219D" w14:textId="67314805" w:rsidR="00D15F85" w:rsidRDefault="00D15F85" w:rsidP="00D15F85">
      <w:pPr>
        <w:spacing w:after="0" w:line="240" w:lineRule="auto"/>
        <w:jc w:val="both"/>
      </w:pPr>
      <w:r>
        <w:t>2. Ubicación y costo</w:t>
      </w:r>
    </w:p>
    <w:p w14:paraId="6FD1767C" w14:textId="1612FFC6" w:rsidR="00951404" w:rsidRDefault="00D15F85" w:rsidP="00D15F85">
      <w:pPr>
        <w:spacing w:after="0" w:line="240" w:lineRule="auto"/>
        <w:jc w:val="both"/>
      </w:pPr>
      <w:r>
        <w:t>3.Copia de la Compraventa</w:t>
      </w:r>
    </w:p>
    <w:p w14:paraId="14736AFA" w14:textId="4EC6C4A0" w:rsidR="00A01712" w:rsidRDefault="00D15F85" w:rsidP="000D63FE">
      <w:pPr>
        <w:jc w:val="both"/>
      </w:pPr>
      <w:r>
        <w:t xml:space="preserve">Esta Secretaria Municipal hace de su conocimiento que no se tiene un acuerdo de compra de terreno para cementerio Municipal, </w:t>
      </w:r>
      <w:r w:rsidR="00E34846">
        <w:t xml:space="preserve">Tampoco existe testimonio de compraventa acerca del inmueble por no haberse ejecutado la misma a la fecha, </w:t>
      </w:r>
      <w:r>
        <w:t xml:space="preserve">debido a que estamos siguiendo al pie de la letra los procesos correspondientes con los diferentes ministerios y aún se está en la espera de los tramites restantes; sin embargo, existe un acuerdo de priorización de dicho proyecto al cual adjuntamos a la presente. </w:t>
      </w:r>
    </w:p>
    <w:p w14:paraId="55A31F2C" w14:textId="390135C3" w:rsidR="00E348DC" w:rsidRDefault="00E348DC" w:rsidP="00E348DC">
      <w:pPr>
        <w:spacing w:after="0"/>
        <w:jc w:val="both"/>
      </w:pPr>
      <w:r>
        <w:t xml:space="preserve">Por lo anteriormente expresado, la suscrita oficial de información manifiesta que la información que requiere el solicitante es información </w:t>
      </w:r>
      <w:r w:rsidRPr="00E348DC">
        <w:rPr>
          <w:b/>
        </w:rPr>
        <w:t>inexistente d</w:t>
      </w:r>
      <w:r>
        <w:t>e conformidad al art. 73 de la LAIP, debido a que no se han generado acuerdo de Concejo Municipal para la compra de terreno para Cementerio Municipal; así mismo no existe ninguna compraventa realizada hasta la fecha.</w:t>
      </w:r>
    </w:p>
    <w:p w14:paraId="314E9CA7" w14:textId="66240EEE" w:rsidR="000E2291" w:rsidRDefault="000E2291" w:rsidP="000D63FE">
      <w:pPr>
        <w:jc w:val="both"/>
      </w:pPr>
      <w:r>
        <w:t xml:space="preserve"> </w:t>
      </w:r>
    </w:p>
    <w:p w14:paraId="51BB6E9A" w14:textId="77777777" w:rsidR="00A227A4" w:rsidRPr="00A227A4" w:rsidRDefault="00B66F90" w:rsidP="00A227A4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>, de conformidad a los artículos 65, 66, 69, 70, 71, 72</w:t>
      </w:r>
      <w:r w:rsidR="00A227A4" w:rsidRPr="00A227A4">
        <w:rPr>
          <w:rFonts w:cstheme="minorHAnsi"/>
        </w:rPr>
        <w:t>,</w:t>
      </w:r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RESUELVE</w:t>
      </w:r>
    </w:p>
    <w:p w14:paraId="1E8EF804" w14:textId="77777777" w:rsidR="00A227A4" w:rsidRDefault="00A227A4" w:rsidP="00A227A4">
      <w:pPr>
        <w:spacing w:line="240" w:lineRule="auto"/>
        <w:jc w:val="both"/>
      </w:pPr>
      <w:r>
        <w:t>IV.RESOLUCION</w:t>
      </w:r>
    </w:p>
    <w:p w14:paraId="6DCD84C5" w14:textId="50FE0EA5" w:rsidR="00581F00" w:rsidRDefault="00C12074" w:rsidP="006D148C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14:paraId="16946B9B" w14:textId="7B391BC7" w:rsidR="00E348DC" w:rsidRDefault="00E348DC" w:rsidP="00E348DC">
      <w:pPr>
        <w:pStyle w:val="Prrafodelista"/>
        <w:numPr>
          <w:ilvl w:val="0"/>
          <w:numId w:val="11"/>
        </w:numPr>
        <w:spacing w:line="240" w:lineRule="auto"/>
        <w:jc w:val="both"/>
      </w:pPr>
      <w:r>
        <w:lastRenderedPageBreak/>
        <w:t>Se declara la inexistencia de la información solicitada</w:t>
      </w:r>
    </w:p>
    <w:p w14:paraId="192E5CFF" w14:textId="7007D8E2" w:rsidR="00C12074" w:rsidRDefault="00C12074" w:rsidP="001F6309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14:paraId="22B265C6" w14:textId="77777777" w:rsidR="005B12E0" w:rsidRDefault="005B12E0" w:rsidP="005B12E0">
      <w:pPr>
        <w:pStyle w:val="Prrafodelista"/>
      </w:pPr>
    </w:p>
    <w:p w14:paraId="30F72D2E" w14:textId="77777777" w:rsidR="005B12E0" w:rsidRDefault="00C12074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 </w:t>
      </w:r>
      <w:r w:rsidR="005B12E0" w:rsidRPr="00C12074">
        <w:t>Archívese el expediente administrativo.</w:t>
      </w:r>
    </w:p>
    <w:p w14:paraId="158D05CB" w14:textId="77777777" w:rsidR="007C72D9" w:rsidRDefault="007C72D9" w:rsidP="007C72D9">
      <w:pPr>
        <w:spacing w:line="240" w:lineRule="auto"/>
        <w:jc w:val="both"/>
      </w:pPr>
    </w:p>
    <w:p w14:paraId="5E240C8B" w14:textId="77777777" w:rsidR="00601430" w:rsidRDefault="00601430" w:rsidP="007C72D9">
      <w:pPr>
        <w:spacing w:line="240" w:lineRule="auto"/>
        <w:jc w:val="both"/>
      </w:pPr>
    </w:p>
    <w:p w14:paraId="28021B7F" w14:textId="77777777" w:rsidR="00601430" w:rsidRDefault="00601430" w:rsidP="007C72D9">
      <w:pPr>
        <w:spacing w:line="240" w:lineRule="auto"/>
        <w:jc w:val="both"/>
      </w:pPr>
    </w:p>
    <w:p w14:paraId="73E5994C" w14:textId="77777777" w:rsidR="00084F3B" w:rsidRDefault="00084F3B" w:rsidP="00084F3B">
      <w:pPr>
        <w:spacing w:after="0"/>
        <w:jc w:val="center"/>
      </w:pPr>
      <w:r>
        <w:t>Trinidad Guardado</w:t>
      </w:r>
    </w:p>
    <w:p w14:paraId="4A36E15C" w14:textId="4AC2DADC" w:rsidR="00084F3B" w:rsidRDefault="00084F3B" w:rsidP="00084F3B">
      <w:pPr>
        <w:spacing w:after="0"/>
        <w:jc w:val="center"/>
      </w:pPr>
      <w:r>
        <w:t>Oficial de Información</w:t>
      </w:r>
      <w:bookmarkEnd w:id="0"/>
    </w:p>
    <w:p w14:paraId="3053172B" w14:textId="7EACA003" w:rsidR="00C96DB3" w:rsidRDefault="00C96DB3" w:rsidP="00084F3B">
      <w:pPr>
        <w:spacing w:after="0"/>
        <w:jc w:val="center"/>
      </w:pPr>
    </w:p>
    <w:p w14:paraId="3F8399A9" w14:textId="36AACAED" w:rsidR="00C96DB3" w:rsidRDefault="00C96DB3" w:rsidP="00084F3B">
      <w:pPr>
        <w:spacing w:after="0"/>
        <w:jc w:val="center"/>
      </w:pPr>
    </w:p>
    <w:p w14:paraId="5137BA77" w14:textId="61F9554C" w:rsidR="00C96DB3" w:rsidRDefault="00C96DB3" w:rsidP="00084F3B">
      <w:pPr>
        <w:spacing w:after="0"/>
        <w:jc w:val="center"/>
      </w:pPr>
    </w:p>
    <w:p w14:paraId="354A3E4B" w14:textId="7C449C7B" w:rsidR="00C96DB3" w:rsidRDefault="00C96DB3" w:rsidP="00084F3B">
      <w:pPr>
        <w:spacing w:after="0"/>
        <w:jc w:val="center"/>
      </w:pPr>
    </w:p>
    <w:p w14:paraId="2D9ACBB5" w14:textId="77777777" w:rsidR="001C1D58" w:rsidRDefault="001C1D58" w:rsidP="001C1D58">
      <w:pPr>
        <w:spacing w:after="0"/>
        <w:jc w:val="both"/>
      </w:pPr>
      <w:r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</w:t>
      </w:r>
    </w:p>
    <w:p w14:paraId="6F3427B2" w14:textId="3EE3D22C" w:rsidR="00C96DB3" w:rsidRDefault="00C96DB3" w:rsidP="00084F3B">
      <w:pPr>
        <w:spacing w:after="0"/>
        <w:jc w:val="center"/>
      </w:pPr>
      <w:bookmarkStart w:id="1" w:name="_GoBack"/>
      <w:bookmarkEnd w:id="1"/>
    </w:p>
    <w:p w14:paraId="4502BB39" w14:textId="01FD8D7F" w:rsidR="00C96DB3" w:rsidRDefault="001C1D58" w:rsidP="001C1D58">
      <w:pPr>
        <w:tabs>
          <w:tab w:val="left" w:pos="780"/>
        </w:tabs>
        <w:spacing w:after="0"/>
      </w:pPr>
      <w:r>
        <w:tab/>
      </w:r>
    </w:p>
    <w:p w14:paraId="58DE7D6A" w14:textId="77777777" w:rsidR="00C96DB3" w:rsidRDefault="00C96DB3" w:rsidP="00084F3B">
      <w:pPr>
        <w:spacing w:after="0"/>
        <w:jc w:val="center"/>
      </w:pPr>
    </w:p>
    <w:p w14:paraId="1218ADBF" w14:textId="57CE2E30" w:rsidR="002908E8" w:rsidRDefault="002908E8" w:rsidP="00084F3B">
      <w:pPr>
        <w:spacing w:after="0"/>
        <w:jc w:val="center"/>
      </w:pPr>
    </w:p>
    <w:p w14:paraId="474E71A3" w14:textId="77777777" w:rsidR="002908E8" w:rsidRDefault="002908E8" w:rsidP="00084F3B">
      <w:pPr>
        <w:spacing w:after="0"/>
        <w:jc w:val="center"/>
      </w:pPr>
    </w:p>
    <w:sectPr w:rsidR="002908E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35BE9" w14:textId="77777777" w:rsidR="00572BF4" w:rsidRDefault="00572BF4" w:rsidP="00FF45C3">
      <w:pPr>
        <w:spacing w:after="0" w:line="240" w:lineRule="auto"/>
      </w:pPr>
      <w:r>
        <w:separator/>
      </w:r>
    </w:p>
  </w:endnote>
  <w:endnote w:type="continuationSeparator" w:id="0">
    <w:p w14:paraId="2F9E7CA6" w14:textId="77777777" w:rsidR="00572BF4" w:rsidRDefault="00572BF4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CBCFC" w14:textId="77777777" w:rsidR="00572BF4" w:rsidRDefault="00572BF4" w:rsidP="00FF45C3">
      <w:pPr>
        <w:spacing w:after="0" w:line="240" w:lineRule="auto"/>
      </w:pPr>
      <w:r>
        <w:separator/>
      </w:r>
    </w:p>
  </w:footnote>
  <w:footnote w:type="continuationSeparator" w:id="0">
    <w:p w14:paraId="02DF1A05" w14:textId="77777777" w:rsidR="00572BF4" w:rsidRDefault="00572BF4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E1D09" w14:textId="77777777"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2" w:name="_Hlk513537261"/>
    <w:bookmarkStart w:id="3" w:name="_Hlk513537262"/>
    <w:bookmarkStart w:id="4" w:name="_Hlk513537263"/>
    <w:bookmarkStart w:id="5" w:name="_Hlk513537264"/>
    <w:bookmarkStart w:id="6" w:name="_Hlk535929979"/>
    <w:bookmarkStart w:id="7" w:name="_Hlk535929980"/>
    <w:bookmarkStart w:id="8" w:name="_Hlk535929981"/>
    <w:bookmarkStart w:id="9" w:name="_Hlk535929982"/>
    <w:bookmarkStart w:id="10" w:name="_Hlk535929984"/>
    <w:bookmarkStart w:id="11" w:name="_Hlk535929985"/>
    <w:bookmarkStart w:id="12" w:name="_Hlk535930058"/>
    <w:bookmarkStart w:id="13" w:name="_Hlk535930059"/>
    <w:bookmarkStart w:id="14" w:name="_Hlk535930060"/>
    <w:bookmarkStart w:id="15" w:name="_Hlk535930061"/>
    <w:r w:rsidRPr="00FF45C3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65D30903" wp14:editId="6C0D9C0B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612837AC" wp14:editId="5EECAE0E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0CC8E41" w14:textId="77777777"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14:paraId="027A1EFF" w14:textId="77777777"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14:paraId="2203C5C6" w14:textId="77777777"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5C70C0F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14:paraId="40265EBC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DE307E" wp14:editId="3EF730B5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938"/>
    <w:multiLevelType w:val="hybridMultilevel"/>
    <w:tmpl w:val="78B401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0B6D7B53"/>
    <w:multiLevelType w:val="hybridMultilevel"/>
    <w:tmpl w:val="C2549BC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797CA4"/>
    <w:multiLevelType w:val="hybridMultilevel"/>
    <w:tmpl w:val="006446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00E5"/>
    <w:multiLevelType w:val="hybridMultilevel"/>
    <w:tmpl w:val="0F72F7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51B7B"/>
    <w:multiLevelType w:val="hybridMultilevel"/>
    <w:tmpl w:val="E8081F2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53D78"/>
    <w:multiLevelType w:val="hybridMultilevel"/>
    <w:tmpl w:val="0D9A3220"/>
    <w:lvl w:ilvl="0" w:tplc="440A000D">
      <w:start w:val="1"/>
      <w:numFmt w:val="bullet"/>
      <w:lvlText w:val=""/>
      <w:lvlJc w:val="left"/>
      <w:pPr>
        <w:ind w:left="141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0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A5C42"/>
    <w:multiLevelType w:val="hybridMultilevel"/>
    <w:tmpl w:val="13F2AB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FE375E9"/>
    <w:multiLevelType w:val="hybridMultilevel"/>
    <w:tmpl w:val="8D2AE9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05E35"/>
    <w:multiLevelType w:val="hybridMultilevel"/>
    <w:tmpl w:val="C2549BC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7E4460"/>
    <w:multiLevelType w:val="hybridMultilevel"/>
    <w:tmpl w:val="31969F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A6CA7"/>
    <w:multiLevelType w:val="hybridMultilevel"/>
    <w:tmpl w:val="1628722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70A07"/>
    <w:multiLevelType w:val="hybridMultilevel"/>
    <w:tmpl w:val="C060D0FA"/>
    <w:lvl w:ilvl="0" w:tplc="D9588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332755"/>
    <w:multiLevelType w:val="hybridMultilevel"/>
    <w:tmpl w:val="62B06A06"/>
    <w:lvl w:ilvl="0" w:tplc="440A0017">
      <w:start w:val="1"/>
      <w:numFmt w:val="lowerLetter"/>
      <w:lvlText w:val="%1)"/>
      <w:lvlJc w:val="left"/>
      <w:pPr>
        <w:ind w:left="1778" w:hanging="360"/>
      </w:pPr>
    </w:lvl>
    <w:lvl w:ilvl="1" w:tplc="440A0019" w:tentative="1">
      <w:start w:val="1"/>
      <w:numFmt w:val="lowerLetter"/>
      <w:lvlText w:val="%2."/>
      <w:lvlJc w:val="left"/>
      <w:pPr>
        <w:ind w:left="2498" w:hanging="360"/>
      </w:pPr>
    </w:lvl>
    <w:lvl w:ilvl="2" w:tplc="440A001B" w:tentative="1">
      <w:start w:val="1"/>
      <w:numFmt w:val="lowerRoman"/>
      <w:lvlText w:val="%3."/>
      <w:lvlJc w:val="right"/>
      <w:pPr>
        <w:ind w:left="3218" w:hanging="180"/>
      </w:pPr>
    </w:lvl>
    <w:lvl w:ilvl="3" w:tplc="440A000F" w:tentative="1">
      <w:start w:val="1"/>
      <w:numFmt w:val="decimal"/>
      <w:lvlText w:val="%4."/>
      <w:lvlJc w:val="left"/>
      <w:pPr>
        <w:ind w:left="3938" w:hanging="360"/>
      </w:pPr>
    </w:lvl>
    <w:lvl w:ilvl="4" w:tplc="440A0019" w:tentative="1">
      <w:start w:val="1"/>
      <w:numFmt w:val="lowerLetter"/>
      <w:lvlText w:val="%5."/>
      <w:lvlJc w:val="left"/>
      <w:pPr>
        <w:ind w:left="4658" w:hanging="360"/>
      </w:pPr>
    </w:lvl>
    <w:lvl w:ilvl="5" w:tplc="440A001B" w:tentative="1">
      <w:start w:val="1"/>
      <w:numFmt w:val="lowerRoman"/>
      <w:lvlText w:val="%6."/>
      <w:lvlJc w:val="right"/>
      <w:pPr>
        <w:ind w:left="5378" w:hanging="180"/>
      </w:pPr>
    </w:lvl>
    <w:lvl w:ilvl="6" w:tplc="440A000F" w:tentative="1">
      <w:start w:val="1"/>
      <w:numFmt w:val="decimal"/>
      <w:lvlText w:val="%7."/>
      <w:lvlJc w:val="left"/>
      <w:pPr>
        <w:ind w:left="6098" w:hanging="360"/>
      </w:pPr>
    </w:lvl>
    <w:lvl w:ilvl="7" w:tplc="440A0019" w:tentative="1">
      <w:start w:val="1"/>
      <w:numFmt w:val="lowerLetter"/>
      <w:lvlText w:val="%8."/>
      <w:lvlJc w:val="left"/>
      <w:pPr>
        <w:ind w:left="6818" w:hanging="360"/>
      </w:pPr>
    </w:lvl>
    <w:lvl w:ilvl="8" w:tplc="4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375434F"/>
    <w:multiLevelType w:val="hybridMultilevel"/>
    <w:tmpl w:val="8D2AE9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E2962"/>
    <w:multiLevelType w:val="hybridMultilevel"/>
    <w:tmpl w:val="8D2AE9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361AC"/>
    <w:multiLevelType w:val="hybridMultilevel"/>
    <w:tmpl w:val="C2549BC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86DF5"/>
    <w:multiLevelType w:val="hybridMultilevel"/>
    <w:tmpl w:val="4A562B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8"/>
  </w:num>
  <w:num w:numId="5">
    <w:abstractNumId w:val="7"/>
  </w:num>
  <w:num w:numId="6">
    <w:abstractNumId w:val="27"/>
  </w:num>
  <w:num w:numId="7">
    <w:abstractNumId w:val="6"/>
  </w:num>
  <w:num w:numId="8">
    <w:abstractNumId w:val="26"/>
  </w:num>
  <w:num w:numId="9">
    <w:abstractNumId w:val="10"/>
  </w:num>
  <w:num w:numId="10">
    <w:abstractNumId w:val="1"/>
  </w:num>
  <w:num w:numId="11">
    <w:abstractNumId w:val="12"/>
  </w:num>
  <w:num w:numId="12">
    <w:abstractNumId w:val="24"/>
  </w:num>
  <w:num w:numId="13">
    <w:abstractNumId w:val="25"/>
  </w:num>
  <w:num w:numId="14">
    <w:abstractNumId w:val="17"/>
  </w:num>
  <w:num w:numId="15">
    <w:abstractNumId w:val="11"/>
  </w:num>
  <w:num w:numId="16">
    <w:abstractNumId w:val="4"/>
  </w:num>
  <w:num w:numId="17">
    <w:abstractNumId w:val="14"/>
  </w:num>
  <w:num w:numId="18">
    <w:abstractNumId w:val="21"/>
  </w:num>
  <w:num w:numId="19">
    <w:abstractNumId w:val="22"/>
  </w:num>
  <w:num w:numId="20">
    <w:abstractNumId w:val="0"/>
  </w:num>
  <w:num w:numId="21">
    <w:abstractNumId w:val="9"/>
  </w:num>
  <w:num w:numId="22">
    <w:abstractNumId w:val="20"/>
  </w:num>
  <w:num w:numId="23">
    <w:abstractNumId w:val="8"/>
  </w:num>
  <w:num w:numId="24">
    <w:abstractNumId w:val="16"/>
  </w:num>
  <w:num w:numId="25">
    <w:abstractNumId w:val="19"/>
  </w:num>
  <w:num w:numId="26">
    <w:abstractNumId w:val="2"/>
  </w:num>
  <w:num w:numId="27">
    <w:abstractNumId w:val="2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C3"/>
    <w:rsid w:val="00026FDC"/>
    <w:rsid w:val="00084F3B"/>
    <w:rsid w:val="000D63FE"/>
    <w:rsid w:val="000E2291"/>
    <w:rsid w:val="00134628"/>
    <w:rsid w:val="001A5346"/>
    <w:rsid w:val="001C1D58"/>
    <w:rsid w:val="001F6309"/>
    <w:rsid w:val="00210305"/>
    <w:rsid w:val="00211354"/>
    <w:rsid w:val="00252261"/>
    <w:rsid w:val="0029026D"/>
    <w:rsid w:val="002908E8"/>
    <w:rsid w:val="002B68DA"/>
    <w:rsid w:val="002B6D6F"/>
    <w:rsid w:val="002D1840"/>
    <w:rsid w:val="002D4117"/>
    <w:rsid w:val="00322899"/>
    <w:rsid w:val="003C37DA"/>
    <w:rsid w:val="003E1D81"/>
    <w:rsid w:val="0044561D"/>
    <w:rsid w:val="00446274"/>
    <w:rsid w:val="00461836"/>
    <w:rsid w:val="00474795"/>
    <w:rsid w:val="004A6F03"/>
    <w:rsid w:val="004C4F16"/>
    <w:rsid w:val="00572BF4"/>
    <w:rsid w:val="00581F00"/>
    <w:rsid w:val="00586DCA"/>
    <w:rsid w:val="005A33D6"/>
    <w:rsid w:val="005B12E0"/>
    <w:rsid w:val="00601430"/>
    <w:rsid w:val="00622CC6"/>
    <w:rsid w:val="006750AB"/>
    <w:rsid w:val="0069751D"/>
    <w:rsid w:val="006D148C"/>
    <w:rsid w:val="00741414"/>
    <w:rsid w:val="00745EBA"/>
    <w:rsid w:val="00754780"/>
    <w:rsid w:val="00792427"/>
    <w:rsid w:val="007C72D9"/>
    <w:rsid w:val="00874DA8"/>
    <w:rsid w:val="00876DE9"/>
    <w:rsid w:val="00896DE2"/>
    <w:rsid w:val="008A14A0"/>
    <w:rsid w:val="008C4937"/>
    <w:rsid w:val="008F0275"/>
    <w:rsid w:val="00911EAA"/>
    <w:rsid w:val="00912CC8"/>
    <w:rsid w:val="00926E9D"/>
    <w:rsid w:val="00951404"/>
    <w:rsid w:val="00970419"/>
    <w:rsid w:val="0097475F"/>
    <w:rsid w:val="009754ED"/>
    <w:rsid w:val="00976C10"/>
    <w:rsid w:val="0097769B"/>
    <w:rsid w:val="009C1F93"/>
    <w:rsid w:val="009D3199"/>
    <w:rsid w:val="009F0B13"/>
    <w:rsid w:val="00A01712"/>
    <w:rsid w:val="00A227A4"/>
    <w:rsid w:val="00A542ED"/>
    <w:rsid w:val="00A86134"/>
    <w:rsid w:val="00AF2322"/>
    <w:rsid w:val="00B6407A"/>
    <w:rsid w:val="00B66C87"/>
    <w:rsid w:val="00B66F90"/>
    <w:rsid w:val="00B91571"/>
    <w:rsid w:val="00BB7193"/>
    <w:rsid w:val="00C1129B"/>
    <w:rsid w:val="00C12074"/>
    <w:rsid w:val="00C47DBD"/>
    <w:rsid w:val="00C622C0"/>
    <w:rsid w:val="00C762AA"/>
    <w:rsid w:val="00C8416F"/>
    <w:rsid w:val="00C92E6B"/>
    <w:rsid w:val="00C96DB3"/>
    <w:rsid w:val="00CD4E95"/>
    <w:rsid w:val="00CF16EB"/>
    <w:rsid w:val="00D15F85"/>
    <w:rsid w:val="00D20408"/>
    <w:rsid w:val="00D2291A"/>
    <w:rsid w:val="00D4443E"/>
    <w:rsid w:val="00D72B4C"/>
    <w:rsid w:val="00DD560C"/>
    <w:rsid w:val="00DF4223"/>
    <w:rsid w:val="00E0075A"/>
    <w:rsid w:val="00E045A1"/>
    <w:rsid w:val="00E24E96"/>
    <w:rsid w:val="00E34846"/>
    <w:rsid w:val="00E348DC"/>
    <w:rsid w:val="00EF2ECD"/>
    <w:rsid w:val="00F66D6F"/>
    <w:rsid w:val="00F71303"/>
    <w:rsid w:val="00F8309E"/>
    <w:rsid w:val="00F93FF2"/>
    <w:rsid w:val="00FB7B4C"/>
    <w:rsid w:val="00FD1082"/>
    <w:rsid w:val="00FD1EAB"/>
    <w:rsid w:val="00FF45C3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FD4B6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4</cp:revision>
  <cp:lastPrinted>2020-08-18T20:17:00Z</cp:lastPrinted>
  <dcterms:created xsi:type="dcterms:W3CDTF">2020-08-19T20:02:00Z</dcterms:created>
  <dcterms:modified xsi:type="dcterms:W3CDTF">2020-11-03T17:40:00Z</dcterms:modified>
</cp:coreProperties>
</file>