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57" w:rsidRDefault="00DC7357" w:rsidP="0044047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F5483C" w:rsidRPr="003F1291" w:rsidRDefault="003F1291" w:rsidP="004404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DECRETO NUMERO: 1</w:t>
      </w:r>
      <w:r w:rsidR="00C136BD" w:rsidRPr="003F1291">
        <w:rPr>
          <w:b/>
          <w:sz w:val="28"/>
          <w:szCs w:val="28"/>
        </w:rPr>
        <w:t>.</w:t>
      </w:r>
    </w:p>
    <w:p w:rsidR="004F368D" w:rsidRPr="003F1291" w:rsidRDefault="004F368D" w:rsidP="0044047D">
      <w:pPr>
        <w:jc w:val="both"/>
        <w:rPr>
          <w:b/>
          <w:sz w:val="28"/>
          <w:szCs w:val="28"/>
        </w:rPr>
      </w:pPr>
    </w:p>
    <w:p w:rsidR="00C136BD" w:rsidRPr="003F1291" w:rsidRDefault="00C136BD" w:rsidP="0044047D">
      <w:p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EL CONCEJO MUNICIPAL DE ZARAGOZA, DEPARTAMENTO DE LA LIBERTAD.</w:t>
      </w:r>
    </w:p>
    <w:p w:rsidR="004F368D" w:rsidRPr="003F1291" w:rsidRDefault="004F368D" w:rsidP="0044047D">
      <w:pPr>
        <w:jc w:val="both"/>
        <w:rPr>
          <w:sz w:val="28"/>
          <w:szCs w:val="28"/>
        </w:rPr>
      </w:pPr>
    </w:p>
    <w:p w:rsidR="00C136BD" w:rsidRPr="003F1291" w:rsidRDefault="00C136BD" w:rsidP="0044047D">
      <w:pPr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CONSIDERANDO:</w:t>
      </w:r>
    </w:p>
    <w:p w:rsidR="00C136BD" w:rsidRPr="003F1291" w:rsidRDefault="00C136BD" w:rsidP="0044047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Que es urgente que el gobierno municipal de Z</w:t>
      </w:r>
      <w:r w:rsidR="0044047D" w:rsidRPr="003F1291">
        <w:rPr>
          <w:sz w:val="28"/>
          <w:szCs w:val="28"/>
        </w:rPr>
        <w:t>aragoza, mejore su nivel</w:t>
      </w:r>
      <w:r w:rsidRPr="003F1291">
        <w:rPr>
          <w:sz w:val="28"/>
          <w:szCs w:val="28"/>
        </w:rPr>
        <w:t xml:space="preserve"> de ingreso procedente de las tasas municipales, con el fin de prestar con </w:t>
      </w:r>
      <w:r w:rsidR="0044047D" w:rsidRPr="003F1291">
        <w:rPr>
          <w:sz w:val="28"/>
          <w:szCs w:val="28"/>
        </w:rPr>
        <w:t>ef</w:t>
      </w:r>
      <w:r w:rsidRPr="003F1291">
        <w:rPr>
          <w:sz w:val="28"/>
          <w:szCs w:val="28"/>
        </w:rPr>
        <w:t>iciencia los servicios públicos y llevar mejores condiciones a la población.</w:t>
      </w:r>
    </w:p>
    <w:p w:rsidR="004F368D" w:rsidRPr="003F1291" w:rsidRDefault="004F368D" w:rsidP="004F368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Que co</w:t>
      </w:r>
      <w:r w:rsidR="00FC0AFB" w:rsidRPr="003F1291">
        <w:rPr>
          <w:sz w:val="28"/>
          <w:szCs w:val="28"/>
        </w:rPr>
        <w:t xml:space="preserve">n el propósito de facilitar el </w:t>
      </w:r>
      <w:r w:rsidRPr="003F1291">
        <w:rPr>
          <w:sz w:val="28"/>
          <w:szCs w:val="28"/>
        </w:rPr>
        <w:t>pago de la mora Tributaria a favor del municipio, es co</w:t>
      </w:r>
      <w:r w:rsidR="00FC0AFB" w:rsidRPr="003F1291">
        <w:rPr>
          <w:sz w:val="28"/>
          <w:szCs w:val="28"/>
        </w:rPr>
        <w:t>nveniente otorgar incentivos tr</w:t>
      </w:r>
      <w:r w:rsidRPr="003F1291">
        <w:rPr>
          <w:sz w:val="28"/>
          <w:szCs w:val="28"/>
        </w:rPr>
        <w:t>ibutarios con carácter transitorio que estimulen a los contribuyentes el pago de sus deudas tributarias municipales.</w:t>
      </w:r>
    </w:p>
    <w:p w:rsidR="004F368D" w:rsidRPr="003F1291" w:rsidRDefault="004F368D" w:rsidP="004F368D">
      <w:pPr>
        <w:pStyle w:val="Prrafodelista"/>
        <w:rPr>
          <w:sz w:val="28"/>
          <w:szCs w:val="28"/>
        </w:rPr>
      </w:pPr>
    </w:p>
    <w:p w:rsidR="004F368D" w:rsidRPr="003F1291" w:rsidRDefault="004F368D" w:rsidP="004F368D">
      <w:pPr>
        <w:pStyle w:val="Prrafodelista"/>
        <w:ind w:left="1080"/>
        <w:jc w:val="both"/>
        <w:rPr>
          <w:sz w:val="28"/>
          <w:szCs w:val="28"/>
        </w:rPr>
      </w:pPr>
    </w:p>
    <w:p w:rsidR="00C136BD" w:rsidRDefault="00C136BD" w:rsidP="0044047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 xml:space="preserve">Que de Conformidad con los artículos 203 y 204 ordinal 5 de la </w:t>
      </w:r>
      <w:r w:rsidR="00FC0AFB" w:rsidRPr="003F1291">
        <w:rPr>
          <w:sz w:val="28"/>
          <w:szCs w:val="28"/>
        </w:rPr>
        <w:t>Constitución</w:t>
      </w:r>
      <w:r w:rsidRPr="003F1291">
        <w:rPr>
          <w:sz w:val="28"/>
          <w:szCs w:val="28"/>
        </w:rPr>
        <w:t xml:space="preserve"> de la Republica, artículos 3, 30 y 32 del </w:t>
      </w:r>
      <w:r w:rsidR="00FC0AFB" w:rsidRPr="003F1291">
        <w:rPr>
          <w:sz w:val="28"/>
          <w:szCs w:val="28"/>
        </w:rPr>
        <w:t>Código</w:t>
      </w:r>
      <w:r w:rsidRPr="003F1291">
        <w:rPr>
          <w:sz w:val="28"/>
          <w:szCs w:val="28"/>
        </w:rPr>
        <w:t xml:space="preserve"> Municipal. Los municipios son autónomos en lo económico, en lo técnico y regularan las materias de su competencia por medio de ordenanzas municipales.</w:t>
      </w:r>
    </w:p>
    <w:p w:rsidR="007775C9" w:rsidRPr="003F1291" w:rsidRDefault="007775C9" w:rsidP="0044047D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 con el fin de poder sobrellevar la cuarentena domiciliar y de no afectar a nuestra población zaragocense, por el órgano el decreto de estado de emergencia y medidas decretadas tanto por el órgano Ejecutivo como por el órgano Legislativo por la Pandemia COVID-19</w:t>
      </w:r>
      <w:r w:rsidR="003609A0">
        <w:rPr>
          <w:sz w:val="28"/>
          <w:szCs w:val="28"/>
        </w:rPr>
        <w:t>.</w:t>
      </w: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POR TANTO:</w:t>
      </w: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sz w:val="28"/>
          <w:szCs w:val="28"/>
        </w:rPr>
        <w:t>El Concejo Municipal de la Ciudad de Zaragoza, Departamento de La Libertad, en uso de sus facultades legales y Constitucionales.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</w:p>
    <w:p w:rsidR="003F1291" w:rsidRDefault="003F1291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3F1291" w:rsidRDefault="003F1291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3F1291" w:rsidRDefault="003F1291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3F1291" w:rsidRDefault="003F1291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DECRETA la siguiente:</w:t>
      </w:r>
    </w:p>
    <w:p w:rsidR="00867499" w:rsidRPr="003F1291" w:rsidRDefault="00867499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4F368D" w:rsidP="004F368D">
      <w:pPr>
        <w:pStyle w:val="Prrafodelista"/>
        <w:ind w:left="1080"/>
        <w:jc w:val="center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ORDEN</w:t>
      </w:r>
      <w:r w:rsidR="00C136BD" w:rsidRPr="003F1291">
        <w:rPr>
          <w:b/>
          <w:sz w:val="28"/>
          <w:szCs w:val="28"/>
        </w:rPr>
        <w:t>A</w:t>
      </w:r>
      <w:r w:rsidRPr="003F1291">
        <w:rPr>
          <w:b/>
          <w:sz w:val="28"/>
          <w:szCs w:val="28"/>
        </w:rPr>
        <w:t>NZ</w:t>
      </w:r>
      <w:r w:rsidR="00C136BD" w:rsidRPr="003F1291">
        <w:rPr>
          <w:b/>
          <w:sz w:val="28"/>
          <w:szCs w:val="28"/>
        </w:rPr>
        <w:t>A TRANSITORIA DE DISPENSAS DE INTERESES Y DE MULTAS PROVENIENTES DE LAS TASA</w:t>
      </w:r>
      <w:r w:rsidR="007775C9">
        <w:rPr>
          <w:b/>
          <w:sz w:val="28"/>
          <w:szCs w:val="28"/>
        </w:rPr>
        <w:t>S</w:t>
      </w:r>
      <w:r w:rsidR="00C136BD" w:rsidRPr="003F1291">
        <w:rPr>
          <w:b/>
          <w:sz w:val="28"/>
          <w:szCs w:val="28"/>
        </w:rPr>
        <w:t xml:space="preserve"> POR SERVICIOS </w:t>
      </w:r>
      <w:r w:rsidR="00FC0AFB" w:rsidRPr="003F1291">
        <w:rPr>
          <w:b/>
          <w:sz w:val="28"/>
          <w:szCs w:val="28"/>
        </w:rPr>
        <w:t>PÚBLICO</w:t>
      </w:r>
      <w:r w:rsidR="00C136BD" w:rsidRPr="003F1291">
        <w:rPr>
          <w:b/>
          <w:sz w:val="28"/>
          <w:szCs w:val="28"/>
        </w:rPr>
        <w:t>.</w:t>
      </w:r>
    </w:p>
    <w:p w:rsidR="004F368D" w:rsidRPr="003F1291" w:rsidRDefault="004F368D" w:rsidP="004F368D">
      <w:pPr>
        <w:pStyle w:val="Prrafodelista"/>
        <w:ind w:left="1080"/>
        <w:jc w:val="center"/>
        <w:rPr>
          <w:b/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Definiciones:</w:t>
      </w:r>
    </w:p>
    <w:p w:rsidR="004F368D" w:rsidRPr="003F1291" w:rsidRDefault="004F368D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1</w:t>
      </w:r>
      <w:r w:rsidRPr="003F1291">
        <w:rPr>
          <w:sz w:val="28"/>
          <w:szCs w:val="28"/>
        </w:rPr>
        <w:t>- Para efectos legales de la presente ordenanza se entenderá por: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TASAS MUNICIPALES</w:t>
      </w:r>
      <w:r w:rsidRPr="003F1291">
        <w:rPr>
          <w:sz w:val="28"/>
          <w:szCs w:val="28"/>
        </w:rPr>
        <w:t>: los tributos que se generan en ocasión de los servicios públicos de naturaleza administrativa o jurídica prestados por los municipios.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C136BD" w:rsidRPr="003F1291" w:rsidRDefault="00C136BD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TRANSITORIO</w:t>
      </w:r>
      <w:r w:rsidRPr="003F1291">
        <w:rPr>
          <w:sz w:val="28"/>
          <w:szCs w:val="28"/>
        </w:rPr>
        <w:t>: Plazos dentro del cual surtirá efecto la presente orden</w:t>
      </w:r>
      <w:r w:rsidR="003108E6" w:rsidRPr="003F1291">
        <w:rPr>
          <w:sz w:val="28"/>
          <w:szCs w:val="28"/>
        </w:rPr>
        <w:t>a</w:t>
      </w:r>
      <w:r w:rsidRPr="003F1291">
        <w:rPr>
          <w:sz w:val="28"/>
          <w:szCs w:val="28"/>
        </w:rPr>
        <w:t>nza</w:t>
      </w:r>
      <w:r w:rsidR="003108E6" w:rsidRPr="003F1291">
        <w:rPr>
          <w:sz w:val="28"/>
          <w:szCs w:val="28"/>
        </w:rPr>
        <w:t>.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3108E6" w:rsidRPr="003F1291" w:rsidRDefault="003108E6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DISPENSAS</w:t>
      </w:r>
      <w:r w:rsidRPr="003F1291">
        <w:rPr>
          <w:sz w:val="28"/>
          <w:szCs w:val="28"/>
        </w:rPr>
        <w:t>: Exoneración a favor de los contribuyentes que desean pagar sus tasa</w:t>
      </w:r>
      <w:r w:rsidR="007775C9">
        <w:rPr>
          <w:sz w:val="28"/>
          <w:szCs w:val="28"/>
        </w:rPr>
        <w:t>s</w:t>
      </w:r>
      <w:r w:rsidRPr="003F1291">
        <w:rPr>
          <w:sz w:val="28"/>
          <w:szCs w:val="28"/>
        </w:rPr>
        <w:t>.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3108E6" w:rsidRPr="003F1291" w:rsidRDefault="003108E6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INTERESES</w:t>
      </w:r>
      <w:r w:rsidRPr="003F1291">
        <w:rPr>
          <w:sz w:val="28"/>
          <w:szCs w:val="28"/>
        </w:rPr>
        <w:t>: Los que deben Cancelar el deudor</w:t>
      </w:r>
      <w:r w:rsidR="00FC0AFB" w:rsidRPr="003F1291">
        <w:rPr>
          <w:sz w:val="28"/>
          <w:szCs w:val="28"/>
        </w:rPr>
        <w:t xml:space="preserve"> por incurrir en la mora Tributaria por tasas.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FC0AFB" w:rsidRPr="003F1291" w:rsidRDefault="00FC0AFB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MULTAS</w:t>
      </w:r>
      <w:r w:rsidRPr="003F1291">
        <w:rPr>
          <w:sz w:val="28"/>
          <w:szCs w:val="28"/>
        </w:rPr>
        <w:t xml:space="preserve">: Sanción administrativa que consiste </w:t>
      </w:r>
      <w:r w:rsidR="009F3A8C" w:rsidRPr="003F1291">
        <w:rPr>
          <w:sz w:val="28"/>
          <w:szCs w:val="28"/>
        </w:rPr>
        <w:t>en la obligación de pagar</w:t>
      </w:r>
      <w:r w:rsidR="0044047D" w:rsidRPr="003F1291">
        <w:rPr>
          <w:sz w:val="28"/>
          <w:szCs w:val="28"/>
        </w:rPr>
        <w:t xml:space="preserve"> </w:t>
      </w:r>
      <w:r w:rsidR="009F3A8C" w:rsidRPr="003F1291">
        <w:rPr>
          <w:sz w:val="28"/>
          <w:szCs w:val="28"/>
        </w:rPr>
        <w:t>una cantidad de dinero determinada por el incumplimiento al pago de tasas.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9F3A8C" w:rsidRPr="003F1291" w:rsidRDefault="009F3A8C" w:rsidP="0044047D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OBJETO</w:t>
      </w:r>
    </w:p>
    <w:p w:rsidR="004F368D" w:rsidRPr="003F1291" w:rsidRDefault="004F368D" w:rsidP="0044047D">
      <w:pPr>
        <w:pStyle w:val="Prrafodelista"/>
        <w:ind w:left="1080"/>
        <w:jc w:val="both"/>
        <w:rPr>
          <w:sz w:val="28"/>
          <w:szCs w:val="28"/>
        </w:rPr>
      </w:pPr>
    </w:p>
    <w:p w:rsidR="009F3A8C" w:rsidRPr="003F1291" w:rsidRDefault="009F3A8C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2-</w:t>
      </w:r>
      <w:r w:rsidRPr="003F1291">
        <w:rPr>
          <w:sz w:val="28"/>
          <w:szCs w:val="28"/>
        </w:rPr>
        <w:t xml:space="preserve"> La presente ordenanza tiene como objeto dispensar el pago de intereses y multas por tasas municipales que se adeuden al municipio.</w:t>
      </w:r>
    </w:p>
    <w:p w:rsidR="00E219EF" w:rsidRPr="003F1291" w:rsidRDefault="00E219EF" w:rsidP="0044047D">
      <w:pPr>
        <w:pStyle w:val="Prrafodelista"/>
        <w:ind w:left="1080"/>
        <w:jc w:val="both"/>
        <w:rPr>
          <w:sz w:val="28"/>
          <w:szCs w:val="28"/>
        </w:rPr>
      </w:pPr>
    </w:p>
    <w:p w:rsidR="003F1291" w:rsidRDefault="003F1291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3F1291" w:rsidRDefault="003F1291" w:rsidP="0044047D">
      <w:pPr>
        <w:pStyle w:val="Prrafodelista"/>
        <w:ind w:left="1080"/>
        <w:jc w:val="both"/>
        <w:rPr>
          <w:b/>
          <w:sz w:val="28"/>
          <w:szCs w:val="28"/>
        </w:rPr>
      </w:pPr>
    </w:p>
    <w:p w:rsidR="009F3A8C" w:rsidRPr="003F1291" w:rsidRDefault="009F3A8C" w:rsidP="0044047D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VIGENCIA</w:t>
      </w:r>
    </w:p>
    <w:p w:rsidR="00E219EF" w:rsidRPr="003F1291" w:rsidRDefault="00E219EF" w:rsidP="0044047D">
      <w:pPr>
        <w:pStyle w:val="Prrafodelista"/>
        <w:ind w:left="1080"/>
        <w:jc w:val="both"/>
        <w:rPr>
          <w:sz w:val="28"/>
          <w:szCs w:val="28"/>
        </w:rPr>
      </w:pPr>
    </w:p>
    <w:p w:rsidR="009F3A8C" w:rsidRPr="003F1291" w:rsidRDefault="009F3A8C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3-</w:t>
      </w:r>
      <w:r w:rsidR="003F1291" w:rsidRPr="003F1291">
        <w:rPr>
          <w:sz w:val="28"/>
          <w:szCs w:val="28"/>
        </w:rPr>
        <w:t xml:space="preserve"> Se concede</w:t>
      </w:r>
      <w:r w:rsidRPr="003F1291">
        <w:rPr>
          <w:sz w:val="28"/>
          <w:szCs w:val="28"/>
        </w:rPr>
        <w:t xml:space="preserve"> noventa días </w:t>
      </w:r>
      <w:r w:rsidR="0044047D" w:rsidRPr="003F1291">
        <w:rPr>
          <w:sz w:val="28"/>
          <w:szCs w:val="28"/>
        </w:rPr>
        <w:t xml:space="preserve">calendarios, contados a  </w:t>
      </w:r>
      <w:r w:rsidRPr="003F1291">
        <w:rPr>
          <w:sz w:val="28"/>
          <w:szCs w:val="28"/>
        </w:rPr>
        <w:t>partir de la vigencia de la presente ordenanza, para que los sujetos pasivos que adeuden intereses, multas por tasas la cancelen a la administración municipal.</w:t>
      </w:r>
    </w:p>
    <w:p w:rsidR="009F3A8C" w:rsidRDefault="009F3A8C" w:rsidP="0044047D">
      <w:pPr>
        <w:pStyle w:val="Prrafodelista"/>
        <w:ind w:left="1080"/>
        <w:jc w:val="both"/>
        <w:rPr>
          <w:sz w:val="28"/>
          <w:szCs w:val="28"/>
        </w:rPr>
      </w:pPr>
    </w:p>
    <w:p w:rsidR="003F1291" w:rsidRPr="003F1291" w:rsidRDefault="003F1291" w:rsidP="0044047D">
      <w:pPr>
        <w:pStyle w:val="Prrafodelista"/>
        <w:ind w:left="1080"/>
        <w:jc w:val="both"/>
        <w:rPr>
          <w:sz w:val="28"/>
          <w:szCs w:val="28"/>
        </w:rPr>
      </w:pPr>
    </w:p>
    <w:p w:rsidR="009F3A8C" w:rsidRPr="003F1291" w:rsidRDefault="009F3A8C" w:rsidP="0044047D">
      <w:pPr>
        <w:pStyle w:val="Prrafodelista"/>
        <w:ind w:left="1080"/>
        <w:jc w:val="both"/>
        <w:rPr>
          <w:b/>
          <w:sz w:val="28"/>
          <w:szCs w:val="28"/>
        </w:rPr>
      </w:pPr>
      <w:r w:rsidRPr="003F1291">
        <w:rPr>
          <w:b/>
          <w:sz w:val="28"/>
          <w:szCs w:val="28"/>
        </w:rPr>
        <w:t>DISPOSICIONES GENERALES</w:t>
      </w:r>
      <w:r w:rsidR="00852F7C" w:rsidRPr="003F1291">
        <w:rPr>
          <w:b/>
          <w:sz w:val="28"/>
          <w:szCs w:val="28"/>
        </w:rPr>
        <w:t>:</w:t>
      </w:r>
    </w:p>
    <w:p w:rsidR="009F3A8C" w:rsidRPr="003F1291" w:rsidRDefault="009F3A8C" w:rsidP="0044047D">
      <w:pPr>
        <w:pStyle w:val="Prrafodelista"/>
        <w:ind w:left="1080"/>
        <w:jc w:val="both"/>
        <w:rPr>
          <w:sz w:val="28"/>
          <w:szCs w:val="28"/>
        </w:rPr>
      </w:pPr>
    </w:p>
    <w:p w:rsidR="009F3A8C" w:rsidRPr="003F1291" w:rsidRDefault="009F3A8C" w:rsidP="0044047D">
      <w:pPr>
        <w:pStyle w:val="Prrafodelista"/>
        <w:ind w:left="108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4-</w:t>
      </w:r>
      <w:r w:rsidRPr="003F1291">
        <w:rPr>
          <w:sz w:val="28"/>
          <w:szCs w:val="28"/>
        </w:rPr>
        <w:t xml:space="preserve"> Podrán acogerse a los beneficios establecidos en el artículo anterior las personas naturales o jurídicas que se encuentre</w:t>
      </w:r>
      <w:r w:rsidR="0040306C" w:rsidRPr="003F1291">
        <w:rPr>
          <w:sz w:val="28"/>
          <w:szCs w:val="28"/>
        </w:rPr>
        <w:t>n</w:t>
      </w:r>
      <w:r w:rsidRPr="003F1291">
        <w:rPr>
          <w:sz w:val="28"/>
          <w:szCs w:val="28"/>
        </w:rPr>
        <w:t xml:space="preserve"> en cualquiera de las siguientes condiciones:</w:t>
      </w:r>
    </w:p>
    <w:p w:rsidR="005A4C84" w:rsidRPr="003F1291" w:rsidRDefault="005A4C84" w:rsidP="0044047D">
      <w:pPr>
        <w:pStyle w:val="Prrafodelista"/>
        <w:ind w:left="1080"/>
        <w:jc w:val="both"/>
        <w:rPr>
          <w:sz w:val="28"/>
          <w:szCs w:val="28"/>
        </w:rPr>
      </w:pPr>
    </w:p>
    <w:p w:rsidR="009F3A8C" w:rsidRPr="003F1291" w:rsidRDefault="009F3A8C" w:rsidP="0044047D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 xml:space="preserve">Aquellos que están clasificados en el registro de contribuyentes del municipio de Zaragoza, </w:t>
      </w:r>
      <w:r w:rsidR="007775C9">
        <w:rPr>
          <w:sz w:val="28"/>
          <w:szCs w:val="28"/>
        </w:rPr>
        <w:t xml:space="preserve">que </w:t>
      </w:r>
      <w:r w:rsidRPr="003F1291">
        <w:rPr>
          <w:sz w:val="28"/>
          <w:szCs w:val="28"/>
        </w:rPr>
        <w:t>se encuentren en situación de mora por falta de pago de las tasas por servicios públicos municipales.</w:t>
      </w:r>
    </w:p>
    <w:p w:rsidR="009F3A8C" w:rsidRPr="003F1291" w:rsidRDefault="009F3A8C" w:rsidP="0044047D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 xml:space="preserve">Las personas naturales o </w:t>
      </w:r>
      <w:r w:rsidR="001A2FE6" w:rsidRPr="003F1291">
        <w:rPr>
          <w:sz w:val="28"/>
          <w:szCs w:val="28"/>
        </w:rPr>
        <w:t>jurídicas</w:t>
      </w:r>
      <w:r w:rsidRPr="003F1291">
        <w:rPr>
          <w:sz w:val="28"/>
          <w:szCs w:val="28"/>
        </w:rPr>
        <w:t xml:space="preserve"> que no se hayan inscrito </w:t>
      </w:r>
      <w:r w:rsidR="001A2FE6" w:rsidRPr="003F1291">
        <w:rPr>
          <w:sz w:val="28"/>
          <w:szCs w:val="28"/>
        </w:rPr>
        <w:t>oportunamente en el registro de contribuyentes u que no hagan dentro de la vigencia de la presente ordenanza.</w:t>
      </w:r>
    </w:p>
    <w:p w:rsidR="001A2FE6" w:rsidRPr="003F1291" w:rsidRDefault="001A2FE6" w:rsidP="0044047D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Los Contribuyentes que, por situación morosa en las tasa</w:t>
      </w:r>
      <w:r w:rsidR="007775C9">
        <w:rPr>
          <w:sz w:val="28"/>
          <w:szCs w:val="28"/>
        </w:rPr>
        <w:t>s</w:t>
      </w:r>
      <w:r w:rsidRPr="003F1291">
        <w:rPr>
          <w:sz w:val="28"/>
          <w:szCs w:val="28"/>
        </w:rPr>
        <w:t xml:space="preserve"> por servicios públicos, se encuentren en proceso de cobro administrativo o judicial iniciado dentro de la vigencia de esta ordenanza.</w:t>
      </w:r>
    </w:p>
    <w:p w:rsidR="001A2FE6" w:rsidRDefault="001A2FE6" w:rsidP="0044047D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3F1291">
        <w:rPr>
          <w:sz w:val="28"/>
          <w:szCs w:val="28"/>
        </w:rPr>
        <w:lastRenderedPageBreak/>
        <w:t>Los que hayan suscrito el correspondiente convenio de pago y lo hagan efectivo dentro del plazo de vigencia de la presente ordenanza.</w:t>
      </w:r>
    </w:p>
    <w:p w:rsidR="003F1291" w:rsidRPr="003F1291" w:rsidRDefault="003F1291" w:rsidP="003F1291">
      <w:pPr>
        <w:pStyle w:val="Prrafodelista"/>
        <w:ind w:left="1440"/>
        <w:jc w:val="both"/>
        <w:rPr>
          <w:sz w:val="28"/>
          <w:szCs w:val="28"/>
        </w:rPr>
      </w:pPr>
    </w:p>
    <w:p w:rsidR="00867499" w:rsidRPr="003F1291" w:rsidRDefault="00867499" w:rsidP="00867499">
      <w:pPr>
        <w:pStyle w:val="Prrafodelista"/>
        <w:ind w:left="1440"/>
        <w:jc w:val="both"/>
        <w:rPr>
          <w:sz w:val="28"/>
          <w:szCs w:val="28"/>
        </w:rPr>
      </w:pPr>
    </w:p>
    <w:p w:rsidR="001A2FE6" w:rsidRPr="003F1291" w:rsidRDefault="001A2FE6" w:rsidP="0044047D">
      <w:pPr>
        <w:pStyle w:val="Prrafodelista"/>
        <w:ind w:left="1440"/>
        <w:jc w:val="both"/>
        <w:rPr>
          <w:sz w:val="28"/>
          <w:szCs w:val="28"/>
        </w:rPr>
      </w:pPr>
      <w:r w:rsidRPr="003F1291">
        <w:rPr>
          <w:b/>
          <w:sz w:val="28"/>
          <w:szCs w:val="28"/>
        </w:rPr>
        <w:t>Art. 5-</w:t>
      </w:r>
      <w:r w:rsidRPr="003F1291">
        <w:rPr>
          <w:sz w:val="28"/>
          <w:szCs w:val="28"/>
        </w:rPr>
        <w:t xml:space="preserve"> La presente Ordenanza entrara en vigencia ocho días después de su publicación en el Diario Oficial</w:t>
      </w:r>
      <w:r w:rsidR="004B3E61" w:rsidRPr="003F1291">
        <w:rPr>
          <w:sz w:val="28"/>
          <w:szCs w:val="28"/>
        </w:rPr>
        <w:t>.</w:t>
      </w:r>
    </w:p>
    <w:p w:rsidR="00634497" w:rsidRPr="003F1291" w:rsidRDefault="00634497" w:rsidP="0044047D">
      <w:pPr>
        <w:pStyle w:val="Prrafodelista"/>
        <w:ind w:left="1440"/>
        <w:jc w:val="both"/>
        <w:rPr>
          <w:sz w:val="28"/>
          <w:szCs w:val="28"/>
        </w:rPr>
      </w:pPr>
    </w:p>
    <w:p w:rsidR="0044047D" w:rsidRPr="003F1291" w:rsidRDefault="00634497" w:rsidP="0044047D">
      <w:pPr>
        <w:pStyle w:val="Prrafodelista"/>
        <w:ind w:left="1440"/>
        <w:jc w:val="both"/>
        <w:rPr>
          <w:sz w:val="28"/>
          <w:szCs w:val="28"/>
        </w:rPr>
      </w:pPr>
      <w:r w:rsidRPr="003F1291">
        <w:rPr>
          <w:sz w:val="28"/>
          <w:szCs w:val="28"/>
        </w:rPr>
        <w:t xml:space="preserve">Dado en el </w:t>
      </w:r>
      <w:r w:rsidR="007B2B08" w:rsidRPr="003F1291">
        <w:rPr>
          <w:sz w:val="28"/>
          <w:szCs w:val="28"/>
        </w:rPr>
        <w:t>Salón</w:t>
      </w:r>
      <w:r w:rsidRPr="003F1291">
        <w:rPr>
          <w:sz w:val="28"/>
          <w:szCs w:val="28"/>
        </w:rPr>
        <w:t xml:space="preserve"> de Sesiones del Concejo Muni</w:t>
      </w:r>
      <w:r w:rsidR="007B2B08" w:rsidRPr="003F1291">
        <w:rPr>
          <w:sz w:val="28"/>
          <w:szCs w:val="28"/>
        </w:rPr>
        <w:t>cipal de Zaragoza, a los</w:t>
      </w:r>
      <w:r w:rsidR="003F1291">
        <w:rPr>
          <w:sz w:val="28"/>
          <w:szCs w:val="28"/>
        </w:rPr>
        <w:t xml:space="preserve"> </w:t>
      </w:r>
      <w:r w:rsidR="00367D3B">
        <w:rPr>
          <w:sz w:val="28"/>
          <w:szCs w:val="28"/>
        </w:rPr>
        <w:t xml:space="preserve">veintiocho </w:t>
      </w:r>
      <w:r w:rsidR="007B2B08" w:rsidRPr="003F1291">
        <w:rPr>
          <w:sz w:val="28"/>
          <w:szCs w:val="28"/>
        </w:rPr>
        <w:t xml:space="preserve">días del mes de </w:t>
      </w:r>
      <w:r w:rsidR="00367D3B">
        <w:rPr>
          <w:sz w:val="28"/>
          <w:szCs w:val="28"/>
        </w:rPr>
        <w:t>mayo</w:t>
      </w:r>
      <w:r w:rsidR="007B2B08" w:rsidRPr="003F1291">
        <w:rPr>
          <w:sz w:val="28"/>
          <w:szCs w:val="28"/>
        </w:rPr>
        <w:t xml:space="preserve"> de dos mil dieci</w:t>
      </w:r>
      <w:r w:rsidR="00367D3B">
        <w:rPr>
          <w:sz w:val="28"/>
          <w:szCs w:val="28"/>
        </w:rPr>
        <w:t>nueve</w:t>
      </w:r>
      <w:r w:rsidR="007B2B08" w:rsidRPr="003F1291">
        <w:rPr>
          <w:sz w:val="28"/>
          <w:szCs w:val="28"/>
        </w:rPr>
        <w:t>.</w:t>
      </w:r>
    </w:p>
    <w:p w:rsidR="00E219EF" w:rsidRPr="003F1291" w:rsidRDefault="00E219EF" w:rsidP="0044047D">
      <w:pPr>
        <w:pStyle w:val="Prrafodelista"/>
        <w:ind w:left="1440"/>
        <w:jc w:val="both"/>
        <w:rPr>
          <w:sz w:val="28"/>
          <w:szCs w:val="28"/>
        </w:rPr>
      </w:pPr>
    </w:p>
    <w:p w:rsidR="0044047D" w:rsidRPr="003F1291" w:rsidRDefault="0044047D" w:rsidP="0044047D">
      <w:pPr>
        <w:pStyle w:val="Prrafodelista"/>
        <w:ind w:left="1440"/>
        <w:jc w:val="both"/>
        <w:rPr>
          <w:sz w:val="28"/>
          <w:szCs w:val="28"/>
        </w:rPr>
      </w:pPr>
    </w:p>
    <w:p w:rsidR="0044047D" w:rsidRPr="003F1291" w:rsidRDefault="0044047D" w:rsidP="0044047D">
      <w:pPr>
        <w:pStyle w:val="Prrafodelista"/>
        <w:ind w:left="1440"/>
        <w:jc w:val="both"/>
        <w:rPr>
          <w:sz w:val="28"/>
          <w:szCs w:val="28"/>
        </w:rPr>
      </w:pPr>
    </w:p>
    <w:p w:rsidR="0044047D" w:rsidRPr="003F1291" w:rsidRDefault="0044047D" w:rsidP="0044047D">
      <w:pPr>
        <w:pStyle w:val="Prrafodelista"/>
        <w:ind w:left="1440"/>
        <w:jc w:val="both"/>
        <w:rPr>
          <w:sz w:val="28"/>
          <w:szCs w:val="28"/>
        </w:rPr>
      </w:pPr>
    </w:p>
    <w:p w:rsidR="00867499" w:rsidRPr="003F1291" w:rsidRDefault="00867499" w:rsidP="0044047D">
      <w:pPr>
        <w:pStyle w:val="Prrafodelista"/>
        <w:ind w:left="1440"/>
        <w:jc w:val="both"/>
        <w:rPr>
          <w:sz w:val="28"/>
          <w:szCs w:val="28"/>
        </w:rPr>
      </w:pPr>
    </w:p>
    <w:p w:rsidR="0044047D" w:rsidRPr="003F1291" w:rsidRDefault="0044047D" w:rsidP="003F1291">
      <w:pPr>
        <w:jc w:val="both"/>
        <w:rPr>
          <w:sz w:val="28"/>
          <w:szCs w:val="28"/>
        </w:rPr>
      </w:pPr>
      <w:r w:rsidRPr="003F1291">
        <w:rPr>
          <w:sz w:val="28"/>
          <w:szCs w:val="28"/>
        </w:rPr>
        <w:t>José Antonio Martíne</w:t>
      </w:r>
      <w:r w:rsidR="003F1291" w:rsidRPr="003F1291">
        <w:rPr>
          <w:sz w:val="28"/>
          <w:szCs w:val="28"/>
        </w:rPr>
        <w:t xml:space="preserve">z Salazar                 </w:t>
      </w:r>
      <w:r w:rsidRPr="003F1291">
        <w:rPr>
          <w:sz w:val="28"/>
          <w:szCs w:val="28"/>
        </w:rPr>
        <w:t xml:space="preserve">Rafael Cristóbal Hernández Mejía </w:t>
      </w:r>
      <w:r w:rsidR="003F1291">
        <w:rPr>
          <w:sz w:val="28"/>
          <w:szCs w:val="28"/>
        </w:rPr>
        <w:t xml:space="preserve">    </w:t>
      </w:r>
      <w:r w:rsidRPr="003F1291">
        <w:rPr>
          <w:sz w:val="28"/>
          <w:szCs w:val="28"/>
        </w:rPr>
        <w:t>Alcalde Municipal                                                             Síndico Municipal</w:t>
      </w:r>
    </w:p>
    <w:p w:rsidR="00852F7C" w:rsidRPr="003F1291" w:rsidRDefault="00852F7C" w:rsidP="0044047D">
      <w:pPr>
        <w:pStyle w:val="Prrafodelista"/>
        <w:ind w:left="1440"/>
        <w:jc w:val="center"/>
        <w:rPr>
          <w:sz w:val="28"/>
          <w:szCs w:val="28"/>
        </w:rPr>
      </w:pPr>
    </w:p>
    <w:p w:rsidR="00867499" w:rsidRPr="003F1291" w:rsidRDefault="00867499" w:rsidP="0044047D">
      <w:pPr>
        <w:pStyle w:val="Prrafodelista"/>
        <w:ind w:left="1440"/>
        <w:jc w:val="center"/>
        <w:rPr>
          <w:sz w:val="28"/>
          <w:szCs w:val="28"/>
        </w:rPr>
      </w:pPr>
    </w:p>
    <w:p w:rsidR="00867499" w:rsidRPr="003F1291" w:rsidRDefault="00867499" w:rsidP="0044047D">
      <w:pPr>
        <w:pStyle w:val="Prrafodelista"/>
        <w:ind w:left="1440"/>
        <w:jc w:val="center"/>
        <w:rPr>
          <w:sz w:val="28"/>
          <w:szCs w:val="28"/>
        </w:rPr>
      </w:pPr>
    </w:p>
    <w:p w:rsidR="0044047D" w:rsidRPr="003F1291" w:rsidRDefault="007775C9" w:rsidP="0044047D">
      <w:pPr>
        <w:pStyle w:val="Prrafodelista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Vilma Rosibel Amaya Arce </w:t>
      </w:r>
    </w:p>
    <w:p w:rsidR="0044047D" w:rsidRPr="003F1291" w:rsidRDefault="007775C9" w:rsidP="0044047D">
      <w:pPr>
        <w:pStyle w:val="Prrafodelista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Secretaria </w:t>
      </w:r>
      <w:r w:rsidR="0044047D" w:rsidRPr="003F1291">
        <w:rPr>
          <w:sz w:val="28"/>
          <w:szCs w:val="28"/>
        </w:rPr>
        <w:t>Municipal</w:t>
      </w:r>
      <w:r>
        <w:rPr>
          <w:sz w:val="28"/>
          <w:szCs w:val="28"/>
        </w:rPr>
        <w:t xml:space="preserve"> Interina.</w:t>
      </w:r>
    </w:p>
    <w:p w:rsidR="0044047D" w:rsidRPr="003F1291" w:rsidRDefault="0044047D" w:rsidP="0044047D">
      <w:pPr>
        <w:pStyle w:val="Prrafodelista"/>
        <w:ind w:left="1440"/>
        <w:jc w:val="center"/>
        <w:rPr>
          <w:sz w:val="28"/>
          <w:szCs w:val="28"/>
        </w:rPr>
      </w:pPr>
    </w:p>
    <w:p w:rsidR="003108E6" w:rsidRPr="003F1291" w:rsidRDefault="003108E6" w:rsidP="0044047D">
      <w:pPr>
        <w:pStyle w:val="Prrafodelista"/>
        <w:ind w:left="1080"/>
        <w:jc w:val="both"/>
        <w:rPr>
          <w:sz w:val="28"/>
          <w:szCs w:val="28"/>
        </w:rPr>
      </w:pPr>
    </w:p>
    <w:sectPr w:rsidR="003108E6" w:rsidRPr="003F1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70E30"/>
    <w:multiLevelType w:val="hybridMultilevel"/>
    <w:tmpl w:val="33BC2E6A"/>
    <w:lvl w:ilvl="0" w:tplc="FDBA88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0D7413"/>
    <w:multiLevelType w:val="hybridMultilevel"/>
    <w:tmpl w:val="26DAEE14"/>
    <w:lvl w:ilvl="0" w:tplc="B516A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21"/>
    <w:rsid w:val="001A2FE6"/>
    <w:rsid w:val="00307F3B"/>
    <w:rsid w:val="003108E6"/>
    <w:rsid w:val="00337A77"/>
    <w:rsid w:val="003609A0"/>
    <w:rsid w:val="00367D3B"/>
    <w:rsid w:val="003F1291"/>
    <w:rsid w:val="0040306C"/>
    <w:rsid w:val="0044047D"/>
    <w:rsid w:val="004B3E61"/>
    <w:rsid w:val="004E183B"/>
    <w:rsid w:val="004F368D"/>
    <w:rsid w:val="005A4C84"/>
    <w:rsid w:val="00634497"/>
    <w:rsid w:val="007775C9"/>
    <w:rsid w:val="007B2B08"/>
    <w:rsid w:val="00852F7C"/>
    <w:rsid w:val="00867499"/>
    <w:rsid w:val="00930947"/>
    <w:rsid w:val="009F3A8C"/>
    <w:rsid w:val="00A05D35"/>
    <w:rsid w:val="00AF2FB8"/>
    <w:rsid w:val="00B071A3"/>
    <w:rsid w:val="00BB780A"/>
    <w:rsid w:val="00C136BD"/>
    <w:rsid w:val="00C74D21"/>
    <w:rsid w:val="00DC7357"/>
    <w:rsid w:val="00E219EF"/>
    <w:rsid w:val="00F5483C"/>
    <w:rsid w:val="00F652E5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9367EA-1272-40EB-892C-C572748D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6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Rosibel Amaya</cp:lastModifiedBy>
  <cp:revision>2</cp:revision>
  <cp:lastPrinted>2020-04-28T19:56:00Z</cp:lastPrinted>
  <dcterms:created xsi:type="dcterms:W3CDTF">2020-07-20T19:37:00Z</dcterms:created>
  <dcterms:modified xsi:type="dcterms:W3CDTF">2020-07-20T19:37:00Z</dcterms:modified>
</cp:coreProperties>
</file>