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9C" w:rsidRPr="00BA639C" w:rsidRDefault="00BA639C" w:rsidP="00BA639C">
      <w:pPr>
        <w:shd w:val="clear" w:color="auto" w:fill="FFFFFF"/>
        <w:spacing w:after="0" w:line="360" w:lineRule="auto"/>
        <w:jc w:val="both"/>
        <w:rPr>
          <w:rFonts w:ascii="Arial" w:eastAsia="Calibri" w:hAnsi="Arial" w:cs="Arial"/>
          <w:lang w:val="es-ES"/>
        </w:rPr>
      </w:pPr>
      <w:bookmarkStart w:id="0" w:name="_GoBack"/>
      <w:bookmarkEnd w:id="0"/>
      <w:r w:rsidRPr="00BA639C">
        <w:rPr>
          <w:rFonts w:ascii="Arial" w:eastAsia="Calibri" w:hAnsi="Arial" w:cs="Arial"/>
          <w:b/>
          <w:lang w:val="es-ES"/>
        </w:rPr>
        <w:t>ACTA DE ACTIVACION -</w:t>
      </w:r>
      <w:r w:rsidRPr="00BA639C">
        <w:rPr>
          <w:rFonts w:ascii="Arial" w:eastAsia="Calibri" w:hAnsi="Arial" w:cs="Arial"/>
          <w:lang w:val="es-ES"/>
        </w:rPr>
        <w:t xml:space="preserve"> En las instalaciones de la Alcaldía Municipal de Zaragoza, departamento de La Libertad, a las diez horas del día diez de marzo del dos mil veinte por convocatoria realizada por el presidente de la Comisión municipal de Protección Civil, se procede de conformidad al artículo veinticuatro del Reglamento de Funcionamiento de las Comisiones del Sistema Nacional de Protección Civil a reunión para activación de la Comisión Municipal de Protección por </w:t>
      </w:r>
      <w:r w:rsidRPr="00BA639C">
        <w:rPr>
          <w:rFonts w:ascii="Arial" w:eastAsia="Calibri" w:hAnsi="Arial" w:cs="Arial"/>
          <w:b/>
          <w:lang w:val="es-ES"/>
        </w:rPr>
        <w:t>declaratoria de alerta amarilla a nivel naciona</w:t>
      </w:r>
      <w:r w:rsidRPr="00BA639C">
        <w:rPr>
          <w:rFonts w:ascii="Arial" w:eastAsia="Calibri" w:hAnsi="Arial" w:cs="Arial"/>
          <w:lang w:val="es-ES"/>
        </w:rPr>
        <w:t xml:space="preserve">l </w:t>
      </w:r>
      <w:r w:rsidRPr="00BA639C">
        <w:rPr>
          <w:rFonts w:ascii="Arial" w:eastAsia="Calibri" w:hAnsi="Arial" w:cs="Arial"/>
          <w:b/>
          <w:bCs/>
          <w:lang w:val="es-ES"/>
        </w:rPr>
        <w:t xml:space="preserve">por la evolución del COVID-19 (CORONAVIRUS), </w:t>
      </w:r>
      <w:r w:rsidRPr="00BA639C">
        <w:rPr>
          <w:rFonts w:ascii="Arial" w:eastAsia="Calibri" w:hAnsi="Arial" w:cs="Arial"/>
          <w:lang w:val="es-ES"/>
        </w:rPr>
        <w:t xml:space="preserve">decretada el día seis de marzo y con la finalidad de darle cumplimiento a los artículos diez, trece y catorce de la Ley de Protección Civil, Mitigación y Prevención de Desastres, Articulo dieciocho inc. 3 y art. 33 </w:t>
      </w:r>
      <w:proofErr w:type="spellStart"/>
      <w:r w:rsidRPr="00BA639C">
        <w:rPr>
          <w:rFonts w:ascii="Arial" w:eastAsia="Calibri" w:hAnsi="Arial" w:cs="Arial"/>
          <w:lang w:val="es-ES"/>
        </w:rPr>
        <w:t>lit.</w:t>
      </w:r>
      <w:proofErr w:type="spellEnd"/>
      <w:r w:rsidRPr="00BA639C">
        <w:rPr>
          <w:rFonts w:ascii="Arial" w:eastAsia="Calibri" w:hAnsi="Arial" w:cs="Arial"/>
          <w:lang w:val="es-ES"/>
        </w:rPr>
        <w:t xml:space="preserve"> b) del Reglamento de Funcionamiento de las Comisiones del Sistema Nacional de Protección Civil, prevención Y Mitigación de desastres. Reunidos en el lugar antes mencionado, todos mayores de edad y en pleno ejercicio de nuestros derechos ciudadanos. Encontrándonos presentes nosotros los firmantes de la presente acta.  Se da por iniciada la presente reunión, y se procede a la lectura de Alerta Amarilla, considerando la amenaza y vulnerabilidad de la población se hace énfasis en las recomendaciones de la dirección general y en ACTIVAR LA PRESENTE COMISION, se propone mantener la comunicación e información a líderes comunitarios y estar pendientes de los boletines informativos. La doctora Claudia Verónica </w:t>
      </w:r>
      <w:proofErr w:type="spellStart"/>
      <w:r w:rsidRPr="00BA639C">
        <w:rPr>
          <w:rFonts w:ascii="Arial" w:eastAsia="Calibri" w:hAnsi="Arial" w:cs="Arial"/>
          <w:lang w:val="es-ES"/>
        </w:rPr>
        <w:t>Zometa</w:t>
      </w:r>
      <w:proofErr w:type="spellEnd"/>
      <w:r w:rsidRPr="00BA639C">
        <w:rPr>
          <w:rFonts w:ascii="Arial" w:eastAsia="Calibri" w:hAnsi="Arial" w:cs="Arial"/>
          <w:lang w:val="es-ES"/>
        </w:rPr>
        <w:t xml:space="preserve">, directora de la Unidad Comunitaria de Salud Familiar de Zaragoza, realiza presentación sobre Recomendaciones Generales para la Prevención del Coronavirus. Para el seguimiento de la alerta se </w:t>
      </w:r>
      <w:r w:rsidRPr="00BA639C">
        <w:rPr>
          <w:rFonts w:ascii="Arial" w:eastAsia="Calibri" w:hAnsi="Arial" w:cs="Arial"/>
          <w:b/>
          <w:lang w:val="es-ES"/>
        </w:rPr>
        <w:t xml:space="preserve">ACUERDA: 1- Activar el Centro de operaciones de Emergencia, para efectos estar en atención a prevención y atención de emergencia. </w:t>
      </w:r>
      <w:r w:rsidRPr="00BA639C">
        <w:rPr>
          <w:rFonts w:ascii="Arial" w:eastAsia="Calibri" w:hAnsi="Arial" w:cs="Arial"/>
          <w:lang w:val="es-ES"/>
        </w:rPr>
        <w:t xml:space="preserve"> 2- Reunirse el próximo miércoles dieciocho de marzo del corriente para seguimiento de la alerta y para informar sobre las últimas medidas y recomendaciones para la prevención de contaminación del COVID-19.  Se da por finalizada la presente acta la cual firmamos y ratificamos todo su contenido.  </w:t>
      </w:r>
    </w:p>
    <w:tbl>
      <w:tblPr>
        <w:tblStyle w:val="Tablaconcuadrcula"/>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33"/>
      </w:tblGrid>
      <w:tr w:rsidR="00BA639C" w:rsidRPr="00BA639C" w:rsidTr="0095340A">
        <w:trPr>
          <w:trHeight w:val="847"/>
        </w:trPr>
        <w:tc>
          <w:tcPr>
            <w:tcW w:w="4261" w:type="dxa"/>
          </w:tcPr>
          <w:p w:rsidR="00BA639C" w:rsidRPr="00BA639C" w:rsidRDefault="00BA639C" w:rsidP="00BA639C">
            <w:pPr>
              <w:jc w:val="center"/>
              <w:rPr>
                <w:rFonts w:ascii="Arial" w:eastAsia="Calibri" w:hAnsi="Arial" w:cs="Arial"/>
                <w:sz w:val="20"/>
                <w:szCs w:val="20"/>
              </w:rPr>
            </w:pPr>
          </w:p>
        </w:tc>
        <w:tc>
          <w:tcPr>
            <w:tcW w:w="4233" w:type="dxa"/>
          </w:tcPr>
          <w:p w:rsidR="00BA639C" w:rsidRPr="00BA639C" w:rsidRDefault="00BA639C" w:rsidP="00BA639C">
            <w:pPr>
              <w:jc w:val="center"/>
              <w:rPr>
                <w:rFonts w:ascii="Arial" w:eastAsia="Calibri" w:hAnsi="Arial" w:cs="Arial"/>
                <w:sz w:val="20"/>
                <w:szCs w:val="20"/>
              </w:rPr>
            </w:pPr>
          </w:p>
        </w:tc>
      </w:tr>
      <w:tr w:rsidR="00BA639C" w:rsidRPr="00BA639C" w:rsidTr="0095340A">
        <w:tc>
          <w:tcPr>
            <w:tcW w:w="4261"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José Antonio Martínez Salazar</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 xml:space="preserve">Alcalde y presidente de la CMPC                          </w:t>
            </w:r>
          </w:p>
        </w:tc>
        <w:tc>
          <w:tcPr>
            <w:tcW w:w="4233"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 xml:space="preserve">Jaime </w:t>
            </w:r>
            <w:proofErr w:type="spellStart"/>
            <w:r w:rsidRPr="00BA639C">
              <w:rPr>
                <w:rFonts w:ascii="Arial" w:eastAsia="Calibri" w:hAnsi="Arial" w:cs="Arial"/>
                <w:sz w:val="20"/>
                <w:szCs w:val="20"/>
              </w:rPr>
              <w:t>Osmín</w:t>
            </w:r>
            <w:proofErr w:type="spellEnd"/>
            <w:r w:rsidRPr="00BA639C">
              <w:rPr>
                <w:rFonts w:ascii="Arial" w:eastAsia="Calibri" w:hAnsi="Arial" w:cs="Arial"/>
                <w:sz w:val="20"/>
                <w:szCs w:val="20"/>
              </w:rPr>
              <w:t xml:space="preserve"> López</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Sub Comisionado - PNC Zaragoza</w:t>
            </w:r>
          </w:p>
        </w:tc>
      </w:tr>
      <w:tr w:rsidR="00BA639C" w:rsidRPr="00BA639C" w:rsidTr="0095340A">
        <w:trPr>
          <w:trHeight w:val="840"/>
        </w:trPr>
        <w:tc>
          <w:tcPr>
            <w:tcW w:w="4261" w:type="dxa"/>
          </w:tcPr>
          <w:p w:rsidR="00BA639C" w:rsidRPr="00BA639C" w:rsidRDefault="00BA639C" w:rsidP="00BA639C">
            <w:pPr>
              <w:jc w:val="center"/>
              <w:rPr>
                <w:rFonts w:ascii="Arial" w:eastAsia="Calibri" w:hAnsi="Arial" w:cs="Arial"/>
                <w:sz w:val="20"/>
                <w:szCs w:val="20"/>
              </w:rPr>
            </w:pPr>
          </w:p>
        </w:tc>
        <w:tc>
          <w:tcPr>
            <w:tcW w:w="4233" w:type="dxa"/>
          </w:tcPr>
          <w:p w:rsidR="00BA639C" w:rsidRPr="00BA639C" w:rsidRDefault="00BA639C" w:rsidP="00BA639C">
            <w:pPr>
              <w:jc w:val="center"/>
              <w:rPr>
                <w:rFonts w:ascii="Arial" w:eastAsia="Calibri" w:hAnsi="Arial" w:cs="Arial"/>
                <w:sz w:val="20"/>
                <w:szCs w:val="20"/>
              </w:rPr>
            </w:pPr>
          </w:p>
        </w:tc>
      </w:tr>
      <w:tr w:rsidR="00BA639C" w:rsidRPr="00BA639C" w:rsidTr="0095340A">
        <w:tc>
          <w:tcPr>
            <w:tcW w:w="4261"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 xml:space="preserve">Dra. Claudia Verónica </w:t>
            </w:r>
            <w:proofErr w:type="spellStart"/>
            <w:r w:rsidRPr="00BA639C">
              <w:rPr>
                <w:rFonts w:ascii="Arial" w:eastAsia="Calibri" w:hAnsi="Arial" w:cs="Arial"/>
                <w:sz w:val="20"/>
                <w:szCs w:val="20"/>
              </w:rPr>
              <w:t>Zometa</w:t>
            </w:r>
            <w:proofErr w:type="spellEnd"/>
            <w:r w:rsidRPr="00BA639C">
              <w:rPr>
                <w:rFonts w:ascii="Arial" w:eastAsia="Calibri" w:hAnsi="Arial" w:cs="Arial"/>
                <w:sz w:val="20"/>
                <w:szCs w:val="20"/>
              </w:rPr>
              <w:t xml:space="preserve"> Gonzáles.</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UCSF - Zaragoza</w:t>
            </w:r>
          </w:p>
        </w:tc>
        <w:tc>
          <w:tcPr>
            <w:tcW w:w="4233"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Erick Ernesto Leiva R</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 xml:space="preserve">Jefe de UAMGRD </w:t>
            </w:r>
          </w:p>
        </w:tc>
      </w:tr>
      <w:tr w:rsidR="00BA639C" w:rsidRPr="00BA639C" w:rsidTr="0095340A">
        <w:trPr>
          <w:trHeight w:val="852"/>
        </w:trPr>
        <w:tc>
          <w:tcPr>
            <w:tcW w:w="4261" w:type="dxa"/>
          </w:tcPr>
          <w:p w:rsidR="00BA639C" w:rsidRPr="00BA639C" w:rsidRDefault="00BA639C" w:rsidP="00BA639C">
            <w:pPr>
              <w:jc w:val="center"/>
              <w:rPr>
                <w:rFonts w:ascii="Arial" w:eastAsia="Calibri" w:hAnsi="Arial" w:cs="Arial"/>
                <w:sz w:val="20"/>
                <w:szCs w:val="20"/>
              </w:rPr>
            </w:pPr>
          </w:p>
        </w:tc>
        <w:tc>
          <w:tcPr>
            <w:tcW w:w="4233" w:type="dxa"/>
          </w:tcPr>
          <w:p w:rsidR="00BA639C" w:rsidRPr="00BA639C" w:rsidRDefault="00BA639C" w:rsidP="00BA639C">
            <w:pPr>
              <w:jc w:val="center"/>
              <w:rPr>
                <w:rFonts w:ascii="Arial" w:eastAsia="Calibri" w:hAnsi="Arial" w:cs="Arial"/>
                <w:sz w:val="20"/>
                <w:szCs w:val="20"/>
              </w:rPr>
            </w:pPr>
          </w:p>
        </w:tc>
      </w:tr>
      <w:tr w:rsidR="00BA639C" w:rsidRPr="00BA639C" w:rsidTr="0095340A">
        <w:trPr>
          <w:trHeight w:val="568"/>
        </w:trPr>
        <w:tc>
          <w:tcPr>
            <w:tcW w:w="4261"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lastRenderedPageBreak/>
              <w:t xml:space="preserve">Roxana </w:t>
            </w:r>
            <w:proofErr w:type="spellStart"/>
            <w:r w:rsidRPr="00BA639C">
              <w:rPr>
                <w:rFonts w:ascii="Arial" w:eastAsia="Calibri" w:hAnsi="Arial" w:cs="Arial"/>
                <w:sz w:val="20"/>
                <w:szCs w:val="20"/>
              </w:rPr>
              <w:t>Noemi</w:t>
            </w:r>
            <w:proofErr w:type="spellEnd"/>
            <w:r w:rsidRPr="00BA639C">
              <w:rPr>
                <w:rFonts w:ascii="Arial" w:eastAsia="Calibri" w:hAnsi="Arial" w:cs="Arial"/>
                <w:sz w:val="20"/>
                <w:szCs w:val="20"/>
              </w:rPr>
              <w:t xml:space="preserve"> Aguilar</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Casa de la Cultura</w:t>
            </w:r>
          </w:p>
          <w:p w:rsidR="00BA639C" w:rsidRPr="00BA639C" w:rsidRDefault="00BA639C" w:rsidP="00BA639C">
            <w:pPr>
              <w:jc w:val="center"/>
              <w:rPr>
                <w:rFonts w:ascii="Arial" w:eastAsia="Calibri" w:hAnsi="Arial" w:cs="Arial"/>
                <w:sz w:val="20"/>
                <w:szCs w:val="20"/>
              </w:rPr>
            </w:pPr>
          </w:p>
        </w:tc>
        <w:tc>
          <w:tcPr>
            <w:tcW w:w="4233"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Elba Dinorah García Linares</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Delegada UCSF Zaragoza</w:t>
            </w:r>
          </w:p>
        </w:tc>
      </w:tr>
      <w:tr w:rsidR="00BA639C" w:rsidRPr="00BA639C" w:rsidTr="0095340A">
        <w:tc>
          <w:tcPr>
            <w:tcW w:w="4261"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Ernesto Alvares</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Desarrollo Humano Municipal</w:t>
            </w:r>
          </w:p>
        </w:tc>
        <w:tc>
          <w:tcPr>
            <w:tcW w:w="4233"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Douglas Moisés Romero</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Plaza Comercial Municipal</w:t>
            </w:r>
          </w:p>
        </w:tc>
      </w:tr>
      <w:tr w:rsidR="00BA639C" w:rsidRPr="00BA639C" w:rsidTr="0095340A">
        <w:trPr>
          <w:trHeight w:val="947"/>
        </w:trPr>
        <w:tc>
          <w:tcPr>
            <w:tcW w:w="4261" w:type="dxa"/>
          </w:tcPr>
          <w:p w:rsidR="00BA639C" w:rsidRPr="00BA639C" w:rsidRDefault="00BA639C" w:rsidP="00BA639C">
            <w:pPr>
              <w:jc w:val="center"/>
              <w:rPr>
                <w:rFonts w:ascii="Arial" w:eastAsia="Calibri" w:hAnsi="Arial" w:cs="Arial"/>
                <w:sz w:val="20"/>
                <w:szCs w:val="20"/>
              </w:rPr>
            </w:pPr>
          </w:p>
        </w:tc>
        <w:tc>
          <w:tcPr>
            <w:tcW w:w="4233" w:type="dxa"/>
          </w:tcPr>
          <w:p w:rsidR="00BA639C" w:rsidRPr="00BA639C" w:rsidRDefault="00BA639C" w:rsidP="00BA639C">
            <w:pPr>
              <w:jc w:val="center"/>
              <w:rPr>
                <w:rFonts w:ascii="Arial" w:eastAsia="Calibri" w:hAnsi="Arial" w:cs="Arial"/>
                <w:sz w:val="20"/>
                <w:szCs w:val="20"/>
              </w:rPr>
            </w:pPr>
          </w:p>
        </w:tc>
      </w:tr>
      <w:tr w:rsidR="00BA639C" w:rsidRPr="00BA639C" w:rsidTr="0095340A">
        <w:tc>
          <w:tcPr>
            <w:tcW w:w="4261"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José Arnulfo Miranda</w:t>
            </w:r>
          </w:p>
          <w:p w:rsidR="00BA639C" w:rsidRPr="00BA639C" w:rsidRDefault="00BA639C" w:rsidP="00BA639C">
            <w:pPr>
              <w:jc w:val="center"/>
              <w:rPr>
                <w:rFonts w:ascii="Arial" w:eastAsia="Calibri" w:hAnsi="Arial" w:cs="Arial"/>
                <w:sz w:val="20"/>
                <w:szCs w:val="20"/>
              </w:rPr>
            </w:pPr>
            <w:proofErr w:type="gramStart"/>
            <w:r w:rsidRPr="00BA639C">
              <w:rPr>
                <w:rFonts w:ascii="Arial" w:eastAsia="Calibri" w:hAnsi="Arial" w:cs="Arial"/>
                <w:sz w:val="20"/>
                <w:szCs w:val="20"/>
              </w:rPr>
              <w:t>PNC .</w:t>
            </w:r>
            <w:proofErr w:type="gramEnd"/>
            <w:r w:rsidRPr="00BA639C">
              <w:rPr>
                <w:rFonts w:ascii="Arial" w:eastAsia="Calibri" w:hAnsi="Arial" w:cs="Arial"/>
                <w:sz w:val="20"/>
                <w:szCs w:val="20"/>
              </w:rPr>
              <w:t xml:space="preserve"> Zaragoza</w:t>
            </w:r>
          </w:p>
        </w:tc>
        <w:tc>
          <w:tcPr>
            <w:tcW w:w="4233" w:type="dxa"/>
          </w:tcPr>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Jorge Cortez</w:t>
            </w:r>
          </w:p>
          <w:p w:rsidR="00BA639C" w:rsidRPr="00BA639C" w:rsidRDefault="00BA639C" w:rsidP="00BA639C">
            <w:pPr>
              <w:jc w:val="center"/>
              <w:rPr>
                <w:rFonts w:ascii="Arial" w:eastAsia="Calibri" w:hAnsi="Arial" w:cs="Arial"/>
                <w:sz w:val="20"/>
                <w:szCs w:val="20"/>
              </w:rPr>
            </w:pPr>
            <w:r w:rsidRPr="00BA639C">
              <w:rPr>
                <w:rFonts w:ascii="Arial" w:eastAsia="Calibri" w:hAnsi="Arial" w:cs="Arial"/>
                <w:sz w:val="20"/>
                <w:szCs w:val="20"/>
              </w:rPr>
              <w:t>DGPC</w:t>
            </w:r>
          </w:p>
        </w:tc>
      </w:tr>
    </w:tbl>
    <w:p w:rsidR="00BA639C" w:rsidRDefault="00BA639C"/>
    <w:sectPr w:rsidR="00BA63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9C"/>
    <w:rsid w:val="0096249D"/>
    <w:rsid w:val="00BA63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9235F-88E5-4890-A0DF-43F280C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1</cp:revision>
  <dcterms:created xsi:type="dcterms:W3CDTF">2020-06-09T15:11:00Z</dcterms:created>
  <dcterms:modified xsi:type="dcterms:W3CDTF">2020-06-09T15:13:00Z</dcterms:modified>
</cp:coreProperties>
</file>