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B60" w:rsidRPr="00A32B60" w:rsidRDefault="004B0095" w:rsidP="00A32B60">
      <w:pPr>
        <w:widowControl w:val="0"/>
        <w:autoSpaceDE w:val="0"/>
        <w:autoSpaceDN w:val="0"/>
        <w:spacing w:after="0" w:line="359" w:lineRule="exact"/>
        <w:ind w:left="3240"/>
        <w:rPr>
          <w:rFonts w:ascii="Arial" w:eastAsia="Times New Roman" w:hAnsi="Arial" w:cs="Times New Roman"/>
          <w:b/>
          <w:i/>
          <w:sz w:val="25"/>
          <w:lang w:val="es-ES" w:eastAsia="es-ES" w:bidi="es-ES"/>
        </w:rPr>
      </w:pPr>
      <w:r w:rsidRPr="00A32B6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903730" cy="114300"/>
                <wp:effectExtent l="0" t="0" r="1270" b="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1143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504CE" id="Rectángulo 10" o:spid="_x0000_s1026" style="position:absolute;margin-left:0;margin-top:6.2pt;width:149.9pt;height: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" fillcolor="#d1d3d4" stroked="f">
                <w10:wrap anchorx="margin"/>
              </v:rect>
            </w:pict>
          </mc:Fallback>
        </mc:AlternateContent>
      </w:r>
      <w:r w:rsidR="00A32B60" w:rsidRPr="00A32B60">
        <w:rPr>
          <w:rFonts w:ascii="Arial" w:eastAsia="Times New Roman" w:hAnsi="Arial" w:cs="Times New Roman"/>
          <w:b/>
          <w:i/>
          <w:color w:val="231F20"/>
          <w:sz w:val="36"/>
          <w:lang w:val="es-ES" w:eastAsia="es-ES" w:bidi="es-ES"/>
        </w:rPr>
        <w:t>A</w:t>
      </w:r>
      <w:r w:rsidR="00A32B60" w:rsidRPr="00A32B60">
        <w:rPr>
          <w:rFonts w:ascii="Arial" w:eastAsia="Times New Roman" w:hAnsi="Arial" w:cs="Times New Roman"/>
          <w:b/>
          <w:i/>
          <w:color w:val="231F20"/>
          <w:sz w:val="25"/>
          <w:lang w:val="es-ES" w:eastAsia="es-ES" w:bidi="es-ES"/>
        </w:rPr>
        <w:t xml:space="preserve">LCALDÍAS </w:t>
      </w:r>
      <w:r w:rsidR="00A32B60" w:rsidRPr="00A32B60">
        <w:rPr>
          <w:rFonts w:ascii="Arial" w:eastAsia="Times New Roman" w:hAnsi="Arial" w:cs="Times New Roman"/>
          <w:b/>
          <w:i/>
          <w:color w:val="231F20"/>
          <w:sz w:val="36"/>
          <w:lang w:val="es-ES" w:eastAsia="es-ES" w:bidi="es-ES"/>
        </w:rPr>
        <w:t>M</w:t>
      </w:r>
      <w:r w:rsidR="00A32B60" w:rsidRPr="00A32B60">
        <w:rPr>
          <w:rFonts w:ascii="Arial" w:eastAsia="Times New Roman" w:hAnsi="Arial" w:cs="Times New Roman"/>
          <w:b/>
          <w:i/>
          <w:color w:val="231F20"/>
          <w:sz w:val="25"/>
          <w:lang w:val="es-ES" w:eastAsia="es-ES" w:bidi="es-ES"/>
        </w:rPr>
        <w:t>UNICIPALES</w:t>
      </w:r>
    </w:p>
    <w:p w:rsidR="00A32B60" w:rsidRPr="00A32B60" w:rsidRDefault="00A32B60" w:rsidP="00A32B60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Times New Roman" w:cs="Times New Roman"/>
          <w:b/>
          <w:i/>
          <w:sz w:val="13"/>
          <w:szCs w:val="16"/>
          <w:lang w:val="es-ES" w:eastAsia="es-ES" w:bidi="es-ES"/>
        </w:rPr>
      </w:pPr>
    </w:p>
    <w:p w:rsidR="00A32B60" w:rsidRPr="00A32B60" w:rsidRDefault="00A32B60" w:rsidP="00A32B60">
      <w:pPr>
        <w:widowControl w:val="0"/>
        <w:autoSpaceDE w:val="0"/>
        <w:autoSpaceDN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 w:rsidRPr="00A32B6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4977130</wp:posOffset>
                </wp:positionH>
                <wp:positionV relativeFrom="paragraph">
                  <wp:posOffset>-269240</wp:posOffset>
                </wp:positionV>
                <wp:extent cx="1861820" cy="114300"/>
                <wp:effectExtent l="0" t="0" r="0" b="190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820" cy="1143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81418" id="Rectángulo 11" o:spid="_x0000_s1026" style="position:absolute;margin-left:391.9pt;margin-top:-21.2pt;width:146.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" fillcolor="#d1d3d4" stroked="f">
                <w10:wrap anchorx="page"/>
              </v:rect>
            </w:pict>
          </mc:Fallback>
        </mc:AlternateContent>
      </w:r>
      <w:r w:rsidRPr="00A32B6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s-ES" w:eastAsia="es-ES" w:bidi="es-ES"/>
        </w:rPr>
        <w:t>DECRETO NÚMERO TRES</w:t>
      </w:r>
    </w:p>
    <w:p w:rsidR="00A32B60" w:rsidRDefault="00A32B60" w:rsidP="00A32B60">
      <w:pPr>
        <w:widowControl w:val="0"/>
        <w:autoSpaceDE w:val="0"/>
        <w:autoSpaceDN w:val="0"/>
        <w:spacing w:after="0" w:line="240" w:lineRule="auto"/>
        <w:ind w:left="16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s-ES" w:eastAsia="es-ES" w:bidi="es-ES"/>
        </w:rPr>
      </w:pPr>
    </w:p>
    <w:p w:rsidR="00A32B60" w:rsidRPr="00A32B60" w:rsidRDefault="00A32B60" w:rsidP="00A32B60">
      <w:pPr>
        <w:widowControl w:val="0"/>
        <w:autoSpaceDE w:val="0"/>
        <w:autoSpaceDN w:val="0"/>
        <w:spacing w:after="0" w:line="240" w:lineRule="auto"/>
        <w:ind w:left="16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 w:rsidRPr="00A32B6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s-ES" w:eastAsia="es-ES" w:bidi="es-ES"/>
        </w:rPr>
        <w:t>CONSIDERANDO:</w:t>
      </w:r>
      <w:bookmarkStart w:id="0" w:name="_GoBack"/>
      <w:bookmarkEnd w:id="0"/>
    </w:p>
    <w:p w:rsidR="00A32B60" w:rsidRPr="00A32B60" w:rsidRDefault="00A32B60" w:rsidP="00A32B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es-ES" w:eastAsia="es-ES" w:bidi="es-ES"/>
        </w:rPr>
      </w:pPr>
    </w:p>
    <w:p w:rsidR="00A32B60" w:rsidRPr="00A32B60" w:rsidRDefault="00A32B60" w:rsidP="00A32B6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16"/>
          <w:lang w:val="es-ES" w:eastAsia="es-ES" w:bidi="es-ES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 xml:space="preserve">I.- Que el artículo 203 y 204 de la Constitución de la República expresa que los Municipios son autónomos y corresponde crear tasas y con- </w:t>
      </w:r>
      <w:proofErr w:type="spellStart"/>
      <w:r w:rsidRPr="00B1070C">
        <w:rPr>
          <w:rFonts w:ascii="Times New Roman" w:hAnsi="Times New Roman" w:cs="Times New Roman"/>
          <w:sz w:val="24"/>
          <w:szCs w:val="24"/>
        </w:rPr>
        <w:t>tribuciones</w:t>
      </w:r>
      <w:proofErr w:type="spellEnd"/>
      <w:r w:rsidRPr="00B1070C">
        <w:rPr>
          <w:rFonts w:ascii="Times New Roman" w:hAnsi="Times New Roman" w:cs="Times New Roman"/>
          <w:sz w:val="24"/>
          <w:szCs w:val="24"/>
        </w:rPr>
        <w:t xml:space="preserve"> para la realización de sus obras.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>II.- Que según el Código Municipal es competencia de la Municipalidad la planificación, ejecución y mantenimiento de obras de servicios que beneficien a la población en general.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 xml:space="preserve">III.- </w:t>
      </w:r>
      <w:proofErr w:type="gramStart"/>
      <w:r w:rsidRPr="00B1070C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B1070C">
        <w:rPr>
          <w:rFonts w:ascii="Times New Roman" w:hAnsi="Times New Roman" w:cs="Times New Roman"/>
          <w:sz w:val="24"/>
          <w:szCs w:val="24"/>
        </w:rPr>
        <w:t xml:space="preserve"> con el objeto de mejorar las condiciones de vida, bienestar y seguridad de los habitantes del Municipio, se debe contar con recursos económicos que permitan lograr estos objetivos y permitan invertir en la instalación, pago y mantenimiento del servicio de alumbrado público y pavimentación de calles, estableciendo una contribución especial según lo dispuesto en la Ley General Tributaria Municipal.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 xml:space="preserve">IV.- Que según la Ley Tributaria Municipal en lo establecido en el artículo 9, las ordenanzas de tasas por servicios </w:t>
      </w:r>
      <w:proofErr w:type="gramStart"/>
      <w:r w:rsidRPr="00B1070C">
        <w:rPr>
          <w:rFonts w:ascii="Times New Roman" w:hAnsi="Times New Roman" w:cs="Times New Roman"/>
          <w:sz w:val="24"/>
          <w:szCs w:val="24"/>
        </w:rPr>
        <w:t>municipales</w:t>
      </w:r>
      <w:proofErr w:type="gramEnd"/>
      <w:r w:rsidRPr="00B1070C">
        <w:rPr>
          <w:rFonts w:ascii="Times New Roman" w:hAnsi="Times New Roman" w:cs="Times New Roman"/>
          <w:sz w:val="24"/>
          <w:szCs w:val="24"/>
        </w:rPr>
        <w:t xml:space="preserve"> así como las ordenanzas de contribuciones especiales serán aplicadas en un plazo determinado o indefinido.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>V.- Que según la Ley Tributaria Municipal en lo establecido en el artículo 148, para poder aplicar una contribución especial, los Municipios deberán emitir las ordenanzas correspondientes.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0C" w:rsidRPr="00B1070C" w:rsidRDefault="00B1070C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0C" w:rsidRPr="00A32B60" w:rsidRDefault="00B1070C" w:rsidP="00B1070C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A32B60" w:rsidRPr="00A32B60" w:rsidRDefault="00A32B60" w:rsidP="00B1070C">
      <w:pPr>
        <w:widowControl w:val="0"/>
        <w:autoSpaceDE w:val="0"/>
        <w:autoSpaceDN w:val="0"/>
        <w:spacing w:after="0" w:line="360" w:lineRule="auto"/>
        <w:ind w:left="159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 w:rsidRPr="00A32B6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s-ES" w:eastAsia="es-ES" w:bidi="es-ES"/>
        </w:rPr>
        <w:lastRenderedPageBreak/>
        <w:t>POR TANTO: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>En uso de sus facultades constitucionales y legales, el Concejo Municipal de Zaragoza,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>DECRETA la siguiente: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>ORDENANZA DE CONTRIBUCIÓN ESPECIAL PARA EL MANTENIMIENTO DE CALLES Y AVENIDAS (VÍAS DE DISTRIBUCIÓN, VÍAS DE REPARTO Y VÍAS DE ACCESO) INSTALACIÓN, PAGO Y MANTENIMIENTO DEL SERVICIO DE ALUMBRADO PÚBLICO Y MEJORAMIENTO DE MOBILIARIO E INFRAESTRUCTURA URBANA DENTRO DEL MUNICIPIO DE ZARAGOZA, DEPARTAMENTO DE LA LIBERTAD, REPÚBLICA DE EL SALVADOR.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4B0095" w:rsidRDefault="00A32B60" w:rsidP="00B107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095">
        <w:rPr>
          <w:rFonts w:ascii="Times New Roman" w:hAnsi="Times New Roman" w:cs="Times New Roman"/>
          <w:b/>
          <w:bCs/>
          <w:sz w:val="24"/>
          <w:szCs w:val="24"/>
        </w:rPr>
        <w:t>Objeto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>Art. 1.- La presente Ordenanza tiene por objeto el mejoramiento de los servicios municipales, normar y regular el cobro de la contribución especial para el mantenimiento de las vías de distribución, vías de reparto y vías de acceso, para la instalación, pago y mantenimiento del servicio de alumbrado público, así como el mejoramiento del mobiliario e infraestructura urbana.</w:t>
      </w:r>
    </w:p>
    <w:p w:rsidR="00A32B60" w:rsidRPr="00B1070C" w:rsidRDefault="00A32B60" w:rsidP="00B10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60" w:rsidRPr="004B0095" w:rsidRDefault="00A32B60" w:rsidP="00B107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095">
        <w:rPr>
          <w:rFonts w:ascii="Times New Roman" w:hAnsi="Times New Roman" w:cs="Times New Roman"/>
          <w:b/>
          <w:bCs/>
          <w:sz w:val="24"/>
          <w:szCs w:val="24"/>
        </w:rPr>
        <w:t>Hecho Generador</w:t>
      </w:r>
    </w:p>
    <w:p w:rsidR="00A32B60" w:rsidRPr="00A32B60" w:rsidRDefault="00A32B60" w:rsidP="004B0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32B60" w:rsidRPr="00A32B60" w:rsidSect="00B1070C">
          <w:pgSz w:w="11960" w:h="15840"/>
          <w:pgMar w:top="720" w:right="720" w:bottom="720" w:left="720" w:header="720" w:footer="720" w:gutter="0"/>
          <w:cols w:space="720"/>
          <w:docGrid w:linePitch="299"/>
        </w:sectPr>
      </w:pPr>
      <w:r w:rsidRPr="00B1070C">
        <w:rPr>
          <w:rFonts w:ascii="Times New Roman" w:hAnsi="Times New Roman" w:cs="Times New Roman"/>
          <w:sz w:val="24"/>
          <w:szCs w:val="24"/>
        </w:rPr>
        <w:t>Art. 2.- Se entenderá por Hecho Generador, a la obtención de parte de la población del Municipio de un beneficio proveniente del mejoramiento del entorno a través de la ampliación de la cobertura de los servicios mu</w:t>
      </w:r>
      <w:r w:rsidR="004B0095">
        <w:rPr>
          <w:rFonts w:ascii="Times New Roman" w:hAnsi="Times New Roman" w:cs="Times New Roman"/>
          <w:sz w:val="24"/>
          <w:szCs w:val="24"/>
        </w:rPr>
        <w:t>n</w:t>
      </w:r>
      <w:r w:rsidRPr="00B1070C">
        <w:rPr>
          <w:rFonts w:ascii="Times New Roman" w:hAnsi="Times New Roman" w:cs="Times New Roman"/>
          <w:sz w:val="24"/>
          <w:szCs w:val="24"/>
        </w:rPr>
        <w:t>icipales.</w:t>
      </w:r>
    </w:p>
    <w:p w:rsidR="00A32B60" w:rsidRPr="00A32B60" w:rsidRDefault="00A32B60" w:rsidP="004B009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16"/>
          <w:lang w:val="es-ES" w:eastAsia="es-ES" w:bidi="es-ES"/>
        </w:rPr>
      </w:pPr>
    </w:p>
    <w:p w:rsidR="00A32B60" w:rsidRDefault="00A32B60" w:rsidP="00B1070C">
      <w:pPr>
        <w:widowControl w:val="0"/>
        <w:autoSpaceDE w:val="0"/>
        <w:autoSpaceDN w:val="0"/>
        <w:spacing w:before="78" w:after="0" w:line="360" w:lineRule="auto"/>
        <w:ind w:left="52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  <w:r w:rsidRPr="00A32B60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s-ES" w:eastAsia="es-ES" w:bidi="es-ES"/>
        </w:rPr>
        <w:t>Sujeto Activo</w:t>
      </w:r>
    </w:p>
    <w:p w:rsidR="00A32B60" w:rsidRPr="00A32B60" w:rsidRDefault="00A32B60" w:rsidP="00B1070C">
      <w:pPr>
        <w:widowControl w:val="0"/>
        <w:autoSpaceDE w:val="0"/>
        <w:autoSpaceDN w:val="0"/>
        <w:spacing w:before="78" w:after="0" w:line="360" w:lineRule="auto"/>
        <w:ind w:left="52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Art. 3.- Será Sujeto Activo de la Obligación Tributaria Municipal, el Municipio como tal, siendo acreedor de los respectivos tributos.</w:t>
      </w:r>
    </w:p>
    <w:p w:rsidR="00A32B60" w:rsidRPr="00A32B60" w:rsidRDefault="00A32B60" w:rsidP="00B1070C">
      <w:pPr>
        <w:widowControl w:val="0"/>
        <w:autoSpaceDE w:val="0"/>
        <w:autoSpaceDN w:val="0"/>
        <w:spacing w:before="146" w:after="0" w:line="360" w:lineRule="auto"/>
        <w:ind w:left="52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  <w:r w:rsidRPr="00A32B60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s-ES" w:eastAsia="es-ES" w:bidi="es-ES"/>
        </w:rPr>
        <w:t>Sujeto Pasivo</w:t>
      </w:r>
    </w:p>
    <w:p w:rsidR="00A32B60" w:rsidRPr="00A32B60" w:rsidRDefault="00A32B60" w:rsidP="00B1070C">
      <w:pPr>
        <w:widowControl w:val="0"/>
        <w:autoSpaceDE w:val="0"/>
        <w:autoSpaceDN w:val="0"/>
        <w:spacing w:before="4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</w:p>
    <w:p w:rsidR="00A32B60" w:rsidRPr="00A32B60" w:rsidRDefault="00A32B60" w:rsidP="00B1070C">
      <w:pPr>
        <w:widowControl w:val="0"/>
        <w:autoSpaceDE w:val="0"/>
        <w:autoSpaceDN w:val="0"/>
        <w:spacing w:after="0" w:line="360" w:lineRule="auto"/>
        <w:ind w:left="168" w:right="1165"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Art.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4.-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Será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Sujeto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Pasivo,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las</w:t>
      </w:r>
      <w:r w:rsidRPr="00A32B6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personas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naturales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o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jurídicas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que</w:t>
      </w:r>
      <w:r w:rsidRPr="00A32B6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posean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bienes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inmuebles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ubicados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en</w:t>
      </w:r>
      <w:r w:rsidRPr="00A32B6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zonas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residenciales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y</w:t>
      </w:r>
      <w:r w:rsidRPr="00A32B6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condominios</w:t>
      </w:r>
      <w:r w:rsidRPr="00A32B6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dentro del Municipio, esto incluye el cobro por usos tales como oficinas, casa club, restaurantes, salones de reuniones, edificios recreativos y todo tipo de usos. Comprende todo tipo de proyectos residenciales normados bajo régimen de</w:t>
      </w:r>
      <w:r w:rsidRPr="00A32B60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es-ES" w:eastAsia="es-ES" w:bidi="es-ES"/>
        </w:rPr>
        <w:t xml:space="preserve"> </w:t>
      </w: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condominio.</w:t>
      </w:r>
    </w:p>
    <w:p w:rsidR="00A32B60" w:rsidRPr="00A32B60" w:rsidRDefault="00A32B60" w:rsidP="00B1070C">
      <w:pPr>
        <w:widowControl w:val="0"/>
        <w:autoSpaceDE w:val="0"/>
        <w:autoSpaceDN w:val="0"/>
        <w:spacing w:before="1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A32B60" w:rsidRPr="00A32B60" w:rsidRDefault="00A32B60" w:rsidP="00B1070C">
      <w:pPr>
        <w:widowControl w:val="0"/>
        <w:autoSpaceDE w:val="0"/>
        <w:autoSpaceDN w:val="0"/>
        <w:spacing w:after="0" w:line="360" w:lineRule="auto"/>
        <w:ind w:left="52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 xml:space="preserve">Art. 5.- La base imponible de la contribución especial se establece </w:t>
      </w:r>
      <w:proofErr w:type="gramStart"/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>de acuerdo a</w:t>
      </w:r>
      <w:proofErr w:type="gramEnd"/>
      <w:r w:rsidRPr="00A32B60"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es-ES" w:bidi="es-ES"/>
        </w:rPr>
        <w:t xml:space="preserve"> los siguientes parámetros:</w:t>
      </w:r>
    </w:p>
    <w:p w:rsidR="00A32B60" w:rsidRPr="00A32B60" w:rsidRDefault="00A32B60" w:rsidP="00B1070C">
      <w:pPr>
        <w:widowControl w:val="0"/>
        <w:autoSpaceDE w:val="0"/>
        <w:autoSpaceDN w:val="0"/>
        <w:spacing w:before="161" w:after="0" w:line="360" w:lineRule="auto"/>
        <w:ind w:left="5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  <w:r w:rsidRPr="00A32B60">
        <w:rPr>
          <w:rFonts w:ascii="Times New Roman" w:eastAsia="Times New Roman" w:hAnsi="Times New Roman" w:cs="Times New Roman"/>
          <w:noProof/>
          <w:sz w:val="24"/>
          <w:szCs w:val="24"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2203450</wp:posOffset>
                </wp:positionV>
                <wp:extent cx="4664710" cy="355600"/>
                <wp:effectExtent l="0" t="1491615" r="0" b="15341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4664710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B60" w:rsidRDefault="00A32B60" w:rsidP="00A32B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3F3F3F"/>
                                <w:sz w:val="56"/>
                                <w:szCs w:val="56"/>
                                <w14:textFill>
                                  <w14:solidFill>
                                    <w14:srgbClr w14:val="3F3F3F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NO TIENE VALIDEZ LEGAL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27.2pt;margin-top:173.5pt;width:367.3pt;height:28pt;rotation:-45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:rsidR="00A32B60" w:rsidRDefault="00A32B60" w:rsidP="00A32B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3F3F3F"/>
                          <w:sz w:val="56"/>
                          <w:szCs w:val="56"/>
                          <w14:textFill>
                            <w14:solidFill>
                              <w14:srgbClr w14:val="3F3F3F">
                                <w14:alpha w14:val="55000"/>
                              </w14:srgbClr>
                            </w14:solidFill>
                          </w14:textFill>
                        </w:rPr>
                        <w:t>NO TIENE VALIDEZ LEGAL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32B60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s-ES" w:eastAsia="es-ES" w:bidi="es-ES"/>
        </w:rPr>
        <w:t>Áreas de construcción:</w:t>
      </w:r>
    </w:p>
    <w:p w:rsidR="00A32B60" w:rsidRPr="00A32B60" w:rsidRDefault="00A32B60" w:rsidP="00B1070C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b/>
          <w:sz w:val="12"/>
          <w:szCs w:val="16"/>
          <w:lang w:val="es-ES" w:eastAsia="es-ES" w:bidi="es-E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5985"/>
        <w:gridCol w:w="3595"/>
      </w:tblGrid>
      <w:tr w:rsidR="00A32B60" w:rsidRPr="00A32B60" w:rsidTr="00A32B60">
        <w:trPr>
          <w:trHeight w:val="697"/>
        </w:trPr>
        <w:tc>
          <w:tcPr>
            <w:tcW w:w="5985" w:type="dxa"/>
          </w:tcPr>
          <w:p w:rsidR="00A32B60" w:rsidRPr="00A32B60" w:rsidRDefault="00A32B60" w:rsidP="00B1070C">
            <w:pPr>
              <w:tabs>
                <w:tab w:val="left" w:pos="510"/>
              </w:tabs>
              <w:spacing w:before="45" w:line="360" w:lineRule="auto"/>
              <w:ind w:left="50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a)</w:t>
            </w: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ab/>
            </w:r>
            <w:r w:rsidRPr="00A32B60">
              <w:rPr>
                <w:rFonts w:ascii="Times New Roman" w:eastAsia="Calibri" w:hAnsi="Calibri" w:cs="Calibri"/>
                <w:b/>
                <w:color w:val="231F20"/>
                <w:lang w:val="es-ES" w:eastAsia="es-ES" w:bidi="es-ES"/>
              </w:rPr>
              <w:t>Habitacionales</w:t>
            </w:r>
          </w:p>
          <w:p w:rsidR="00A32B60" w:rsidRPr="00A32B60" w:rsidRDefault="00A32B60" w:rsidP="00B1070C">
            <w:pPr>
              <w:spacing w:before="3" w:line="360" w:lineRule="auto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:rsidR="00A32B60" w:rsidRPr="00A32B60" w:rsidRDefault="00A32B60" w:rsidP="00B1070C">
            <w:pPr>
              <w:spacing w:before="1" w:line="360" w:lineRule="auto"/>
              <w:ind w:left="510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A32B60">
              <w:rPr>
                <w:rFonts w:ascii="Times New Roman" w:eastAsia="Calibri" w:hAnsi="Times New Roman" w:cs="Calibri"/>
                <w:b/>
                <w:color w:val="231F20"/>
                <w:lang w:val="es-ES" w:eastAsia="es-ES" w:bidi="es-ES"/>
              </w:rPr>
              <w:t>Área de construcción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line="360" w:lineRule="auto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:rsidR="00A32B60" w:rsidRPr="00A32B60" w:rsidRDefault="00A32B60" w:rsidP="00B1070C">
            <w:pPr>
              <w:spacing w:before="2" w:line="360" w:lineRule="auto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:rsidR="00A32B60" w:rsidRPr="00A32B60" w:rsidRDefault="00A32B60" w:rsidP="00B1070C">
            <w:pPr>
              <w:spacing w:before="1" w:line="360" w:lineRule="auto"/>
              <w:ind w:left="651" w:right="35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b/>
                <w:color w:val="231F20"/>
                <w:lang w:val="es-ES" w:eastAsia="es-ES" w:bidi="es-ES"/>
              </w:rPr>
              <w:t>Pago mensual</w:t>
            </w:r>
          </w:p>
        </w:tc>
      </w:tr>
      <w:tr w:rsidR="00A32B60" w:rsidRPr="00A32B60" w:rsidTr="00A32B60">
        <w:trPr>
          <w:trHeight w:val="372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10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Hasta 150.00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0" w:right="35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$ 10.00</w:t>
            </w:r>
          </w:p>
        </w:tc>
      </w:tr>
      <w:tr w:rsidR="00A32B60" w:rsidRPr="00A32B60" w:rsidTr="00A32B60">
        <w:trPr>
          <w:trHeight w:val="372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09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De 150.01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 xml:space="preserve">2 </w:t>
            </w: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hasta 300.00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1" w:right="29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$ 14.00</w:t>
            </w:r>
          </w:p>
        </w:tc>
      </w:tr>
      <w:tr w:rsidR="00A32B60" w:rsidRPr="00A32B60" w:rsidTr="00A32B60">
        <w:trPr>
          <w:trHeight w:val="372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10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De 300.01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 xml:space="preserve">2 </w:t>
            </w: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hasta 500.00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1" w:right="30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$ 17.50</w:t>
            </w:r>
          </w:p>
        </w:tc>
      </w:tr>
      <w:tr w:rsidR="00A32B60" w:rsidRPr="00A32B60" w:rsidTr="00A32B60">
        <w:trPr>
          <w:trHeight w:val="461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09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Mayores de 500.01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1" w:right="30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$ 20.00</w:t>
            </w:r>
          </w:p>
        </w:tc>
      </w:tr>
      <w:tr w:rsidR="00A32B60" w:rsidRPr="00A32B60" w:rsidTr="00A32B60">
        <w:trPr>
          <w:trHeight w:val="833"/>
        </w:trPr>
        <w:tc>
          <w:tcPr>
            <w:tcW w:w="5985" w:type="dxa"/>
          </w:tcPr>
          <w:p w:rsidR="00A32B60" w:rsidRPr="00A32B60" w:rsidRDefault="00A32B60" w:rsidP="00B1070C">
            <w:pPr>
              <w:tabs>
                <w:tab w:val="left" w:pos="509"/>
              </w:tabs>
              <w:spacing w:before="33" w:line="360" w:lineRule="auto"/>
              <w:ind w:left="509" w:right="2439" w:hanging="460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A32B60">
              <w:rPr>
                <w:rFonts w:ascii="Times New Roman" w:eastAsia="Calibri" w:hAnsi="Times New Roman" w:cs="Calibri"/>
                <w:color w:val="231F20"/>
                <w:lang w:val="es-ES" w:eastAsia="es-ES" w:bidi="es-ES"/>
              </w:rPr>
              <w:t>b)</w:t>
            </w:r>
            <w:r w:rsidRPr="00A32B60">
              <w:rPr>
                <w:rFonts w:ascii="Times New Roman" w:eastAsia="Calibri" w:hAnsi="Times New Roman" w:cs="Calibri"/>
                <w:color w:val="231F20"/>
                <w:lang w:val="es-ES" w:eastAsia="es-ES" w:bidi="es-ES"/>
              </w:rPr>
              <w:tab/>
            </w:r>
            <w:r w:rsidRPr="00A32B60">
              <w:rPr>
                <w:rFonts w:ascii="Times New Roman" w:eastAsia="Calibri" w:hAnsi="Times New Roman" w:cs="Calibri"/>
                <w:b/>
                <w:color w:val="231F20"/>
                <w:lang w:val="es-ES" w:eastAsia="es-ES" w:bidi="es-ES"/>
              </w:rPr>
              <w:t xml:space="preserve">Usos diferentes al habitacional o usos </w:t>
            </w:r>
            <w:r w:rsidRPr="00A32B60">
              <w:rPr>
                <w:rFonts w:ascii="Times New Roman" w:eastAsia="Calibri" w:hAnsi="Times New Roman" w:cs="Calibri"/>
                <w:b/>
                <w:color w:val="231F20"/>
                <w:spacing w:val="-3"/>
                <w:lang w:val="es-ES" w:eastAsia="es-ES" w:bidi="es-ES"/>
              </w:rPr>
              <w:t xml:space="preserve">varios </w:t>
            </w:r>
            <w:r w:rsidRPr="00A32B60">
              <w:rPr>
                <w:rFonts w:ascii="Times New Roman" w:eastAsia="Calibri" w:hAnsi="Times New Roman" w:cs="Calibri"/>
                <w:b/>
                <w:color w:val="231F20"/>
                <w:lang w:val="es-ES" w:eastAsia="es-ES" w:bidi="es-ES"/>
              </w:rPr>
              <w:t>Área de construcción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line="360" w:lineRule="auto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:rsidR="00A32B60" w:rsidRPr="00A32B60" w:rsidRDefault="00A32B60" w:rsidP="00B1070C">
            <w:pPr>
              <w:spacing w:line="360" w:lineRule="auto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:rsidR="00A32B60" w:rsidRPr="00A32B60" w:rsidRDefault="00A32B60" w:rsidP="00B1070C">
            <w:pPr>
              <w:spacing w:before="139" w:line="360" w:lineRule="auto"/>
              <w:ind w:left="650" w:right="35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b/>
                <w:color w:val="231F20"/>
                <w:lang w:val="es-ES" w:eastAsia="es-ES" w:bidi="es-ES"/>
              </w:rPr>
              <w:t>Pago mensual</w:t>
            </w:r>
          </w:p>
        </w:tc>
      </w:tr>
      <w:tr w:rsidR="00A32B60" w:rsidRPr="00A32B60" w:rsidTr="00A32B60">
        <w:trPr>
          <w:trHeight w:val="372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09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Hasta 150.00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1" w:right="30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$ 12.00</w:t>
            </w:r>
          </w:p>
        </w:tc>
      </w:tr>
      <w:tr w:rsidR="00A32B60" w:rsidRPr="00A32B60" w:rsidTr="00A32B60">
        <w:trPr>
          <w:trHeight w:val="372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09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De 150.01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 xml:space="preserve">2 </w:t>
            </w: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hasta 300.00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1" w:right="30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$ 15.00</w:t>
            </w:r>
          </w:p>
        </w:tc>
      </w:tr>
      <w:tr w:rsidR="00A32B60" w:rsidRPr="00A32B60" w:rsidTr="00A32B60">
        <w:trPr>
          <w:trHeight w:val="372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09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De 300.01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 xml:space="preserve">2 </w:t>
            </w: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hasta 500.00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1" w:right="30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$ 20.00</w:t>
            </w:r>
          </w:p>
        </w:tc>
      </w:tr>
      <w:tr w:rsidR="00A32B60" w:rsidRPr="00A32B60" w:rsidTr="00A32B60">
        <w:trPr>
          <w:trHeight w:val="461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09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Mayores de 500.01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1" w:right="30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$ 25.00</w:t>
            </w:r>
          </w:p>
        </w:tc>
      </w:tr>
      <w:tr w:rsidR="00A32B60" w:rsidRPr="00A32B60" w:rsidTr="00A32B60">
        <w:trPr>
          <w:trHeight w:val="833"/>
        </w:trPr>
        <w:tc>
          <w:tcPr>
            <w:tcW w:w="5985" w:type="dxa"/>
          </w:tcPr>
          <w:p w:rsidR="00A32B60" w:rsidRPr="00A32B60" w:rsidRDefault="00A32B60" w:rsidP="00B1070C">
            <w:pPr>
              <w:tabs>
                <w:tab w:val="left" w:pos="509"/>
              </w:tabs>
              <w:spacing w:before="33" w:line="360" w:lineRule="auto"/>
              <w:ind w:left="509" w:right="3857" w:hanging="460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A32B60">
              <w:rPr>
                <w:rFonts w:ascii="Times New Roman" w:eastAsia="Calibri" w:hAnsi="Times New Roman" w:cs="Calibri"/>
                <w:color w:val="231F20"/>
                <w:lang w:val="es-ES" w:eastAsia="es-ES" w:bidi="es-ES"/>
              </w:rPr>
              <w:t>c)</w:t>
            </w:r>
            <w:r w:rsidRPr="00A32B60">
              <w:rPr>
                <w:rFonts w:ascii="Times New Roman" w:eastAsia="Calibri" w:hAnsi="Times New Roman" w:cs="Calibri"/>
                <w:color w:val="231F20"/>
                <w:lang w:val="es-ES" w:eastAsia="es-ES" w:bidi="es-ES"/>
              </w:rPr>
              <w:tab/>
            </w:r>
            <w:r w:rsidRPr="00A32B60">
              <w:rPr>
                <w:rFonts w:ascii="Times New Roman" w:eastAsia="Calibri" w:hAnsi="Times New Roman" w:cs="Calibri"/>
                <w:b/>
                <w:color w:val="231F20"/>
                <w:lang w:val="es-ES" w:eastAsia="es-ES" w:bidi="es-ES"/>
              </w:rPr>
              <w:t>Condominios verticales Área de</w:t>
            </w:r>
            <w:r w:rsidRPr="00A32B60">
              <w:rPr>
                <w:rFonts w:ascii="Times New Roman" w:eastAsia="Calibri" w:hAnsi="Times New Roman" w:cs="Calibri"/>
                <w:b/>
                <w:color w:val="231F20"/>
                <w:spacing w:val="5"/>
                <w:lang w:val="es-ES" w:eastAsia="es-ES" w:bidi="es-ES"/>
              </w:rPr>
              <w:t xml:space="preserve"> </w:t>
            </w:r>
            <w:r w:rsidRPr="00A32B60">
              <w:rPr>
                <w:rFonts w:ascii="Times New Roman" w:eastAsia="Calibri" w:hAnsi="Times New Roman" w:cs="Calibri"/>
                <w:b/>
                <w:color w:val="231F20"/>
                <w:lang w:val="es-ES" w:eastAsia="es-ES" w:bidi="es-ES"/>
              </w:rPr>
              <w:t>construcción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line="360" w:lineRule="auto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:rsidR="00A32B60" w:rsidRPr="00A32B60" w:rsidRDefault="00A32B60" w:rsidP="00B1070C">
            <w:pPr>
              <w:spacing w:line="360" w:lineRule="auto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:rsidR="00A32B60" w:rsidRPr="00A32B60" w:rsidRDefault="00A32B60" w:rsidP="00B1070C">
            <w:pPr>
              <w:spacing w:before="139" w:line="360" w:lineRule="auto"/>
              <w:ind w:left="650" w:right="35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b/>
                <w:color w:val="231F20"/>
                <w:lang w:val="es-ES" w:eastAsia="es-ES" w:bidi="es-ES"/>
              </w:rPr>
              <w:t>Pago mensual</w:t>
            </w:r>
          </w:p>
        </w:tc>
      </w:tr>
      <w:tr w:rsidR="00A32B60" w:rsidRPr="00A32B60" w:rsidTr="00A32B60">
        <w:trPr>
          <w:trHeight w:val="372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09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lastRenderedPageBreak/>
              <w:t>Apartamentos habitacionales hasta 150.00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1" w:right="35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$ 10.00</w:t>
            </w:r>
          </w:p>
        </w:tc>
      </w:tr>
      <w:tr w:rsidR="00A32B60" w:rsidRPr="00A32B60" w:rsidTr="00A32B60">
        <w:trPr>
          <w:trHeight w:val="371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10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Apartamentos habitacionales desde 150.01 hasta 200.00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1" w:right="35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$ 12.00</w:t>
            </w:r>
          </w:p>
        </w:tc>
      </w:tr>
      <w:tr w:rsidR="00A32B60" w:rsidRPr="00A32B60" w:rsidTr="00A32B60">
        <w:trPr>
          <w:trHeight w:val="461"/>
        </w:trPr>
        <w:tc>
          <w:tcPr>
            <w:tcW w:w="5985" w:type="dxa"/>
          </w:tcPr>
          <w:p w:rsidR="00A32B60" w:rsidRPr="00A32B60" w:rsidRDefault="00A32B60" w:rsidP="00B1070C">
            <w:pPr>
              <w:spacing w:before="91" w:line="360" w:lineRule="auto"/>
              <w:ind w:left="510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Apartamentos habitacionales mayores de 200.01 m</w:t>
            </w:r>
            <w:r w:rsidRPr="00A32B60">
              <w:rPr>
                <w:rFonts w:ascii="Times New Roman" w:eastAsia="Calibri" w:hAnsi="Calibri" w:cs="Calibri"/>
                <w:color w:val="231F20"/>
                <w:position w:val="5"/>
                <w:lang w:val="es-ES" w:eastAsia="es-ES" w:bidi="es-ES"/>
              </w:rPr>
              <w:t>2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before="91" w:line="360" w:lineRule="auto"/>
              <w:ind w:left="651" w:right="29"/>
              <w:jc w:val="center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Calibri" w:cs="Calibri"/>
                <w:color w:val="231F20"/>
                <w:lang w:val="es-ES" w:eastAsia="es-ES" w:bidi="es-ES"/>
              </w:rPr>
              <w:t>$ 15.00</w:t>
            </w:r>
          </w:p>
        </w:tc>
      </w:tr>
      <w:tr w:rsidR="00A32B60" w:rsidRPr="00A32B60" w:rsidTr="00A32B60">
        <w:trPr>
          <w:trHeight w:val="415"/>
        </w:trPr>
        <w:tc>
          <w:tcPr>
            <w:tcW w:w="5985" w:type="dxa"/>
          </w:tcPr>
          <w:p w:rsidR="00A32B60" w:rsidRPr="00A32B60" w:rsidRDefault="00A32B60" w:rsidP="00B1070C">
            <w:pPr>
              <w:spacing w:before="8" w:line="360" w:lineRule="auto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:rsidR="00A32B60" w:rsidRPr="00A32B60" w:rsidRDefault="00A32B60" w:rsidP="00B1070C">
            <w:pPr>
              <w:tabs>
                <w:tab w:val="left" w:pos="550"/>
              </w:tabs>
              <w:spacing w:line="360" w:lineRule="auto"/>
              <w:ind w:left="50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A32B60">
              <w:rPr>
                <w:rFonts w:ascii="Times New Roman" w:eastAsia="Calibri" w:hAnsi="Times New Roman" w:cs="Calibri"/>
                <w:color w:val="231F20"/>
                <w:lang w:val="es-ES" w:eastAsia="es-ES" w:bidi="es-ES"/>
              </w:rPr>
              <w:t>d)</w:t>
            </w:r>
            <w:r w:rsidRPr="00A32B60">
              <w:rPr>
                <w:rFonts w:ascii="Times New Roman" w:eastAsia="Calibri" w:hAnsi="Times New Roman" w:cs="Calibri"/>
                <w:color w:val="231F20"/>
                <w:lang w:val="es-ES" w:eastAsia="es-ES" w:bidi="es-ES"/>
              </w:rPr>
              <w:tab/>
              <w:t>Lotes baldíos destinados para uso habitacional pagarán $ 10.00 cada</w:t>
            </w:r>
            <w:r w:rsidRPr="00A32B60">
              <w:rPr>
                <w:rFonts w:ascii="Times New Roman" w:eastAsia="Calibri" w:hAnsi="Times New Roman" w:cs="Calibri"/>
                <w:color w:val="231F20"/>
                <w:spacing w:val="20"/>
                <w:lang w:val="es-ES" w:eastAsia="es-ES" w:bidi="es-ES"/>
              </w:rPr>
              <w:t xml:space="preserve"> </w:t>
            </w:r>
            <w:r w:rsidRPr="00A32B60">
              <w:rPr>
                <w:rFonts w:ascii="Times New Roman" w:eastAsia="Calibri" w:hAnsi="Times New Roman" w:cs="Calibri"/>
                <w:color w:val="231F20"/>
                <w:lang w:val="es-ES" w:eastAsia="es-ES" w:bidi="es-ES"/>
              </w:rPr>
              <w:t>mes.</w:t>
            </w:r>
          </w:p>
        </w:tc>
        <w:tc>
          <w:tcPr>
            <w:tcW w:w="3595" w:type="dxa"/>
          </w:tcPr>
          <w:p w:rsidR="00A32B60" w:rsidRPr="00A32B60" w:rsidRDefault="00A32B60" w:rsidP="00B1070C">
            <w:pPr>
              <w:spacing w:line="360" w:lineRule="auto"/>
              <w:rPr>
                <w:rFonts w:ascii="Times New Roman" w:eastAsia="Calibri" w:hAnsi="Calibri" w:cs="Calibri"/>
                <w:lang w:val="es-ES" w:eastAsia="es-ES" w:bidi="es-ES"/>
              </w:rPr>
            </w:pPr>
          </w:p>
        </w:tc>
      </w:tr>
    </w:tbl>
    <w:p w:rsidR="00A32B60" w:rsidRPr="00A32B60" w:rsidRDefault="00A32B60" w:rsidP="00B10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6"/>
          <w:lang w:val="es-ES" w:eastAsia="es-ES" w:bidi="es-ES"/>
        </w:rPr>
      </w:pPr>
    </w:p>
    <w:p w:rsidR="00A32B60" w:rsidRPr="00B1070C" w:rsidRDefault="00A32B60" w:rsidP="00B107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 xml:space="preserve">Art. 6.- La presente ordenanza será por un plazo indefinido y tanto el contribuyente como la Municipalidad quedan sujetos al cumplimiento de las obligaciones objeto de </w:t>
      </w:r>
      <w:proofErr w:type="gramStart"/>
      <w:r w:rsidRPr="00B1070C">
        <w:rPr>
          <w:rFonts w:ascii="Times New Roman" w:hAnsi="Times New Roman" w:cs="Times New Roman"/>
          <w:sz w:val="24"/>
          <w:szCs w:val="24"/>
        </w:rPr>
        <w:t>la misma</w:t>
      </w:r>
      <w:proofErr w:type="gramEnd"/>
      <w:r w:rsidRPr="00B1070C">
        <w:rPr>
          <w:rFonts w:ascii="Times New Roman" w:hAnsi="Times New Roman" w:cs="Times New Roman"/>
          <w:sz w:val="24"/>
          <w:szCs w:val="24"/>
        </w:rPr>
        <w:t>.</w:t>
      </w:r>
    </w:p>
    <w:p w:rsidR="00A32B60" w:rsidRPr="00B1070C" w:rsidRDefault="00A32B60" w:rsidP="00B107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>Art. 7.- El factor detallado en el artículo 5 de esta ordenanza es mensual; comprende del día primero al día último de cada mes, al pago mensual se aplicará el 5% en concepto de contribución especial para festividades locales.</w:t>
      </w:r>
    </w:p>
    <w:p w:rsidR="00B17169" w:rsidRPr="00B1070C" w:rsidRDefault="00A32B60" w:rsidP="00B107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>Art. 8.- Posterior a la notificación del cálculo de la base imponible y pago mensual, en caso de existir inconformidad podrá imponer recurso de apelación conforme a lo establecido en la Ley General Tributaria Municip</w:t>
      </w:r>
      <w:r w:rsidR="00B17169" w:rsidRPr="00B1070C">
        <w:rPr>
          <w:rFonts w:ascii="Times New Roman" w:hAnsi="Times New Roman" w:cs="Times New Roman"/>
          <w:sz w:val="24"/>
          <w:szCs w:val="24"/>
        </w:rPr>
        <w:t>al</w:t>
      </w:r>
      <w:r w:rsidR="004B0095">
        <w:rPr>
          <w:rFonts w:ascii="Times New Roman" w:hAnsi="Times New Roman" w:cs="Times New Roman"/>
          <w:sz w:val="24"/>
          <w:szCs w:val="24"/>
        </w:rPr>
        <w:t>.</w:t>
      </w:r>
    </w:p>
    <w:p w:rsidR="00B17169" w:rsidRPr="00B1070C" w:rsidRDefault="00B17169" w:rsidP="00B107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>Art. 9.- Los tributos a los que se refiere la presente ordenanza que no fueren pagados en el tiempo establecido, darán lugar al cobro de multa e interés moratorio según lo dispuesto en el artículo 47 de la Ley General Tributaria Municipal.</w:t>
      </w:r>
    </w:p>
    <w:p w:rsidR="00B17169" w:rsidRPr="00B1070C" w:rsidRDefault="00B17169" w:rsidP="00B107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>Art. 10.- Queda derogada todo tipo de normativa del mismo nivel jurídico que contradiga el contenido de la presente ordenanza.</w:t>
      </w:r>
    </w:p>
    <w:p w:rsidR="00B17169" w:rsidRPr="00B1070C" w:rsidRDefault="00B17169" w:rsidP="00B107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 xml:space="preserve">Art. 11.- La determinación de la base imponible, control y notificaciones serán ejercidos por el Catastro Municipal y supervisado por el Concejo Municipal, </w:t>
      </w:r>
      <w:proofErr w:type="gramStart"/>
      <w:r w:rsidRPr="00B1070C">
        <w:rPr>
          <w:rFonts w:ascii="Times New Roman" w:hAnsi="Times New Roman" w:cs="Times New Roman"/>
          <w:sz w:val="24"/>
          <w:szCs w:val="24"/>
        </w:rPr>
        <w:t>Alcalde</w:t>
      </w:r>
      <w:proofErr w:type="gramEnd"/>
      <w:r w:rsidRPr="00B1070C">
        <w:rPr>
          <w:rFonts w:ascii="Times New Roman" w:hAnsi="Times New Roman" w:cs="Times New Roman"/>
          <w:sz w:val="24"/>
          <w:szCs w:val="24"/>
        </w:rPr>
        <w:t xml:space="preserve"> u otros organismos dependientes que sean delegados.</w:t>
      </w:r>
    </w:p>
    <w:p w:rsidR="00B17169" w:rsidRPr="00B1070C" w:rsidRDefault="00B17169" w:rsidP="00B107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0C">
        <w:rPr>
          <w:rFonts w:ascii="Times New Roman" w:hAnsi="Times New Roman" w:cs="Times New Roman"/>
          <w:sz w:val="24"/>
          <w:szCs w:val="24"/>
        </w:rPr>
        <w:t xml:space="preserve">Art. 12.- La presente Ordenanza </w:t>
      </w:r>
      <w:proofErr w:type="gramStart"/>
      <w:r w:rsidRPr="00B1070C">
        <w:rPr>
          <w:rFonts w:ascii="Times New Roman" w:hAnsi="Times New Roman" w:cs="Times New Roman"/>
          <w:sz w:val="24"/>
          <w:szCs w:val="24"/>
        </w:rPr>
        <w:t>entrará en vigencia</w:t>
      </w:r>
      <w:proofErr w:type="gramEnd"/>
      <w:r w:rsidRPr="00B1070C">
        <w:rPr>
          <w:rFonts w:ascii="Times New Roman" w:hAnsi="Times New Roman" w:cs="Times New Roman"/>
          <w:sz w:val="24"/>
          <w:szCs w:val="24"/>
        </w:rPr>
        <w:t xml:space="preserve"> ocho días después de su publicación en el Diario Oficial</w:t>
      </w:r>
    </w:p>
    <w:p w:rsidR="00B17169" w:rsidRPr="00A32B60" w:rsidRDefault="00B17169" w:rsidP="00B107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B17169" w:rsidRPr="00A32B60" w:rsidSect="00B1070C">
          <w:pgSz w:w="11960" w:h="15840"/>
          <w:pgMar w:top="720" w:right="720" w:bottom="720" w:left="720" w:header="720" w:footer="720" w:gutter="0"/>
          <w:cols w:space="720"/>
          <w:docGrid w:linePitch="299"/>
        </w:sectPr>
      </w:pPr>
      <w:r w:rsidRPr="00B1070C">
        <w:rPr>
          <w:rFonts w:ascii="Times New Roman" w:hAnsi="Times New Roman" w:cs="Times New Roman"/>
          <w:sz w:val="24"/>
          <w:szCs w:val="24"/>
        </w:rPr>
        <w:t xml:space="preserve">Dado en el Salón de Sesiones del Concejo Municipal del Municipio de Zaragoza, a </w:t>
      </w:r>
      <w:r w:rsidR="004B0095" w:rsidRPr="00B1070C">
        <w:rPr>
          <w:rFonts w:ascii="Times New Roman" w:hAnsi="Times New Roman" w:cs="Times New Roman"/>
          <w:sz w:val="24"/>
          <w:szCs w:val="24"/>
        </w:rPr>
        <w:t>los unos días</w:t>
      </w:r>
      <w:r w:rsidRPr="00B1070C">
        <w:rPr>
          <w:rFonts w:ascii="Times New Roman" w:hAnsi="Times New Roman" w:cs="Times New Roman"/>
          <w:sz w:val="24"/>
          <w:szCs w:val="24"/>
        </w:rPr>
        <w:t xml:space="preserve"> del mes de diciembre del dos mil quince.</w:t>
      </w: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lastRenderedPageBreak/>
        <w:t>CARLOS JAVIER GUEVARA TURCIOS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1070C">
        <w:rPr>
          <w:rFonts w:ascii="Times New Roman" w:hAnsi="Times New Roman" w:cs="Times New Roman"/>
          <w:sz w:val="20"/>
          <w:szCs w:val="20"/>
        </w:rPr>
        <w:t xml:space="preserve">VERÓNICA DEL CARMEN ALFARO </w:t>
      </w:r>
      <w:proofErr w:type="gramStart"/>
      <w:r w:rsidRPr="00B1070C">
        <w:rPr>
          <w:rFonts w:ascii="Times New Roman" w:hAnsi="Times New Roman" w:cs="Times New Roman"/>
          <w:sz w:val="20"/>
          <w:szCs w:val="20"/>
        </w:rPr>
        <w:t xml:space="preserve">GALICIAS, 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</w:t>
      </w:r>
      <w:r w:rsidRPr="00B1070C">
        <w:rPr>
          <w:rFonts w:ascii="Times New Roman" w:hAnsi="Times New Roman" w:cs="Times New Roman"/>
          <w:sz w:val="20"/>
          <w:szCs w:val="20"/>
        </w:rPr>
        <w:t>ALCALDE MUNICIPAL.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SÍNDICA MUNICIPAL.</w:t>
      </w:r>
    </w:p>
    <w:p w:rsidR="00B17169" w:rsidRPr="00B1070C" w:rsidRDefault="00B17169" w:rsidP="00B1070C">
      <w:pPr>
        <w:rPr>
          <w:rFonts w:ascii="Times New Roman" w:hAnsi="Times New Roman" w:cs="Times New Roman"/>
          <w:sz w:val="20"/>
          <w:szCs w:val="20"/>
        </w:rPr>
      </w:pPr>
    </w:p>
    <w:p w:rsidR="00B17169" w:rsidRPr="00B1070C" w:rsidRDefault="00B17169" w:rsidP="00B1070C">
      <w:pPr>
        <w:rPr>
          <w:rFonts w:ascii="Times New Roman" w:hAnsi="Times New Roman" w:cs="Times New Roman"/>
          <w:sz w:val="20"/>
          <w:szCs w:val="20"/>
        </w:rPr>
      </w:pP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t xml:space="preserve">ANA MILAGRO PAZ </w:t>
      </w:r>
      <w:proofErr w:type="gramStart"/>
      <w:r w:rsidRPr="00B1070C">
        <w:rPr>
          <w:rFonts w:ascii="Times New Roman" w:hAnsi="Times New Roman" w:cs="Times New Roman"/>
          <w:sz w:val="20"/>
          <w:szCs w:val="20"/>
        </w:rPr>
        <w:t>PEÑA,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MARÍA TERESA HERNÁNDEZ DE NAJARRO,</w:t>
      </w:r>
      <w:r w:rsidR="00B1070C">
        <w:rPr>
          <w:rFonts w:ascii="Times New Roman" w:hAnsi="Times New Roman" w:cs="Times New Roman"/>
          <w:sz w:val="20"/>
          <w:szCs w:val="20"/>
        </w:rPr>
        <w:t xml:space="preserve"> </w:t>
      </w:r>
      <w:r w:rsidRPr="00B1070C">
        <w:rPr>
          <w:rFonts w:ascii="Times New Roman" w:hAnsi="Times New Roman" w:cs="Times New Roman"/>
          <w:sz w:val="20"/>
          <w:szCs w:val="20"/>
        </w:rPr>
        <w:t>PRIMERA REGIDORA PROPIETARI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A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SEGUNDA REGIDORA PROPIETARIA.</w:t>
      </w: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</w:p>
    <w:p w:rsidR="00B17169" w:rsidRPr="00B1070C" w:rsidRDefault="00B17169" w:rsidP="00B1070C">
      <w:pPr>
        <w:rPr>
          <w:rFonts w:ascii="Times New Roman" w:hAnsi="Times New Roman" w:cs="Times New Roman"/>
          <w:sz w:val="20"/>
          <w:szCs w:val="20"/>
        </w:rPr>
      </w:pPr>
    </w:p>
    <w:p w:rsidR="00A32B60" w:rsidRPr="00B1070C" w:rsidRDefault="00A32B60" w:rsidP="00B1070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t xml:space="preserve">JUAN JOSÉ RAMÍREZ </w:t>
      </w:r>
      <w:proofErr w:type="gramStart"/>
      <w:r w:rsidRPr="00B1070C">
        <w:rPr>
          <w:rFonts w:ascii="Times New Roman" w:hAnsi="Times New Roman" w:cs="Times New Roman"/>
          <w:sz w:val="20"/>
          <w:szCs w:val="20"/>
        </w:rPr>
        <w:t>MORALES,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JAIME EDUARDO ÁLVAREZ BURGOS,</w:t>
      </w:r>
    </w:p>
    <w:p w:rsidR="00A32B60" w:rsidRPr="00B1070C" w:rsidRDefault="00A32B60" w:rsidP="00B1070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t>TERCER REGIDOR PROPIETARIO.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CUARTO REGIDOR PROPIETARIO.</w:t>
      </w: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t xml:space="preserve">DANY WILFREDO RODRÍGUEZ </w:t>
      </w:r>
      <w:proofErr w:type="gramStart"/>
      <w:r w:rsidRPr="00B1070C">
        <w:rPr>
          <w:rFonts w:ascii="Times New Roman" w:hAnsi="Times New Roman" w:cs="Times New Roman"/>
          <w:sz w:val="20"/>
          <w:szCs w:val="20"/>
        </w:rPr>
        <w:t>REYES,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1070C">
        <w:rPr>
          <w:rFonts w:ascii="Times New Roman" w:hAnsi="Times New Roman" w:cs="Times New Roman"/>
          <w:sz w:val="20"/>
          <w:szCs w:val="20"/>
        </w:rPr>
        <w:t>AÍDA ESTHER BERMÚDEZ DE MORALES, QUINTO REGIDOR PROPIETARIO.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SEXTO REGIDOR PROPIETARIO.</w:t>
      </w: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t xml:space="preserve">JOSÉ ANTONIO </w:t>
      </w:r>
      <w:proofErr w:type="gramStart"/>
      <w:r w:rsidRPr="00B1070C">
        <w:rPr>
          <w:rFonts w:ascii="Times New Roman" w:hAnsi="Times New Roman" w:cs="Times New Roman"/>
          <w:sz w:val="20"/>
          <w:szCs w:val="20"/>
        </w:rPr>
        <w:t>MARTÍNEZ,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MANUEL ANTONIO NAVARRO SIGARÁN, SÉPTIMO REGIDOR PROPIETARIO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OCTAVO REGIDOR PROPIETARIO.</w:t>
      </w: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t xml:space="preserve">HENRY FRANCISCO </w:t>
      </w:r>
      <w:proofErr w:type="gramStart"/>
      <w:r w:rsidRPr="00B1070C">
        <w:rPr>
          <w:rFonts w:ascii="Times New Roman" w:hAnsi="Times New Roman" w:cs="Times New Roman"/>
          <w:sz w:val="20"/>
          <w:szCs w:val="20"/>
        </w:rPr>
        <w:t>BARILLAS,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MANUEL DE JESÚS MONTOYA,PRIMER REGIDOR SUPLENTE.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B1070C">
        <w:rPr>
          <w:rFonts w:ascii="Times New Roman" w:hAnsi="Times New Roman" w:cs="Times New Roman"/>
          <w:sz w:val="20"/>
          <w:szCs w:val="20"/>
        </w:rPr>
        <w:t xml:space="preserve">      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1070C">
        <w:rPr>
          <w:rFonts w:ascii="Times New Roman" w:hAnsi="Times New Roman" w:cs="Times New Roman"/>
          <w:sz w:val="20"/>
          <w:szCs w:val="20"/>
        </w:rPr>
        <w:t>SEGUNDO  REGIDOR</w:t>
      </w:r>
      <w:proofErr w:type="gramEnd"/>
      <w:r w:rsidRPr="00B1070C">
        <w:rPr>
          <w:rFonts w:ascii="Times New Roman" w:hAnsi="Times New Roman" w:cs="Times New Roman"/>
          <w:sz w:val="20"/>
          <w:szCs w:val="20"/>
        </w:rPr>
        <w:t xml:space="preserve"> SUPLENTE.</w:t>
      </w: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t xml:space="preserve">SANTOS RODOLFO </w:t>
      </w:r>
      <w:proofErr w:type="gramStart"/>
      <w:r w:rsidRPr="00B1070C">
        <w:rPr>
          <w:rFonts w:ascii="Times New Roman" w:hAnsi="Times New Roman" w:cs="Times New Roman"/>
          <w:sz w:val="20"/>
          <w:szCs w:val="20"/>
        </w:rPr>
        <w:t>CHICAS,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MAURICIO  ROMERO ARGUETA,</w:t>
      </w:r>
      <w:r w:rsidR="00B1070C">
        <w:rPr>
          <w:rFonts w:ascii="Times New Roman" w:hAnsi="Times New Roman" w:cs="Times New Roman"/>
          <w:sz w:val="20"/>
          <w:szCs w:val="20"/>
        </w:rPr>
        <w:t xml:space="preserve">  </w:t>
      </w:r>
      <w:r w:rsidRPr="00B1070C">
        <w:rPr>
          <w:rFonts w:ascii="Times New Roman" w:hAnsi="Times New Roman" w:cs="Times New Roman"/>
          <w:sz w:val="20"/>
          <w:szCs w:val="20"/>
        </w:rPr>
        <w:t>TERCER REGIDOR SUPLENTE.</w:t>
      </w:r>
      <w:r w:rsidR="00B17169" w:rsidRPr="00B1070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B1070C">
        <w:rPr>
          <w:rFonts w:ascii="Times New Roman" w:hAnsi="Times New Roman" w:cs="Times New Roman"/>
          <w:sz w:val="20"/>
          <w:szCs w:val="20"/>
        </w:rPr>
        <w:t>CUARTO REGIDOR SUPLENTE.</w:t>
      </w:r>
    </w:p>
    <w:p w:rsidR="00BD6532" w:rsidRPr="00B1070C" w:rsidRDefault="00BD6532" w:rsidP="00B1070C">
      <w:pPr>
        <w:rPr>
          <w:rFonts w:ascii="Times New Roman" w:hAnsi="Times New Roman" w:cs="Times New Roman"/>
          <w:sz w:val="20"/>
          <w:szCs w:val="20"/>
        </w:rPr>
      </w:pPr>
    </w:p>
    <w:p w:rsidR="00BD6532" w:rsidRPr="00B1070C" w:rsidRDefault="00BD6532" w:rsidP="00B1070C">
      <w:pPr>
        <w:rPr>
          <w:rFonts w:ascii="Times New Roman" w:hAnsi="Times New Roman" w:cs="Times New Roman"/>
          <w:sz w:val="20"/>
          <w:szCs w:val="20"/>
        </w:rPr>
      </w:pPr>
    </w:p>
    <w:p w:rsidR="00BD6532" w:rsidRPr="00B1070C" w:rsidRDefault="00BD6532" w:rsidP="00B1070C">
      <w:pPr>
        <w:rPr>
          <w:rFonts w:ascii="Times New Roman" w:hAnsi="Times New Roman" w:cs="Times New Roman"/>
          <w:sz w:val="20"/>
          <w:szCs w:val="20"/>
        </w:rPr>
      </w:pP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</w:p>
    <w:p w:rsidR="00BD6532" w:rsidRPr="00B1070C" w:rsidRDefault="00A32B60" w:rsidP="00B107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t>Lic. IRMA EVELYN LINARES DE GARCÍA</w:t>
      </w:r>
    </w:p>
    <w:p w:rsidR="00A32B60" w:rsidRPr="00B1070C" w:rsidRDefault="00A32B60" w:rsidP="00B107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t>SECRETARIA MUNICIPAL.</w:t>
      </w:r>
    </w:p>
    <w:p w:rsidR="00A32B60" w:rsidRPr="00B1070C" w:rsidRDefault="00A32B60" w:rsidP="00B107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070C">
        <w:rPr>
          <w:rFonts w:ascii="Times New Roman" w:hAnsi="Times New Roman" w:cs="Times New Roman"/>
          <w:sz w:val="20"/>
          <w:szCs w:val="20"/>
        </w:rPr>
        <w:t>(Registro No. F008647)</w:t>
      </w:r>
    </w:p>
    <w:p w:rsidR="00A32B60" w:rsidRPr="00B1070C" w:rsidRDefault="00A32B60" w:rsidP="00B1070C">
      <w:pPr>
        <w:rPr>
          <w:rFonts w:ascii="Times New Roman" w:hAnsi="Times New Roman" w:cs="Times New Roman"/>
          <w:sz w:val="20"/>
          <w:szCs w:val="20"/>
        </w:rPr>
      </w:pPr>
    </w:p>
    <w:sectPr w:rsidR="00A32B60" w:rsidRPr="00B107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60"/>
    <w:rsid w:val="004B0095"/>
    <w:rsid w:val="00A32B60"/>
    <w:rsid w:val="00B1070C"/>
    <w:rsid w:val="00B17169"/>
    <w:rsid w:val="00B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9A6E9"/>
  <w15:chartTrackingRefBased/>
  <w15:docId w15:val="{05F1A551-045E-4ACC-A66C-2FD4BBC0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2B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1024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 Guardado</dc:creator>
  <cp:keywords/>
  <dc:description/>
  <cp:lastModifiedBy>Trini Guardado</cp:lastModifiedBy>
  <cp:revision>1</cp:revision>
  <dcterms:created xsi:type="dcterms:W3CDTF">2020-02-07T16:52:00Z</dcterms:created>
  <dcterms:modified xsi:type="dcterms:W3CDTF">2020-02-07T17:44:00Z</dcterms:modified>
</cp:coreProperties>
</file>