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A2" w:rsidRPr="003F426D" w:rsidRDefault="009B20A2" w:rsidP="009B20A2">
      <w:pPr>
        <w:pStyle w:val="xmsonormal"/>
        <w:shd w:val="clear" w:color="auto" w:fill="FFFFFF"/>
        <w:spacing w:before="0" w:beforeAutospacing="0" w:after="200" w:afterAutospacing="0" w:line="276" w:lineRule="auto"/>
        <w:jc w:val="both"/>
      </w:pPr>
      <w:r w:rsidRPr="003F426D">
        <w:rPr>
          <w:rFonts w:eastAsia="Calibri"/>
          <w:b/>
          <w:u w:val="single"/>
        </w:rPr>
        <w:t>ACTA NUMERO SESENTA Y OCHO:</w:t>
      </w:r>
      <w:r>
        <w:rPr>
          <w:rFonts w:eastAsia="Calibri"/>
        </w:rPr>
        <w:t xml:space="preserve"> Sesión</w:t>
      </w:r>
      <w:r w:rsidRPr="003F426D">
        <w:rPr>
          <w:rFonts w:eastAsia="Calibri"/>
        </w:rPr>
        <w:t xml:space="preserve"> Extraordinaria del Concejo Municipal de la Ciudad de </w:t>
      </w:r>
      <w:proofErr w:type="spellStart"/>
      <w:r w:rsidRPr="003F426D">
        <w:rPr>
          <w:rFonts w:eastAsia="Calibri"/>
        </w:rPr>
        <w:t>Tonacatepeque</w:t>
      </w:r>
      <w:proofErr w:type="spellEnd"/>
      <w:r w:rsidRPr="003F426D">
        <w:rPr>
          <w:rFonts w:eastAsia="Calibri"/>
        </w:rPr>
        <w:t xml:space="preserve">, Departamento de San Salvador, celebrada en  esta Ciudad a las nueve  horas del día </w:t>
      </w:r>
      <w:r w:rsidRPr="003F426D">
        <w:rPr>
          <w:rFonts w:eastAsia="Calibri"/>
          <w:b/>
        </w:rPr>
        <w:t>lunes veintiocho de  diciembre dos mil veinte</w:t>
      </w:r>
      <w:r w:rsidRPr="003F426D">
        <w:rPr>
          <w:rFonts w:eastAsia="Calibri"/>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3F426D">
        <w:rPr>
          <w:rFonts w:eastAsia="Calibri"/>
        </w:rPr>
        <w:t>Doradea</w:t>
      </w:r>
      <w:proofErr w:type="spellEnd"/>
      <w:r w:rsidRPr="003F426D">
        <w:rPr>
          <w:rFonts w:eastAsia="Calibri"/>
        </w:rPr>
        <w:t xml:space="preserve"> Molina; Ana Carolina </w:t>
      </w:r>
      <w:proofErr w:type="spellStart"/>
      <w:r w:rsidRPr="003F426D">
        <w:rPr>
          <w:rFonts w:eastAsia="Calibri"/>
        </w:rPr>
        <w:t>Menjivar</w:t>
      </w:r>
      <w:proofErr w:type="spellEnd"/>
      <w:r w:rsidRPr="003F426D">
        <w:rPr>
          <w:rFonts w:eastAsia="Calibri"/>
        </w:rPr>
        <w:t xml:space="preserve"> de Ortega, Oscar Armando Cantón López;  Edgardo Alejandro Torres </w:t>
      </w:r>
      <w:proofErr w:type="spellStart"/>
      <w:r w:rsidRPr="003F426D">
        <w:rPr>
          <w:rFonts w:eastAsia="Calibri"/>
        </w:rPr>
        <w:t>Menjivar</w:t>
      </w:r>
      <w:proofErr w:type="spellEnd"/>
      <w:r w:rsidRPr="003F426D">
        <w:rPr>
          <w:rFonts w:eastAsia="Calibri"/>
        </w:rPr>
        <w:t xml:space="preserve">, y Amanda de Jesús Quezada Sigüenza; Secretaria Municipal María Antonieta González Alas.  Se hace constar que no asistieron a la presente reunión Mario Ricardo Lemus, Omar Antonio Serrano Hernández, María Lina Castellanos Campos Reales, Cosme </w:t>
      </w:r>
      <w:proofErr w:type="spellStart"/>
      <w:r w:rsidRPr="003F426D">
        <w:rPr>
          <w:rFonts w:eastAsia="Calibri"/>
        </w:rPr>
        <w:t>Arquímides</w:t>
      </w:r>
      <w:proofErr w:type="spellEnd"/>
      <w:r w:rsidRPr="003F426D">
        <w:rPr>
          <w:rFonts w:eastAsia="Calibri"/>
        </w:rPr>
        <w:t xml:space="preserve"> Reyes Gómez, Carlos Ernesto Ulloa Salinas, Ángel Cuellar Guzmán, José David Romero Ruano y José Rolando Vivas Comprobado el Quórum, el que preside dio por iniciada la reunión, sometiendo a consideración la</w:t>
      </w:r>
      <w:r>
        <w:rPr>
          <w:rFonts w:eastAsia="Calibri"/>
        </w:rPr>
        <w:t xml:space="preserve"> aprobación de la Agenda</w:t>
      </w:r>
      <w:r w:rsidRPr="003F426D">
        <w:t xml:space="preserve">. </w:t>
      </w:r>
      <w:r w:rsidRPr="003F426D">
        <w:rPr>
          <w:rFonts w:eastAsia="Calibri"/>
          <w:bCs/>
        </w:rPr>
        <w:t xml:space="preserve">Luego se recibieron y se resolvieron los siguientes escritos: - Los Apoderados Legales del señor Víctor Manuel </w:t>
      </w:r>
      <w:proofErr w:type="spellStart"/>
      <w:r w:rsidRPr="003F426D">
        <w:rPr>
          <w:rFonts w:eastAsia="Calibri"/>
          <w:bCs/>
        </w:rPr>
        <w:t>Larios</w:t>
      </w:r>
      <w:proofErr w:type="spellEnd"/>
      <w:r w:rsidRPr="003F426D">
        <w:rPr>
          <w:rFonts w:eastAsia="Calibri"/>
          <w:bCs/>
        </w:rPr>
        <w:t xml:space="preserve"> Sandoval interpusieron escrito solicitando revisión a los impuestos  de mesa de billar y aparatos eléctrico de su representante; con esto el Concejo Municipal</w:t>
      </w:r>
      <w:r>
        <w:rPr>
          <w:rFonts w:eastAsia="Calibri"/>
          <w:bCs/>
        </w:rPr>
        <w:t xml:space="preserve"> solicitará</w:t>
      </w:r>
      <w:r w:rsidRPr="003F426D">
        <w:rPr>
          <w:rFonts w:eastAsia="Calibri"/>
          <w:bCs/>
        </w:rPr>
        <w:t xml:space="preserve"> a la Asesora del Despacho de una Opinión Legal. </w:t>
      </w:r>
      <w:r w:rsidRPr="003F426D">
        <w:t xml:space="preserve"> - </w:t>
      </w:r>
      <w:r w:rsidRPr="003F426D">
        <w:rPr>
          <w:rFonts w:eastAsia="Calibri"/>
        </w:rPr>
        <w:t>Luego se Siguió deliberando los demás puntos de agenda plasmándose los siguientes acuerdos:</w:t>
      </w:r>
      <w:r w:rsidRPr="003F426D">
        <w:rPr>
          <w:b/>
          <w:u w:val="single"/>
        </w:rPr>
        <w:t xml:space="preserve"> ACUERDO NUMERO UNO:</w:t>
      </w:r>
      <w:r w:rsidRPr="003F426D">
        <w:t xml:space="preserve"> El Concejo Municipal en vista de la  Factura DELSUR con NC 502407502 correspondiente al pago de alumbrado público de la zona del Urbanización  AltaVista II etapa, mes de diciembre del presente año, y  Considerando: I) Que  ya se venció la factura para su pago el día 24 de diciembre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3F426D">
        <w:rPr>
          <w:b/>
        </w:rPr>
        <w:t>ACUERDA</w:t>
      </w:r>
      <w:r w:rsidRPr="003F426D">
        <w:t xml:space="preserve">: </w:t>
      </w:r>
      <w:r w:rsidRPr="003F426D">
        <w:rPr>
          <w:b/>
        </w:rPr>
        <w:t>I)</w:t>
      </w:r>
      <w:r w:rsidRPr="003F426D">
        <w:t xml:space="preserve"> se reconoce como deuda la cantidad de </w:t>
      </w:r>
      <w:r w:rsidRPr="003F426D">
        <w:rPr>
          <w:b/>
        </w:rPr>
        <w:t xml:space="preserve">$1,677.63 </w:t>
      </w:r>
      <w:r w:rsidRPr="003F426D">
        <w:t xml:space="preserve"> a la Compañía </w:t>
      </w:r>
      <w:r w:rsidRPr="003F426D">
        <w:rPr>
          <w:b/>
        </w:rPr>
        <w:t xml:space="preserve">DELSUR </w:t>
      </w:r>
      <w:r w:rsidRPr="003F426D">
        <w:t xml:space="preserve">factura de servicio de alumbrado público de la zona Urbanización AltaVista II etapa, correspondiente al  mes de diciembre 2020 con NC 502407502; </w:t>
      </w:r>
      <w:r w:rsidRPr="003F426D">
        <w:rPr>
          <w:b/>
        </w:rPr>
        <w:t>II)</w:t>
      </w:r>
      <w:r w:rsidRPr="003F426D">
        <w:t xml:space="preserve"> Autorizase a la Tesorera  Municipal para que  erogue esa  cantidad de la cuenta numero 005-40005310 fondo FODES 75%. </w:t>
      </w:r>
      <w:r w:rsidRPr="003F426D">
        <w:rPr>
          <w:b/>
        </w:rPr>
        <w:t>CERTIFÍQUESE Y COMUNÍQUESE A</w:t>
      </w:r>
      <w:r w:rsidRPr="003F426D">
        <w:t xml:space="preserve">: Gerencia Financiera, UACI, Sindicatura,  Tesorería, Presupuesto, </w:t>
      </w:r>
      <w:r w:rsidRPr="003F426D">
        <w:rPr>
          <w:lang w:val="es-SV"/>
        </w:rPr>
        <w:t xml:space="preserve"> </w:t>
      </w:r>
      <w:r w:rsidRPr="003F426D">
        <w:t xml:space="preserve">y  Despacho Municipal. </w:t>
      </w:r>
      <w:r w:rsidRPr="003F426D">
        <w:rPr>
          <w:b/>
          <w:u w:val="single"/>
        </w:rPr>
        <w:t>ACUERDO NUMERO DOS</w:t>
      </w:r>
      <w:proofErr w:type="gramStart"/>
      <w:r w:rsidRPr="003F426D">
        <w:rPr>
          <w:b/>
          <w:u w:val="single"/>
        </w:rPr>
        <w:t>:</w:t>
      </w:r>
      <w:r w:rsidRPr="003F426D">
        <w:t xml:space="preserve"> </w:t>
      </w:r>
      <w:r w:rsidRPr="003F426D">
        <w:rPr>
          <w:b/>
          <w:u w:val="single"/>
        </w:rPr>
        <w:t>:</w:t>
      </w:r>
      <w:proofErr w:type="gramEnd"/>
      <w:r w:rsidRPr="003F426D">
        <w:t xml:space="preserve"> El Concejo Municipal en vista que la Tesorera Municipal solicita autorización para realizar transferencias bancarias que remite; por tanto en el uso de sus </w:t>
      </w:r>
      <w:r w:rsidRPr="003F426D">
        <w:lastRenderedPageBreak/>
        <w:t xml:space="preserve">facultades legales  se  </w:t>
      </w:r>
      <w:r w:rsidRPr="003F426D">
        <w:rPr>
          <w:b/>
        </w:rPr>
        <w:t>ACUERDA:</w:t>
      </w:r>
      <w:r w:rsidRPr="003F426D">
        <w:t xml:space="preserve"> se autoriza a la Tesorera Municipal para que realice las transferencias bancarias que  se detallan:</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1736"/>
        <w:gridCol w:w="1949"/>
        <w:gridCol w:w="1418"/>
        <w:gridCol w:w="1275"/>
        <w:gridCol w:w="2127"/>
      </w:tblGrid>
      <w:tr w:rsidR="009B20A2" w:rsidTr="00F72181">
        <w:trPr>
          <w:trHeight w:val="679"/>
        </w:trPr>
        <w:tc>
          <w:tcPr>
            <w:tcW w:w="534" w:type="dxa"/>
            <w:tcBorders>
              <w:top w:val="double" w:sz="4" w:space="0" w:color="6699FF"/>
              <w:left w:val="double" w:sz="4" w:space="0" w:color="6699FF"/>
              <w:bottom w:val="double" w:sz="4" w:space="0" w:color="6699FF"/>
              <w:right w:val="double" w:sz="4" w:space="0" w:color="6699FF"/>
            </w:tcBorders>
            <w:shd w:val="clear" w:color="auto" w:fill="FFFF00"/>
            <w:hideMark/>
          </w:tcPr>
          <w:p w:rsidR="009B20A2" w:rsidRDefault="009B20A2" w:rsidP="00F72181">
            <w:pPr>
              <w:tabs>
                <w:tab w:val="left" w:pos="3480"/>
              </w:tabs>
              <w:rPr>
                <w:rFonts w:asciiTheme="majorHAnsi" w:hAnsiTheme="majorHAnsi" w:cs="Aparajita"/>
                <w:b/>
                <w:i/>
                <w:sz w:val="20"/>
                <w:szCs w:val="20"/>
              </w:rPr>
            </w:pPr>
            <w:r>
              <w:rPr>
                <w:rFonts w:asciiTheme="majorHAnsi" w:hAnsiTheme="majorHAnsi" w:cs="Aparajita"/>
                <w:b/>
                <w:i/>
                <w:sz w:val="20"/>
                <w:szCs w:val="20"/>
              </w:rPr>
              <w:t>Nº</w:t>
            </w:r>
          </w:p>
        </w:tc>
        <w:tc>
          <w:tcPr>
            <w:tcW w:w="1736" w:type="dxa"/>
            <w:tcBorders>
              <w:top w:val="double" w:sz="4" w:space="0" w:color="6699FF"/>
              <w:left w:val="double" w:sz="4" w:space="0" w:color="6699FF"/>
              <w:bottom w:val="double" w:sz="4" w:space="0" w:color="6699FF"/>
              <w:right w:val="double" w:sz="4" w:space="0" w:color="6699FF"/>
            </w:tcBorders>
            <w:shd w:val="clear" w:color="auto" w:fill="FFFF00"/>
            <w:hideMark/>
          </w:tcPr>
          <w:p w:rsidR="009B20A2" w:rsidRDefault="009B20A2" w:rsidP="00F72181">
            <w:pPr>
              <w:tabs>
                <w:tab w:val="left" w:pos="3480"/>
              </w:tabs>
              <w:rPr>
                <w:rFonts w:asciiTheme="majorHAnsi" w:hAnsiTheme="majorHAnsi" w:cs="Aparajita"/>
                <w:b/>
                <w:i/>
                <w:sz w:val="20"/>
                <w:szCs w:val="20"/>
              </w:rPr>
            </w:pPr>
            <w:r>
              <w:rPr>
                <w:rFonts w:asciiTheme="majorHAnsi" w:hAnsiTheme="majorHAnsi" w:cs="Aparajita"/>
                <w:b/>
                <w:i/>
                <w:sz w:val="20"/>
                <w:szCs w:val="20"/>
              </w:rPr>
              <w:t>TRANSFERIR FONDOS DE LA CUENTA</w:t>
            </w:r>
          </w:p>
        </w:tc>
        <w:tc>
          <w:tcPr>
            <w:tcW w:w="1949" w:type="dxa"/>
            <w:tcBorders>
              <w:top w:val="double" w:sz="4" w:space="0" w:color="6699FF"/>
              <w:left w:val="double" w:sz="4" w:space="0" w:color="6699FF"/>
              <w:bottom w:val="double" w:sz="4" w:space="0" w:color="6699FF"/>
              <w:right w:val="double" w:sz="4" w:space="0" w:color="6699FF"/>
            </w:tcBorders>
            <w:shd w:val="clear" w:color="auto" w:fill="FFFF00"/>
          </w:tcPr>
          <w:p w:rsidR="009B20A2" w:rsidRDefault="009B20A2" w:rsidP="00F72181">
            <w:pPr>
              <w:tabs>
                <w:tab w:val="left" w:pos="3480"/>
              </w:tabs>
              <w:rPr>
                <w:rFonts w:asciiTheme="majorHAnsi" w:hAnsiTheme="majorHAnsi" w:cs="Aparajita"/>
                <w:b/>
                <w:i/>
                <w:sz w:val="20"/>
                <w:szCs w:val="20"/>
              </w:rPr>
            </w:pPr>
          </w:p>
          <w:p w:rsidR="009B20A2" w:rsidRDefault="009B20A2" w:rsidP="00F72181">
            <w:pPr>
              <w:tabs>
                <w:tab w:val="left" w:pos="3480"/>
              </w:tabs>
              <w:rPr>
                <w:rFonts w:asciiTheme="majorHAnsi" w:hAnsiTheme="majorHAnsi" w:cs="Aparajita"/>
                <w:b/>
                <w:i/>
                <w:sz w:val="20"/>
                <w:szCs w:val="20"/>
              </w:rPr>
            </w:pPr>
            <w:r>
              <w:rPr>
                <w:rFonts w:asciiTheme="majorHAnsi" w:hAnsiTheme="majorHAnsi" w:cs="Aparajita"/>
                <w:b/>
                <w:i/>
                <w:sz w:val="20"/>
                <w:szCs w:val="20"/>
              </w:rPr>
              <w:t>A  LA CUENTA</w:t>
            </w:r>
          </w:p>
        </w:tc>
        <w:tc>
          <w:tcPr>
            <w:tcW w:w="1418" w:type="dxa"/>
            <w:tcBorders>
              <w:top w:val="double" w:sz="4" w:space="0" w:color="6699FF"/>
              <w:left w:val="double" w:sz="4" w:space="0" w:color="6699FF"/>
              <w:bottom w:val="double" w:sz="4" w:space="0" w:color="6699FF"/>
              <w:right w:val="double" w:sz="4" w:space="0" w:color="6699FF"/>
            </w:tcBorders>
            <w:shd w:val="clear" w:color="auto" w:fill="FFFF00"/>
            <w:hideMark/>
          </w:tcPr>
          <w:p w:rsidR="009B20A2" w:rsidRDefault="009B20A2" w:rsidP="00F72181">
            <w:pPr>
              <w:tabs>
                <w:tab w:val="left" w:pos="3480"/>
              </w:tabs>
              <w:rPr>
                <w:rFonts w:asciiTheme="majorHAnsi" w:hAnsiTheme="majorHAnsi" w:cs="Aparajita"/>
                <w:b/>
                <w:i/>
                <w:sz w:val="20"/>
                <w:szCs w:val="20"/>
              </w:rPr>
            </w:pPr>
          </w:p>
          <w:p w:rsidR="009B20A2" w:rsidRDefault="009B20A2"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   LA SUMA</w:t>
            </w:r>
          </w:p>
        </w:tc>
        <w:tc>
          <w:tcPr>
            <w:tcW w:w="1275" w:type="dxa"/>
            <w:tcBorders>
              <w:top w:val="double" w:sz="4" w:space="0" w:color="6699FF"/>
              <w:left w:val="double" w:sz="4" w:space="0" w:color="6699FF"/>
              <w:bottom w:val="double" w:sz="4" w:space="0" w:color="6699FF"/>
              <w:right w:val="double" w:sz="4" w:space="0" w:color="6699FF"/>
            </w:tcBorders>
            <w:shd w:val="clear" w:color="auto" w:fill="FFFF00"/>
            <w:hideMark/>
          </w:tcPr>
          <w:p w:rsidR="009B20A2" w:rsidRDefault="009B20A2" w:rsidP="00F72181">
            <w:pPr>
              <w:tabs>
                <w:tab w:val="left" w:pos="3480"/>
              </w:tabs>
              <w:rPr>
                <w:rFonts w:asciiTheme="majorHAnsi" w:hAnsiTheme="majorHAnsi" w:cs="Aparajita"/>
                <w:b/>
                <w:i/>
                <w:sz w:val="20"/>
                <w:szCs w:val="20"/>
              </w:rPr>
            </w:pPr>
          </w:p>
          <w:p w:rsidR="009B20A2" w:rsidRDefault="009B20A2"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   LA SUMA</w:t>
            </w:r>
          </w:p>
        </w:tc>
        <w:tc>
          <w:tcPr>
            <w:tcW w:w="2127" w:type="dxa"/>
            <w:tcBorders>
              <w:top w:val="double" w:sz="4" w:space="0" w:color="6699FF"/>
              <w:left w:val="double" w:sz="4" w:space="0" w:color="6699FF"/>
              <w:bottom w:val="double" w:sz="4" w:space="0" w:color="6699FF"/>
              <w:right w:val="double" w:sz="4" w:space="0" w:color="6699FF"/>
            </w:tcBorders>
            <w:shd w:val="clear" w:color="auto" w:fill="FFFF00"/>
          </w:tcPr>
          <w:p w:rsidR="009B20A2" w:rsidRDefault="009B20A2" w:rsidP="00F72181">
            <w:pPr>
              <w:tabs>
                <w:tab w:val="left" w:pos="3480"/>
              </w:tabs>
              <w:rPr>
                <w:rFonts w:asciiTheme="majorHAnsi" w:hAnsiTheme="majorHAnsi" w:cs="Aparajita"/>
                <w:b/>
                <w:i/>
                <w:sz w:val="20"/>
                <w:szCs w:val="20"/>
              </w:rPr>
            </w:pPr>
          </w:p>
          <w:p w:rsidR="009B20A2" w:rsidRDefault="009B20A2" w:rsidP="00F72181">
            <w:pPr>
              <w:tabs>
                <w:tab w:val="left" w:pos="3480"/>
              </w:tabs>
              <w:rPr>
                <w:rFonts w:asciiTheme="majorHAnsi" w:hAnsiTheme="majorHAnsi" w:cs="Aparajita"/>
                <w:b/>
                <w:i/>
                <w:sz w:val="20"/>
                <w:szCs w:val="20"/>
              </w:rPr>
            </w:pPr>
            <w:r>
              <w:rPr>
                <w:rFonts w:asciiTheme="majorHAnsi" w:hAnsiTheme="majorHAnsi" w:cs="Aparajita"/>
                <w:b/>
                <w:i/>
                <w:sz w:val="20"/>
                <w:szCs w:val="20"/>
              </w:rPr>
              <w:t>EN CONCEPTO</w:t>
            </w:r>
          </w:p>
        </w:tc>
      </w:tr>
      <w:tr w:rsidR="009B20A2" w:rsidTr="00F72181">
        <w:trPr>
          <w:trHeight w:val="2685"/>
        </w:trPr>
        <w:tc>
          <w:tcPr>
            <w:tcW w:w="534" w:type="dxa"/>
            <w:tcBorders>
              <w:top w:val="double" w:sz="4" w:space="0" w:color="6699FF"/>
              <w:left w:val="double" w:sz="4" w:space="0" w:color="6699FF"/>
              <w:bottom w:val="double" w:sz="4" w:space="0" w:color="6699FF"/>
              <w:right w:val="double" w:sz="4" w:space="0" w:color="6699FF"/>
            </w:tcBorders>
          </w:tcPr>
          <w:p w:rsidR="009B20A2" w:rsidRDefault="009B20A2" w:rsidP="00F72181">
            <w:pPr>
              <w:tabs>
                <w:tab w:val="left" w:pos="3480"/>
              </w:tabs>
              <w:jc w:val="center"/>
              <w:rPr>
                <w:rFonts w:asciiTheme="majorHAnsi" w:hAnsiTheme="majorHAnsi" w:cs="Aparajita"/>
                <w:b/>
                <w:i/>
                <w:sz w:val="19"/>
                <w:szCs w:val="19"/>
              </w:rPr>
            </w:pPr>
          </w:p>
        </w:tc>
        <w:tc>
          <w:tcPr>
            <w:tcW w:w="1736" w:type="dxa"/>
            <w:tcBorders>
              <w:top w:val="double" w:sz="4" w:space="0" w:color="6699FF"/>
              <w:left w:val="double" w:sz="4" w:space="0" w:color="6699FF"/>
              <w:bottom w:val="double" w:sz="4" w:space="0" w:color="6699FF"/>
              <w:right w:val="double" w:sz="4" w:space="0" w:color="6699FF"/>
            </w:tcBorders>
          </w:tcPr>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005-4000530-2</w:t>
            </w: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 xml:space="preserve">Fondo común municipalidad de </w:t>
            </w:r>
            <w:proofErr w:type="spellStart"/>
            <w:r>
              <w:rPr>
                <w:rFonts w:asciiTheme="majorHAnsi" w:hAnsiTheme="majorHAnsi" w:cs="Aparajita"/>
                <w:b/>
                <w:sz w:val="19"/>
                <w:szCs w:val="19"/>
              </w:rPr>
              <w:t>Tonacatepeque</w:t>
            </w:r>
            <w:proofErr w:type="spellEnd"/>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p>
        </w:tc>
        <w:tc>
          <w:tcPr>
            <w:tcW w:w="1949" w:type="dxa"/>
            <w:tcBorders>
              <w:top w:val="double" w:sz="4" w:space="0" w:color="6699FF"/>
              <w:left w:val="double" w:sz="4" w:space="0" w:color="6699FF"/>
              <w:bottom w:val="double" w:sz="4" w:space="0" w:color="6699FF"/>
              <w:right w:val="double" w:sz="4" w:space="0" w:color="6699FF"/>
            </w:tcBorders>
          </w:tcPr>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005-40005310</w:t>
            </w: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 xml:space="preserve">Alcaldía Municipal de </w:t>
            </w:r>
            <w:proofErr w:type="spellStart"/>
            <w:r>
              <w:rPr>
                <w:rFonts w:asciiTheme="majorHAnsi" w:hAnsiTheme="majorHAnsi" w:cs="Aparajita"/>
                <w:b/>
                <w:sz w:val="19"/>
                <w:szCs w:val="19"/>
              </w:rPr>
              <w:t>Tonacatepeque</w:t>
            </w:r>
            <w:proofErr w:type="spellEnd"/>
            <w:r>
              <w:rPr>
                <w:rFonts w:asciiTheme="majorHAnsi" w:hAnsiTheme="majorHAnsi" w:cs="Aparajita"/>
                <w:b/>
                <w:sz w:val="19"/>
                <w:szCs w:val="19"/>
              </w:rPr>
              <w:t>/ FODES/ISDEM 75%.</w:t>
            </w:r>
          </w:p>
          <w:p w:rsidR="009B20A2" w:rsidRDefault="009B20A2" w:rsidP="00F72181">
            <w:pPr>
              <w:jc w:val="center"/>
              <w:rPr>
                <w:rFonts w:asciiTheme="majorHAnsi" w:hAnsiTheme="majorHAnsi" w:cs="Aparajita"/>
                <w:b/>
                <w:sz w:val="19"/>
                <w:szCs w:val="19"/>
              </w:rPr>
            </w:pPr>
          </w:p>
        </w:tc>
        <w:tc>
          <w:tcPr>
            <w:tcW w:w="1418"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r>
              <w:rPr>
                <w:rFonts w:asciiTheme="majorHAnsi" w:hAnsiTheme="majorHAnsi" w:cs="Aparajita"/>
                <w:b/>
                <w:sz w:val="19"/>
                <w:szCs w:val="19"/>
              </w:rPr>
              <w:t>$31,553.09</w:t>
            </w:r>
          </w:p>
        </w:tc>
        <w:tc>
          <w:tcPr>
            <w:tcW w:w="1275"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sz w:val="19"/>
                <w:szCs w:val="19"/>
              </w:rPr>
            </w:pPr>
          </w:p>
          <w:p w:rsidR="009B20A2" w:rsidRDefault="009B20A2" w:rsidP="00F72181">
            <w:pPr>
              <w:rPr>
                <w:rFonts w:asciiTheme="majorHAnsi" w:hAnsiTheme="majorHAnsi"/>
                <w:sz w:val="19"/>
                <w:szCs w:val="19"/>
              </w:rPr>
            </w:pPr>
          </w:p>
          <w:p w:rsidR="009B20A2" w:rsidRDefault="009B20A2" w:rsidP="00F72181">
            <w:pPr>
              <w:rPr>
                <w:rFonts w:asciiTheme="majorHAnsi" w:hAnsiTheme="majorHAnsi"/>
                <w:sz w:val="19"/>
                <w:szCs w:val="19"/>
              </w:rPr>
            </w:pPr>
          </w:p>
          <w:p w:rsidR="009B20A2" w:rsidRDefault="009B20A2" w:rsidP="00F72181">
            <w:pPr>
              <w:rPr>
                <w:rFonts w:asciiTheme="majorHAnsi" w:hAnsiTheme="majorHAnsi"/>
                <w:sz w:val="19"/>
                <w:szCs w:val="19"/>
              </w:rPr>
            </w:pPr>
          </w:p>
          <w:p w:rsidR="009B20A2" w:rsidRDefault="009B20A2" w:rsidP="00F72181">
            <w:pPr>
              <w:rPr>
                <w:rFonts w:asciiTheme="majorHAnsi" w:hAnsiTheme="majorHAnsi"/>
                <w:sz w:val="19"/>
                <w:szCs w:val="19"/>
              </w:rPr>
            </w:pPr>
          </w:p>
        </w:tc>
        <w:tc>
          <w:tcPr>
            <w:tcW w:w="2127"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b/>
                <w:sz w:val="19"/>
                <w:szCs w:val="19"/>
              </w:rPr>
            </w:pPr>
          </w:p>
          <w:p w:rsidR="009B20A2" w:rsidRDefault="009B20A2" w:rsidP="00F72181">
            <w:pPr>
              <w:rPr>
                <w:rFonts w:asciiTheme="majorHAnsi" w:hAnsiTheme="majorHAnsi"/>
                <w:b/>
                <w:sz w:val="19"/>
                <w:szCs w:val="19"/>
              </w:rPr>
            </w:pPr>
            <w:r>
              <w:rPr>
                <w:rFonts w:asciiTheme="majorHAnsi" w:hAnsiTheme="majorHAnsi"/>
                <w:b/>
                <w:sz w:val="19"/>
                <w:szCs w:val="19"/>
              </w:rPr>
              <w:t xml:space="preserve">Abono a préstamo año 2018 (Para pago de  facturas de Equipos de construcción </w:t>
            </w:r>
            <w:proofErr w:type="spellStart"/>
            <w:r>
              <w:rPr>
                <w:rFonts w:asciiTheme="majorHAnsi" w:hAnsiTheme="majorHAnsi"/>
                <w:b/>
                <w:sz w:val="19"/>
                <w:szCs w:val="19"/>
              </w:rPr>
              <w:t>s.a</w:t>
            </w:r>
            <w:proofErr w:type="spellEnd"/>
            <w:r>
              <w:rPr>
                <w:rFonts w:asciiTheme="majorHAnsi" w:hAnsiTheme="majorHAnsi"/>
                <w:b/>
                <w:sz w:val="19"/>
                <w:szCs w:val="19"/>
              </w:rPr>
              <w:t xml:space="preserve"> de </w:t>
            </w:r>
            <w:proofErr w:type="spellStart"/>
            <w:r>
              <w:rPr>
                <w:rFonts w:asciiTheme="majorHAnsi" w:hAnsiTheme="majorHAnsi"/>
                <w:b/>
                <w:sz w:val="19"/>
                <w:szCs w:val="19"/>
              </w:rPr>
              <w:t>c.v</w:t>
            </w:r>
            <w:proofErr w:type="spellEnd"/>
            <w:r>
              <w:rPr>
                <w:rFonts w:asciiTheme="majorHAnsi" w:hAnsiTheme="majorHAnsi"/>
                <w:b/>
                <w:sz w:val="19"/>
                <w:szCs w:val="19"/>
              </w:rPr>
              <w:t xml:space="preserve"> por un monto total de $1,096.50        y pago de factura de Grupo Argueta </w:t>
            </w:r>
            <w:proofErr w:type="spellStart"/>
            <w:r>
              <w:rPr>
                <w:rFonts w:asciiTheme="majorHAnsi" w:hAnsiTheme="majorHAnsi"/>
                <w:b/>
                <w:sz w:val="19"/>
                <w:szCs w:val="19"/>
              </w:rPr>
              <w:t>s.a</w:t>
            </w:r>
            <w:proofErr w:type="spellEnd"/>
            <w:r>
              <w:rPr>
                <w:rFonts w:asciiTheme="majorHAnsi" w:hAnsiTheme="majorHAnsi"/>
                <w:b/>
                <w:sz w:val="19"/>
                <w:szCs w:val="19"/>
              </w:rPr>
              <w:t xml:space="preserve"> de </w:t>
            </w:r>
            <w:proofErr w:type="spellStart"/>
            <w:r>
              <w:rPr>
                <w:rFonts w:asciiTheme="majorHAnsi" w:hAnsiTheme="majorHAnsi"/>
                <w:b/>
                <w:sz w:val="19"/>
                <w:szCs w:val="19"/>
              </w:rPr>
              <w:t>c.v</w:t>
            </w:r>
            <w:proofErr w:type="spellEnd"/>
            <w:r>
              <w:rPr>
                <w:rFonts w:asciiTheme="majorHAnsi" w:hAnsiTheme="majorHAnsi"/>
                <w:b/>
                <w:sz w:val="19"/>
                <w:szCs w:val="19"/>
              </w:rPr>
              <w:t xml:space="preserve">  por $30,456.59 correspondiente al mes de Noviembre 2020.</w:t>
            </w:r>
          </w:p>
        </w:tc>
      </w:tr>
      <w:tr w:rsidR="009B20A2" w:rsidTr="00F72181">
        <w:trPr>
          <w:trHeight w:val="1964"/>
        </w:trPr>
        <w:tc>
          <w:tcPr>
            <w:tcW w:w="534" w:type="dxa"/>
            <w:tcBorders>
              <w:top w:val="double" w:sz="4" w:space="0" w:color="6699FF"/>
              <w:left w:val="double" w:sz="4" w:space="0" w:color="6699FF"/>
              <w:bottom w:val="double" w:sz="4" w:space="0" w:color="6699FF"/>
              <w:right w:val="double" w:sz="4" w:space="0" w:color="6699FF"/>
            </w:tcBorders>
          </w:tcPr>
          <w:p w:rsidR="009B20A2" w:rsidRDefault="009B20A2" w:rsidP="00F72181">
            <w:pPr>
              <w:tabs>
                <w:tab w:val="left" w:pos="3480"/>
              </w:tabs>
              <w:jc w:val="center"/>
              <w:rPr>
                <w:rFonts w:asciiTheme="majorHAnsi" w:hAnsiTheme="majorHAnsi" w:cs="Aparajita"/>
                <w:b/>
                <w:i/>
                <w:sz w:val="19"/>
                <w:szCs w:val="19"/>
              </w:rPr>
            </w:pPr>
          </w:p>
        </w:tc>
        <w:tc>
          <w:tcPr>
            <w:tcW w:w="1736" w:type="dxa"/>
            <w:tcBorders>
              <w:top w:val="double" w:sz="4" w:space="0" w:color="6699FF"/>
              <w:left w:val="double" w:sz="4" w:space="0" w:color="6699FF"/>
              <w:bottom w:val="double" w:sz="4" w:space="0" w:color="6699FF"/>
              <w:right w:val="double" w:sz="4" w:space="0" w:color="6699FF"/>
            </w:tcBorders>
          </w:tcPr>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005-40005310</w:t>
            </w: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 xml:space="preserve">Alcaldía Municipal de </w:t>
            </w:r>
            <w:proofErr w:type="spellStart"/>
            <w:r>
              <w:rPr>
                <w:rFonts w:asciiTheme="majorHAnsi" w:hAnsiTheme="majorHAnsi" w:cs="Aparajita"/>
                <w:b/>
                <w:sz w:val="19"/>
                <w:szCs w:val="19"/>
              </w:rPr>
              <w:t>Tonacatepeque</w:t>
            </w:r>
            <w:proofErr w:type="spellEnd"/>
            <w:r>
              <w:rPr>
                <w:rFonts w:asciiTheme="majorHAnsi" w:hAnsiTheme="majorHAnsi" w:cs="Aparajita"/>
                <w:b/>
                <w:sz w:val="19"/>
                <w:szCs w:val="19"/>
              </w:rPr>
              <w:t>/ FODES/ISDEM 75%.</w:t>
            </w:r>
          </w:p>
          <w:p w:rsidR="009B20A2" w:rsidRDefault="009B20A2" w:rsidP="00F72181">
            <w:pPr>
              <w:jc w:val="center"/>
              <w:rPr>
                <w:rFonts w:asciiTheme="majorHAnsi" w:hAnsiTheme="majorHAnsi" w:cs="Aparajita"/>
                <w:b/>
                <w:sz w:val="19"/>
                <w:szCs w:val="19"/>
              </w:rPr>
            </w:pPr>
          </w:p>
        </w:tc>
        <w:tc>
          <w:tcPr>
            <w:tcW w:w="1949"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9"/>
                <w:szCs w:val="19"/>
              </w:rPr>
            </w:pPr>
          </w:p>
          <w:p w:rsidR="009B20A2" w:rsidRDefault="009B20A2" w:rsidP="00F72181">
            <w:pPr>
              <w:jc w:val="center"/>
              <w:rPr>
                <w:rFonts w:asciiTheme="majorHAnsi" w:hAnsiTheme="majorHAnsi" w:cs="Aparajita"/>
                <w:b/>
                <w:sz w:val="18"/>
                <w:szCs w:val="18"/>
              </w:rPr>
            </w:pPr>
          </w:p>
          <w:p w:rsidR="009B20A2" w:rsidRDefault="009B20A2" w:rsidP="00F72181">
            <w:pPr>
              <w:jc w:val="center"/>
              <w:rPr>
                <w:rFonts w:asciiTheme="majorHAnsi" w:hAnsiTheme="majorHAnsi" w:cs="Aparajita"/>
                <w:b/>
                <w:sz w:val="18"/>
                <w:szCs w:val="18"/>
              </w:rPr>
            </w:pPr>
            <w:r>
              <w:rPr>
                <w:rFonts w:asciiTheme="majorHAnsi" w:hAnsiTheme="majorHAnsi" w:cs="Aparajita"/>
                <w:b/>
                <w:sz w:val="18"/>
                <w:szCs w:val="18"/>
              </w:rPr>
              <w:t>005-40008832</w:t>
            </w:r>
          </w:p>
          <w:p w:rsidR="009B20A2" w:rsidRDefault="009B20A2" w:rsidP="00F72181">
            <w:pPr>
              <w:jc w:val="center"/>
              <w:rPr>
                <w:rFonts w:asciiTheme="majorHAnsi" w:hAnsiTheme="majorHAnsi" w:cs="Aparajita"/>
                <w:b/>
                <w:sz w:val="18"/>
                <w:szCs w:val="18"/>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8"/>
                <w:szCs w:val="18"/>
              </w:rPr>
              <w:t>Bacheo superficial de calles internas de la colonia AltaVista</w:t>
            </w:r>
          </w:p>
        </w:tc>
        <w:tc>
          <w:tcPr>
            <w:tcW w:w="1418"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tc>
        <w:tc>
          <w:tcPr>
            <w:tcW w:w="1275"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p>
          <w:p w:rsidR="009B20A2" w:rsidRDefault="009B20A2" w:rsidP="00F72181">
            <w:pPr>
              <w:rPr>
                <w:rFonts w:asciiTheme="majorHAnsi" w:hAnsiTheme="majorHAnsi" w:cs="Aparajita"/>
                <w:b/>
                <w:sz w:val="19"/>
                <w:szCs w:val="19"/>
              </w:rPr>
            </w:pPr>
            <w:r>
              <w:rPr>
                <w:rFonts w:asciiTheme="majorHAnsi" w:hAnsiTheme="majorHAnsi" w:cs="Aparajita"/>
                <w:b/>
                <w:sz w:val="19"/>
                <w:szCs w:val="19"/>
              </w:rPr>
              <w:t>$1,096.50</w:t>
            </w:r>
          </w:p>
        </w:tc>
        <w:tc>
          <w:tcPr>
            <w:tcW w:w="2127"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b/>
                <w:sz w:val="19"/>
                <w:szCs w:val="19"/>
              </w:rPr>
            </w:pPr>
            <w:r>
              <w:rPr>
                <w:rFonts w:asciiTheme="majorHAnsi" w:hAnsiTheme="majorHAnsi"/>
                <w:b/>
                <w:sz w:val="19"/>
                <w:szCs w:val="19"/>
              </w:rPr>
              <w:t xml:space="preserve">Para pago de facturas de Equipos de construcción </w:t>
            </w:r>
            <w:proofErr w:type="spellStart"/>
            <w:r>
              <w:rPr>
                <w:rFonts w:asciiTheme="majorHAnsi" w:hAnsiTheme="majorHAnsi"/>
                <w:b/>
                <w:sz w:val="19"/>
                <w:szCs w:val="19"/>
              </w:rPr>
              <w:t>s.a</w:t>
            </w:r>
            <w:proofErr w:type="spellEnd"/>
            <w:r>
              <w:rPr>
                <w:rFonts w:asciiTheme="majorHAnsi" w:hAnsiTheme="majorHAnsi"/>
                <w:b/>
                <w:sz w:val="19"/>
                <w:szCs w:val="19"/>
              </w:rPr>
              <w:t xml:space="preserve"> de </w:t>
            </w:r>
            <w:proofErr w:type="spellStart"/>
            <w:r>
              <w:rPr>
                <w:rFonts w:asciiTheme="majorHAnsi" w:hAnsiTheme="majorHAnsi"/>
                <w:b/>
                <w:sz w:val="19"/>
                <w:szCs w:val="19"/>
              </w:rPr>
              <w:t>c.v</w:t>
            </w:r>
            <w:proofErr w:type="spellEnd"/>
            <w:r>
              <w:rPr>
                <w:rFonts w:asciiTheme="majorHAnsi" w:hAnsiTheme="majorHAnsi"/>
                <w:b/>
                <w:sz w:val="19"/>
                <w:szCs w:val="19"/>
              </w:rPr>
              <w:t xml:space="preserve">  por un monto total de $1,096.50 de fecha 31/10/2019, que se recibió en esta unidad el 03 de noviembre 2020 la cual no se ha pagado por falta de fondos FODES.</w:t>
            </w:r>
          </w:p>
          <w:p w:rsidR="009B20A2" w:rsidRDefault="009B20A2" w:rsidP="00F72181">
            <w:pPr>
              <w:rPr>
                <w:rFonts w:asciiTheme="majorHAnsi" w:hAnsiTheme="majorHAnsi"/>
                <w:b/>
                <w:sz w:val="19"/>
                <w:szCs w:val="19"/>
              </w:rPr>
            </w:pPr>
          </w:p>
        </w:tc>
      </w:tr>
      <w:tr w:rsidR="009B20A2" w:rsidTr="00F72181">
        <w:trPr>
          <w:trHeight w:val="1964"/>
        </w:trPr>
        <w:tc>
          <w:tcPr>
            <w:tcW w:w="534" w:type="dxa"/>
            <w:tcBorders>
              <w:top w:val="double" w:sz="4" w:space="0" w:color="6699FF"/>
              <w:left w:val="double" w:sz="4" w:space="0" w:color="6699FF"/>
              <w:bottom w:val="double" w:sz="4" w:space="0" w:color="6699FF"/>
              <w:right w:val="double" w:sz="4" w:space="0" w:color="6699FF"/>
            </w:tcBorders>
          </w:tcPr>
          <w:p w:rsidR="009B20A2" w:rsidRDefault="009B20A2" w:rsidP="00F72181">
            <w:pPr>
              <w:tabs>
                <w:tab w:val="left" w:pos="3480"/>
              </w:tabs>
              <w:jc w:val="center"/>
              <w:rPr>
                <w:rFonts w:asciiTheme="majorHAnsi" w:hAnsiTheme="majorHAnsi" w:cs="Aparajita"/>
                <w:b/>
                <w:i/>
                <w:sz w:val="19"/>
                <w:szCs w:val="19"/>
              </w:rPr>
            </w:pPr>
          </w:p>
        </w:tc>
        <w:tc>
          <w:tcPr>
            <w:tcW w:w="1736"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7"/>
                <w:szCs w:val="17"/>
              </w:rPr>
            </w:pPr>
          </w:p>
          <w:p w:rsidR="009B20A2" w:rsidRDefault="009B20A2" w:rsidP="00F72181">
            <w:pPr>
              <w:jc w:val="center"/>
              <w:rPr>
                <w:rFonts w:asciiTheme="majorHAnsi" w:hAnsiTheme="majorHAnsi" w:cs="Aparajita"/>
                <w:b/>
                <w:sz w:val="17"/>
                <w:szCs w:val="17"/>
              </w:rPr>
            </w:pPr>
          </w:p>
          <w:p w:rsidR="009B20A2" w:rsidRDefault="009B20A2" w:rsidP="00F72181">
            <w:pPr>
              <w:jc w:val="center"/>
              <w:rPr>
                <w:rFonts w:asciiTheme="majorHAnsi" w:hAnsiTheme="majorHAnsi" w:cs="Aparajita"/>
                <w:b/>
                <w:sz w:val="17"/>
                <w:szCs w:val="17"/>
              </w:rPr>
            </w:pPr>
            <w:r>
              <w:rPr>
                <w:rFonts w:asciiTheme="majorHAnsi" w:hAnsiTheme="majorHAnsi" w:cs="Aparajita"/>
                <w:b/>
                <w:sz w:val="17"/>
                <w:szCs w:val="17"/>
              </w:rPr>
              <w:t>005-4000530-2</w:t>
            </w:r>
          </w:p>
          <w:p w:rsidR="009B20A2" w:rsidRDefault="009B20A2" w:rsidP="00F72181">
            <w:pPr>
              <w:jc w:val="center"/>
              <w:rPr>
                <w:rFonts w:asciiTheme="majorHAnsi" w:hAnsiTheme="majorHAnsi" w:cs="Aparajita"/>
                <w:b/>
                <w:sz w:val="17"/>
                <w:szCs w:val="17"/>
              </w:rPr>
            </w:pPr>
          </w:p>
          <w:p w:rsidR="009B20A2" w:rsidRDefault="009B20A2" w:rsidP="00F72181">
            <w:pPr>
              <w:jc w:val="center"/>
              <w:rPr>
                <w:rFonts w:asciiTheme="majorHAnsi" w:hAnsiTheme="majorHAnsi" w:cs="Aparajita"/>
                <w:b/>
                <w:sz w:val="17"/>
                <w:szCs w:val="17"/>
              </w:rPr>
            </w:pPr>
            <w:r>
              <w:rPr>
                <w:rFonts w:asciiTheme="majorHAnsi" w:hAnsiTheme="majorHAnsi" w:cs="Aparajita"/>
                <w:b/>
                <w:sz w:val="17"/>
                <w:szCs w:val="17"/>
              </w:rPr>
              <w:t xml:space="preserve">Fondo común municipalidad de </w:t>
            </w:r>
            <w:proofErr w:type="spellStart"/>
            <w:r>
              <w:rPr>
                <w:rFonts w:asciiTheme="majorHAnsi" w:hAnsiTheme="majorHAnsi" w:cs="Aparajita"/>
                <w:b/>
                <w:sz w:val="17"/>
                <w:szCs w:val="17"/>
              </w:rPr>
              <w:t>Tonacatepeque</w:t>
            </w:r>
            <w:proofErr w:type="spellEnd"/>
          </w:p>
          <w:p w:rsidR="009B20A2" w:rsidRDefault="009B20A2" w:rsidP="00F72181">
            <w:pPr>
              <w:jc w:val="center"/>
              <w:rPr>
                <w:rFonts w:asciiTheme="majorHAnsi" w:hAnsiTheme="majorHAnsi" w:cs="Aparajita"/>
                <w:b/>
                <w:sz w:val="17"/>
                <w:szCs w:val="17"/>
              </w:rPr>
            </w:pPr>
          </w:p>
          <w:p w:rsidR="009B20A2" w:rsidRDefault="009B20A2" w:rsidP="00F72181">
            <w:pPr>
              <w:jc w:val="center"/>
              <w:rPr>
                <w:rFonts w:asciiTheme="majorHAnsi" w:hAnsiTheme="majorHAnsi" w:cs="Aparajita"/>
                <w:b/>
                <w:sz w:val="17"/>
                <w:szCs w:val="17"/>
              </w:rPr>
            </w:pPr>
          </w:p>
        </w:tc>
        <w:tc>
          <w:tcPr>
            <w:tcW w:w="1949" w:type="dxa"/>
            <w:tcBorders>
              <w:top w:val="double" w:sz="4" w:space="0" w:color="6699FF"/>
              <w:left w:val="double" w:sz="4" w:space="0" w:color="6699FF"/>
              <w:bottom w:val="double" w:sz="4" w:space="0" w:color="6699FF"/>
              <w:right w:val="double" w:sz="4" w:space="0" w:color="6699FF"/>
            </w:tcBorders>
          </w:tcPr>
          <w:p w:rsidR="009B20A2" w:rsidRDefault="009B20A2" w:rsidP="00F72181">
            <w:pPr>
              <w:jc w:val="center"/>
              <w:rPr>
                <w:rFonts w:asciiTheme="majorHAnsi" w:hAnsiTheme="majorHAnsi" w:cs="Aparajita"/>
                <w:sz w:val="17"/>
                <w:szCs w:val="17"/>
              </w:rPr>
            </w:pPr>
          </w:p>
          <w:p w:rsidR="009B20A2" w:rsidRDefault="009B20A2" w:rsidP="00F72181">
            <w:pPr>
              <w:jc w:val="center"/>
              <w:rPr>
                <w:rFonts w:asciiTheme="majorHAnsi" w:hAnsiTheme="majorHAnsi" w:cs="Aparajita"/>
                <w:sz w:val="17"/>
                <w:szCs w:val="17"/>
              </w:rPr>
            </w:pPr>
          </w:p>
          <w:p w:rsidR="009B20A2" w:rsidRDefault="009B20A2" w:rsidP="00F72181">
            <w:pPr>
              <w:jc w:val="center"/>
              <w:rPr>
                <w:rFonts w:asciiTheme="majorHAnsi" w:hAnsiTheme="majorHAnsi" w:cs="Aparajita"/>
                <w:b/>
                <w:sz w:val="17"/>
                <w:szCs w:val="17"/>
              </w:rPr>
            </w:pPr>
            <w:r>
              <w:rPr>
                <w:rFonts w:asciiTheme="majorHAnsi" w:hAnsiTheme="majorHAnsi" w:cs="Aparajita"/>
                <w:b/>
                <w:sz w:val="17"/>
                <w:szCs w:val="17"/>
              </w:rPr>
              <w:t>005-40005353</w:t>
            </w:r>
          </w:p>
          <w:p w:rsidR="009B20A2" w:rsidRDefault="009B20A2" w:rsidP="00F72181">
            <w:pPr>
              <w:jc w:val="center"/>
              <w:rPr>
                <w:rFonts w:asciiTheme="majorHAnsi" w:hAnsiTheme="majorHAnsi" w:cs="Aparajita"/>
                <w:b/>
                <w:sz w:val="17"/>
                <w:szCs w:val="17"/>
              </w:rPr>
            </w:pPr>
          </w:p>
          <w:p w:rsidR="009B20A2" w:rsidRDefault="009B20A2" w:rsidP="00F72181">
            <w:pPr>
              <w:jc w:val="center"/>
              <w:rPr>
                <w:rFonts w:asciiTheme="majorHAnsi" w:hAnsiTheme="majorHAnsi" w:cs="Aparajita"/>
                <w:b/>
                <w:sz w:val="17"/>
                <w:szCs w:val="17"/>
              </w:rPr>
            </w:pPr>
            <w:r>
              <w:rPr>
                <w:rFonts w:asciiTheme="majorHAnsi" w:hAnsiTheme="majorHAnsi" w:cs="Aparajita"/>
                <w:b/>
                <w:sz w:val="17"/>
                <w:szCs w:val="17"/>
              </w:rPr>
              <w:t xml:space="preserve">Alcaldía Municipal de </w:t>
            </w:r>
            <w:proofErr w:type="spellStart"/>
            <w:r>
              <w:rPr>
                <w:rFonts w:asciiTheme="majorHAnsi" w:hAnsiTheme="majorHAnsi" w:cs="Aparajita"/>
                <w:b/>
                <w:sz w:val="17"/>
                <w:szCs w:val="17"/>
              </w:rPr>
              <w:t>Tonacatepeque</w:t>
            </w:r>
            <w:proofErr w:type="spellEnd"/>
            <w:r>
              <w:rPr>
                <w:rFonts w:asciiTheme="majorHAnsi" w:hAnsiTheme="majorHAnsi" w:cs="Aparajita"/>
                <w:b/>
                <w:sz w:val="17"/>
                <w:szCs w:val="17"/>
              </w:rPr>
              <w:t>/7% fiestas patronales</w:t>
            </w:r>
          </w:p>
          <w:p w:rsidR="009B20A2" w:rsidRDefault="009B20A2" w:rsidP="00F72181">
            <w:pPr>
              <w:rPr>
                <w:rFonts w:asciiTheme="majorHAnsi" w:hAnsiTheme="majorHAnsi" w:cs="Aparajita"/>
                <w:b/>
                <w:sz w:val="17"/>
                <w:szCs w:val="17"/>
              </w:rPr>
            </w:pPr>
          </w:p>
        </w:tc>
        <w:tc>
          <w:tcPr>
            <w:tcW w:w="1418"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r>
              <w:rPr>
                <w:rFonts w:asciiTheme="majorHAnsi" w:hAnsiTheme="majorHAnsi" w:cs="Aparajita"/>
                <w:b/>
                <w:sz w:val="17"/>
                <w:szCs w:val="17"/>
              </w:rPr>
              <w:t>$1,695.54</w:t>
            </w:r>
          </w:p>
        </w:tc>
        <w:tc>
          <w:tcPr>
            <w:tcW w:w="1275"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9"/>
                <w:szCs w:val="19"/>
              </w:rPr>
            </w:pPr>
          </w:p>
        </w:tc>
        <w:tc>
          <w:tcPr>
            <w:tcW w:w="2127" w:type="dxa"/>
            <w:tcBorders>
              <w:top w:val="double" w:sz="4" w:space="0" w:color="6699FF"/>
              <w:left w:val="double" w:sz="4" w:space="0" w:color="6699FF"/>
              <w:bottom w:val="double" w:sz="4" w:space="0" w:color="6699FF"/>
              <w:right w:val="double" w:sz="4" w:space="0" w:color="6699FF"/>
            </w:tcBorders>
            <w:hideMark/>
          </w:tcPr>
          <w:p w:rsidR="009B20A2" w:rsidRDefault="009B20A2" w:rsidP="00F72181">
            <w:pPr>
              <w:rPr>
                <w:rFonts w:asciiTheme="majorHAnsi" w:hAnsiTheme="majorHAnsi"/>
                <w:b/>
                <w:sz w:val="19"/>
                <w:szCs w:val="19"/>
              </w:rPr>
            </w:pPr>
            <w:r>
              <w:rPr>
                <w:rFonts w:asciiTheme="majorHAnsi" w:hAnsiTheme="majorHAnsi"/>
                <w:b/>
                <w:sz w:val="19"/>
                <w:szCs w:val="19"/>
              </w:rPr>
              <w:t xml:space="preserve"> En concepto de complemento de remesa del día 23/12/2020 ya que el efectivo fue insuficiente por el ingreso de  cheque de </w:t>
            </w:r>
            <w:proofErr w:type="spellStart"/>
            <w:r>
              <w:rPr>
                <w:rFonts w:asciiTheme="majorHAnsi" w:hAnsiTheme="majorHAnsi"/>
                <w:b/>
                <w:sz w:val="19"/>
                <w:szCs w:val="19"/>
              </w:rPr>
              <w:t>Caess</w:t>
            </w:r>
            <w:proofErr w:type="spellEnd"/>
            <w:r>
              <w:rPr>
                <w:rFonts w:asciiTheme="majorHAnsi" w:hAnsiTheme="majorHAnsi"/>
                <w:b/>
                <w:sz w:val="19"/>
                <w:szCs w:val="19"/>
              </w:rPr>
              <w:t xml:space="preserve"> por $50,532.32 caja 1 </w:t>
            </w:r>
            <w:proofErr w:type="spellStart"/>
            <w:r>
              <w:rPr>
                <w:rFonts w:asciiTheme="majorHAnsi" w:hAnsiTheme="majorHAnsi"/>
                <w:b/>
                <w:sz w:val="19"/>
                <w:szCs w:val="19"/>
              </w:rPr>
              <w:t>Tonaca</w:t>
            </w:r>
            <w:proofErr w:type="spellEnd"/>
            <w:r>
              <w:rPr>
                <w:rFonts w:asciiTheme="majorHAnsi" w:hAnsiTheme="majorHAnsi"/>
                <w:b/>
                <w:sz w:val="19"/>
                <w:szCs w:val="19"/>
              </w:rPr>
              <w:t xml:space="preserve">. </w:t>
            </w:r>
          </w:p>
        </w:tc>
      </w:tr>
      <w:tr w:rsidR="009B20A2" w:rsidTr="00F72181">
        <w:trPr>
          <w:trHeight w:val="1964"/>
        </w:trPr>
        <w:tc>
          <w:tcPr>
            <w:tcW w:w="534" w:type="dxa"/>
            <w:tcBorders>
              <w:top w:val="double" w:sz="4" w:space="0" w:color="6699FF"/>
              <w:left w:val="double" w:sz="4" w:space="0" w:color="6699FF"/>
              <w:bottom w:val="double" w:sz="4" w:space="0" w:color="6699FF"/>
              <w:right w:val="double" w:sz="4" w:space="0" w:color="6699FF"/>
            </w:tcBorders>
          </w:tcPr>
          <w:p w:rsidR="009B20A2" w:rsidRDefault="009B20A2" w:rsidP="00F72181">
            <w:pPr>
              <w:tabs>
                <w:tab w:val="left" w:pos="3480"/>
              </w:tabs>
              <w:jc w:val="center"/>
              <w:rPr>
                <w:rFonts w:asciiTheme="majorHAnsi" w:hAnsiTheme="majorHAnsi" w:cs="Aparajita"/>
                <w:b/>
                <w:i/>
                <w:sz w:val="19"/>
                <w:szCs w:val="19"/>
              </w:rPr>
            </w:pPr>
          </w:p>
        </w:tc>
        <w:tc>
          <w:tcPr>
            <w:tcW w:w="1736" w:type="dxa"/>
            <w:tcBorders>
              <w:top w:val="double" w:sz="4" w:space="0" w:color="6699FF"/>
              <w:left w:val="double" w:sz="4" w:space="0" w:color="6699FF"/>
              <w:bottom w:val="double" w:sz="4" w:space="0" w:color="6699FF"/>
              <w:right w:val="double" w:sz="4" w:space="0" w:color="6699FF"/>
            </w:tcBorders>
          </w:tcPr>
          <w:p w:rsidR="009B20A2" w:rsidRDefault="009B20A2" w:rsidP="00F72181">
            <w:pPr>
              <w:jc w:val="center"/>
              <w:rPr>
                <w:rFonts w:asciiTheme="majorHAnsi" w:hAnsiTheme="majorHAnsi" w:cs="Aparajita"/>
                <w:b/>
                <w:sz w:val="20"/>
                <w:szCs w:val="20"/>
              </w:rPr>
            </w:pPr>
          </w:p>
          <w:p w:rsidR="009B20A2" w:rsidRDefault="009B20A2" w:rsidP="00F72181">
            <w:pP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r>
              <w:rPr>
                <w:rFonts w:asciiTheme="majorHAnsi" w:hAnsiTheme="majorHAnsi" w:cs="Aparajita"/>
                <w:b/>
                <w:sz w:val="20"/>
                <w:szCs w:val="20"/>
              </w:rPr>
              <w:t>005-40009340</w:t>
            </w:r>
          </w:p>
          <w:p w:rsidR="009B20A2" w:rsidRDefault="009B20A2" w:rsidP="00F72181">
            <w:pPr>
              <w:jc w:val="cente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FODES/ISDEM 2%.</w:t>
            </w:r>
          </w:p>
        </w:tc>
        <w:tc>
          <w:tcPr>
            <w:tcW w:w="1949"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r>
              <w:rPr>
                <w:rFonts w:asciiTheme="majorHAnsi" w:hAnsiTheme="majorHAnsi" w:cs="Aparajita"/>
                <w:b/>
                <w:sz w:val="20"/>
                <w:szCs w:val="20"/>
              </w:rPr>
              <w:t>005-4000944-8</w:t>
            </w:r>
          </w:p>
          <w:p w:rsidR="009B20A2" w:rsidRDefault="009B20A2" w:rsidP="00F72181">
            <w:pPr>
              <w:jc w:val="cente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Mantenimiento de caminos vecinales rurales del municipio año 2020</w:t>
            </w:r>
          </w:p>
          <w:p w:rsidR="009B20A2" w:rsidRDefault="009B20A2" w:rsidP="00F72181">
            <w:pPr>
              <w:jc w:val="center"/>
              <w:rPr>
                <w:rFonts w:asciiTheme="majorHAnsi" w:hAnsiTheme="majorHAnsi" w:cs="Aparajita"/>
                <w:b/>
                <w:sz w:val="20"/>
                <w:szCs w:val="20"/>
              </w:rPr>
            </w:pPr>
          </w:p>
        </w:tc>
        <w:tc>
          <w:tcPr>
            <w:tcW w:w="1418"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r>
              <w:rPr>
                <w:rFonts w:asciiTheme="majorHAnsi" w:hAnsiTheme="majorHAnsi" w:cs="Aparajita"/>
                <w:b/>
                <w:sz w:val="17"/>
                <w:szCs w:val="17"/>
              </w:rPr>
              <w:t>$102.23</w:t>
            </w:r>
          </w:p>
        </w:tc>
        <w:tc>
          <w:tcPr>
            <w:tcW w:w="1275"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b/>
                <w:sz w:val="19"/>
                <w:szCs w:val="19"/>
              </w:rPr>
            </w:pPr>
          </w:p>
        </w:tc>
        <w:tc>
          <w:tcPr>
            <w:tcW w:w="2127"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b/>
                <w:sz w:val="19"/>
                <w:szCs w:val="19"/>
              </w:rPr>
            </w:pPr>
          </w:p>
          <w:p w:rsidR="009B20A2" w:rsidRDefault="009B20A2" w:rsidP="00F72181">
            <w:pPr>
              <w:rPr>
                <w:rFonts w:asciiTheme="majorHAnsi" w:hAnsiTheme="majorHAnsi"/>
                <w:b/>
                <w:sz w:val="19"/>
                <w:szCs w:val="19"/>
              </w:rPr>
            </w:pPr>
            <w:r>
              <w:rPr>
                <w:rFonts w:asciiTheme="majorHAnsi" w:hAnsiTheme="majorHAnsi"/>
                <w:b/>
                <w:sz w:val="19"/>
                <w:szCs w:val="19"/>
              </w:rPr>
              <w:t xml:space="preserve">Para pago de recibo de Elvis Granados Morales por mantenimiento de </w:t>
            </w:r>
            <w:proofErr w:type="spellStart"/>
            <w:r>
              <w:rPr>
                <w:rFonts w:asciiTheme="majorHAnsi" w:hAnsiTheme="majorHAnsi"/>
                <w:b/>
                <w:sz w:val="19"/>
                <w:szCs w:val="19"/>
              </w:rPr>
              <w:t>motoniveladora</w:t>
            </w:r>
            <w:proofErr w:type="spellEnd"/>
            <w:r>
              <w:rPr>
                <w:rFonts w:asciiTheme="majorHAnsi" w:hAnsiTheme="majorHAnsi"/>
                <w:b/>
                <w:sz w:val="19"/>
                <w:szCs w:val="19"/>
              </w:rPr>
              <w:t xml:space="preserve">. </w:t>
            </w:r>
          </w:p>
          <w:p w:rsidR="009B20A2" w:rsidRDefault="009B20A2" w:rsidP="00F72181">
            <w:pPr>
              <w:rPr>
                <w:rFonts w:asciiTheme="majorHAnsi" w:hAnsiTheme="majorHAnsi"/>
                <w:b/>
                <w:sz w:val="19"/>
                <w:szCs w:val="19"/>
              </w:rPr>
            </w:pPr>
          </w:p>
        </w:tc>
      </w:tr>
      <w:tr w:rsidR="009B20A2" w:rsidTr="00F72181">
        <w:trPr>
          <w:trHeight w:val="1964"/>
        </w:trPr>
        <w:tc>
          <w:tcPr>
            <w:tcW w:w="534" w:type="dxa"/>
            <w:tcBorders>
              <w:top w:val="double" w:sz="4" w:space="0" w:color="6699FF"/>
              <w:left w:val="double" w:sz="4" w:space="0" w:color="6699FF"/>
              <w:bottom w:val="double" w:sz="4" w:space="0" w:color="6699FF"/>
              <w:right w:val="double" w:sz="4" w:space="0" w:color="6699FF"/>
            </w:tcBorders>
          </w:tcPr>
          <w:p w:rsidR="009B20A2" w:rsidRDefault="009B20A2" w:rsidP="00F72181">
            <w:pPr>
              <w:tabs>
                <w:tab w:val="left" w:pos="3480"/>
              </w:tabs>
              <w:jc w:val="center"/>
              <w:rPr>
                <w:rFonts w:asciiTheme="majorHAnsi" w:hAnsiTheme="majorHAnsi" w:cs="Aparajita"/>
                <w:b/>
                <w:i/>
                <w:sz w:val="19"/>
                <w:szCs w:val="19"/>
              </w:rPr>
            </w:pPr>
          </w:p>
        </w:tc>
        <w:tc>
          <w:tcPr>
            <w:tcW w:w="1736" w:type="dxa"/>
            <w:tcBorders>
              <w:top w:val="double" w:sz="4" w:space="0" w:color="6699FF"/>
              <w:left w:val="double" w:sz="4" w:space="0" w:color="6699FF"/>
              <w:bottom w:val="double" w:sz="4" w:space="0" w:color="6699FF"/>
              <w:right w:val="double" w:sz="4" w:space="0" w:color="6699FF"/>
            </w:tcBorders>
          </w:tcPr>
          <w:p w:rsidR="009B20A2" w:rsidRDefault="009B20A2" w:rsidP="00F72181">
            <w:pPr>
              <w:jc w:val="center"/>
              <w:rPr>
                <w:rFonts w:asciiTheme="majorHAnsi" w:hAnsiTheme="majorHAnsi" w:cs="Aparajita"/>
                <w:b/>
                <w:sz w:val="20"/>
                <w:szCs w:val="20"/>
              </w:rPr>
            </w:pPr>
          </w:p>
          <w:p w:rsidR="009B20A2" w:rsidRDefault="009B20A2" w:rsidP="00F72181">
            <w:pPr>
              <w:rPr>
                <w:rFonts w:asciiTheme="majorHAnsi" w:hAnsiTheme="majorHAnsi" w:cs="Aparajita"/>
                <w:b/>
                <w:sz w:val="20"/>
                <w:szCs w:val="20"/>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005-4000530-2</w:t>
            </w:r>
          </w:p>
          <w:p w:rsidR="009B20A2" w:rsidRDefault="009B20A2" w:rsidP="00F72181">
            <w:pPr>
              <w:jc w:val="center"/>
              <w:rPr>
                <w:rFonts w:asciiTheme="majorHAnsi" w:hAnsiTheme="majorHAnsi" w:cs="Aparajita"/>
                <w:b/>
                <w:sz w:val="19"/>
                <w:szCs w:val="19"/>
              </w:rPr>
            </w:pPr>
          </w:p>
          <w:p w:rsidR="009B20A2" w:rsidRDefault="009B20A2" w:rsidP="00F72181">
            <w:pPr>
              <w:jc w:val="center"/>
              <w:rPr>
                <w:rFonts w:asciiTheme="majorHAnsi" w:hAnsiTheme="majorHAnsi" w:cs="Aparajita"/>
                <w:b/>
                <w:sz w:val="19"/>
                <w:szCs w:val="19"/>
              </w:rPr>
            </w:pPr>
            <w:r>
              <w:rPr>
                <w:rFonts w:asciiTheme="majorHAnsi" w:hAnsiTheme="majorHAnsi" w:cs="Aparajita"/>
                <w:b/>
                <w:sz w:val="19"/>
                <w:szCs w:val="19"/>
              </w:rPr>
              <w:t xml:space="preserve">Fondo común municipalidad de </w:t>
            </w:r>
            <w:proofErr w:type="spellStart"/>
            <w:r>
              <w:rPr>
                <w:rFonts w:asciiTheme="majorHAnsi" w:hAnsiTheme="majorHAnsi" w:cs="Aparajita"/>
                <w:b/>
                <w:sz w:val="19"/>
                <w:szCs w:val="19"/>
              </w:rPr>
              <w:t>Tonacatepeque</w:t>
            </w:r>
            <w:proofErr w:type="spellEnd"/>
          </w:p>
          <w:p w:rsidR="009B20A2" w:rsidRDefault="009B20A2" w:rsidP="00F72181">
            <w:pPr>
              <w:jc w:val="center"/>
              <w:rPr>
                <w:rFonts w:asciiTheme="majorHAnsi" w:hAnsiTheme="majorHAnsi" w:cs="Aparajita"/>
                <w:b/>
                <w:sz w:val="20"/>
                <w:szCs w:val="20"/>
              </w:rPr>
            </w:pPr>
          </w:p>
        </w:tc>
        <w:tc>
          <w:tcPr>
            <w:tcW w:w="1949"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r>
              <w:rPr>
                <w:rFonts w:asciiTheme="majorHAnsi" w:hAnsiTheme="majorHAnsi" w:cs="Aparajita"/>
                <w:b/>
                <w:sz w:val="20"/>
                <w:szCs w:val="20"/>
              </w:rPr>
              <w:t>005-40005329</w:t>
            </w:r>
          </w:p>
          <w:p w:rsidR="009B20A2" w:rsidRDefault="009B20A2" w:rsidP="00F72181">
            <w:pPr>
              <w:jc w:val="center"/>
              <w:rPr>
                <w:rFonts w:asciiTheme="majorHAnsi" w:hAnsiTheme="majorHAnsi" w:cs="Aparajita"/>
                <w:b/>
                <w:sz w:val="20"/>
                <w:szCs w:val="20"/>
              </w:rPr>
            </w:pPr>
          </w:p>
          <w:p w:rsidR="009B20A2" w:rsidRDefault="009B20A2" w:rsidP="00F72181">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FODES/ISDEM 25%.</w:t>
            </w:r>
          </w:p>
        </w:tc>
        <w:tc>
          <w:tcPr>
            <w:tcW w:w="1418"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p>
          <w:p w:rsidR="009B20A2" w:rsidRDefault="009B20A2" w:rsidP="00F72181">
            <w:pPr>
              <w:rPr>
                <w:rFonts w:asciiTheme="majorHAnsi" w:hAnsiTheme="majorHAnsi" w:cs="Aparajita"/>
                <w:b/>
                <w:sz w:val="17"/>
                <w:szCs w:val="17"/>
              </w:rPr>
            </w:pPr>
            <w:r>
              <w:rPr>
                <w:rFonts w:asciiTheme="majorHAnsi" w:hAnsiTheme="majorHAnsi" w:cs="Aparajita"/>
                <w:b/>
                <w:sz w:val="17"/>
                <w:szCs w:val="17"/>
              </w:rPr>
              <w:t>$10,839.23</w:t>
            </w:r>
          </w:p>
        </w:tc>
        <w:tc>
          <w:tcPr>
            <w:tcW w:w="1275"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b/>
                <w:sz w:val="17"/>
                <w:szCs w:val="17"/>
              </w:rPr>
            </w:pPr>
          </w:p>
        </w:tc>
        <w:tc>
          <w:tcPr>
            <w:tcW w:w="2127" w:type="dxa"/>
            <w:tcBorders>
              <w:top w:val="double" w:sz="4" w:space="0" w:color="6699FF"/>
              <w:left w:val="double" w:sz="4" w:space="0" w:color="6699FF"/>
              <w:bottom w:val="double" w:sz="4" w:space="0" w:color="6699FF"/>
              <w:right w:val="double" w:sz="4" w:space="0" w:color="6699FF"/>
            </w:tcBorders>
          </w:tcPr>
          <w:p w:rsidR="009B20A2" w:rsidRDefault="009B20A2" w:rsidP="00F72181">
            <w:pPr>
              <w:rPr>
                <w:rFonts w:asciiTheme="majorHAnsi" w:hAnsiTheme="majorHAnsi"/>
                <w:b/>
                <w:sz w:val="17"/>
                <w:szCs w:val="17"/>
              </w:rPr>
            </w:pPr>
          </w:p>
          <w:p w:rsidR="009B20A2" w:rsidRDefault="009B20A2" w:rsidP="00F72181">
            <w:pPr>
              <w:rPr>
                <w:rFonts w:asciiTheme="majorHAnsi" w:hAnsiTheme="majorHAnsi"/>
                <w:b/>
                <w:sz w:val="17"/>
                <w:szCs w:val="17"/>
              </w:rPr>
            </w:pPr>
            <w:r>
              <w:rPr>
                <w:rFonts w:asciiTheme="majorHAnsi" w:hAnsiTheme="majorHAnsi"/>
                <w:b/>
                <w:sz w:val="17"/>
                <w:szCs w:val="17"/>
              </w:rPr>
              <w:t xml:space="preserve">Abono a préstamo año 2018,( para pago de factura de </w:t>
            </w:r>
            <w:proofErr w:type="spellStart"/>
            <w:r>
              <w:rPr>
                <w:rFonts w:asciiTheme="majorHAnsi" w:hAnsiTheme="majorHAnsi"/>
                <w:b/>
                <w:sz w:val="17"/>
                <w:szCs w:val="17"/>
              </w:rPr>
              <w:t>caess</w:t>
            </w:r>
            <w:proofErr w:type="spellEnd"/>
            <w:r>
              <w:rPr>
                <w:rFonts w:asciiTheme="majorHAnsi" w:hAnsiTheme="majorHAnsi"/>
                <w:b/>
                <w:sz w:val="17"/>
                <w:szCs w:val="17"/>
              </w:rPr>
              <w:t xml:space="preserve"> del mes de noviembre 2020 por $3,298.98 y diciembre por $3,522.14 , para pago de facturas del sur por $423.86 , para pago de facturas de claro por $1,847.06 y pago de facturas de anda por $1,747.19)</w:t>
            </w:r>
          </w:p>
        </w:tc>
      </w:tr>
    </w:tbl>
    <w:p w:rsidR="009B20A2" w:rsidRPr="003D2873" w:rsidRDefault="009B20A2" w:rsidP="009B20A2">
      <w:pPr>
        <w:jc w:val="both"/>
        <w:rPr>
          <w:rFonts w:ascii="Times New Roman" w:hAnsi="Times New Roman"/>
          <w:sz w:val="24"/>
          <w:szCs w:val="24"/>
        </w:rPr>
      </w:pPr>
      <w:r w:rsidRPr="001F3E41">
        <w:rPr>
          <w:rFonts w:ascii="Times New Roman" w:hAnsi="Times New Roman"/>
          <w:b/>
          <w:sz w:val="24"/>
          <w:szCs w:val="24"/>
        </w:rPr>
        <w:t>CERTIFÍQUESE Y COMUNÍQUESE</w:t>
      </w:r>
      <w:r w:rsidRPr="001F3E41">
        <w:rPr>
          <w:rFonts w:ascii="Times New Roman" w:hAnsi="Times New Roman"/>
          <w:sz w:val="24"/>
          <w:szCs w:val="24"/>
        </w:rPr>
        <w:t xml:space="preserve"> a: Sindicatura, Gerencia Financiera, UACI, Tesorería,  presupuesto y Despacho Municipal. </w:t>
      </w:r>
      <w:r>
        <w:rPr>
          <w:rFonts w:ascii="Times New Roman" w:eastAsia="Times New Roman" w:hAnsi="Times New Roman"/>
          <w:sz w:val="24"/>
          <w:szCs w:val="24"/>
        </w:rPr>
        <w:t>Y no h</w:t>
      </w:r>
      <w:r w:rsidRPr="003D2873">
        <w:rPr>
          <w:rFonts w:ascii="Times New Roman" w:eastAsia="Times New Roman" w:hAnsi="Times New Roman"/>
          <w:sz w:val="24"/>
          <w:szCs w:val="24"/>
        </w:rPr>
        <w:t>abiendo más de que hacer constar se da por terminada la presente acta que firmamos.</w:t>
      </w:r>
    </w:p>
    <w:p w:rsidR="009B20A2" w:rsidRPr="003D2873" w:rsidRDefault="009B20A2" w:rsidP="009B20A2">
      <w:pPr>
        <w:jc w:val="both"/>
        <w:rPr>
          <w:rFonts w:ascii="Times New Roman" w:hAnsi="Times New Roman"/>
          <w:sz w:val="24"/>
          <w:szCs w:val="24"/>
        </w:rPr>
      </w:pPr>
    </w:p>
    <w:p w:rsidR="009B20A2" w:rsidRDefault="009B20A2" w:rsidP="009B20A2">
      <w:pPr>
        <w:jc w:val="both"/>
        <w:rPr>
          <w:rFonts w:ascii="Times New Roman" w:hAnsi="Times New Roman"/>
          <w:sz w:val="24"/>
          <w:szCs w:val="24"/>
        </w:rPr>
      </w:pPr>
    </w:p>
    <w:p w:rsidR="00F60CB8" w:rsidRDefault="00F60CB8"/>
    <w:sectPr w:rsidR="00F60CB8" w:rsidSect="00F60CB8">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0A2" w:rsidRDefault="009B20A2" w:rsidP="009B20A2">
      <w:r>
        <w:separator/>
      </w:r>
    </w:p>
  </w:endnote>
  <w:endnote w:type="continuationSeparator" w:id="1">
    <w:p w:rsidR="009B20A2" w:rsidRDefault="009B20A2" w:rsidP="009B20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A2" w:rsidRDefault="009B20A2" w:rsidP="009B20A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B20A2" w:rsidRDefault="009B20A2" w:rsidP="009B20A2">
    <w:pPr>
      <w:pStyle w:val="Piedepgina"/>
    </w:pPr>
  </w:p>
  <w:p w:rsidR="009B20A2" w:rsidRDefault="009B20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0A2" w:rsidRDefault="009B20A2" w:rsidP="009B20A2">
      <w:r>
        <w:separator/>
      </w:r>
    </w:p>
  </w:footnote>
  <w:footnote w:type="continuationSeparator" w:id="1">
    <w:p w:rsidR="009B20A2" w:rsidRDefault="009B20A2" w:rsidP="009B20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B20A2"/>
    <w:rsid w:val="009B20A2"/>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A2"/>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9B20A2"/>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9B20A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B20A2"/>
    <w:pPr>
      <w:tabs>
        <w:tab w:val="center" w:pos="4252"/>
        <w:tab w:val="right" w:pos="8504"/>
      </w:tabs>
    </w:pPr>
  </w:style>
  <w:style w:type="character" w:customStyle="1" w:styleId="EncabezadoCar">
    <w:name w:val="Encabezado Car"/>
    <w:basedOn w:val="Fuentedeprrafopredeter"/>
    <w:link w:val="Encabezado"/>
    <w:uiPriority w:val="99"/>
    <w:semiHidden/>
    <w:rsid w:val="009B20A2"/>
    <w:rPr>
      <w:rFonts w:ascii="Calibri" w:eastAsia="Calibri" w:hAnsi="Calibri" w:cs="Times New Roman"/>
      <w:lang w:val="es-SV"/>
    </w:rPr>
  </w:style>
  <w:style w:type="paragraph" w:styleId="Piedepgina">
    <w:name w:val="footer"/>
    <w:basedOn w:val="Normal"/>
    <w:link w:val="PiedepginaCar"/>
    <w:uiPriority w:val="99"/>
    <w:semiHidden/>
    <w:unhideWhenUsed/>
    <w:rsid w:val="009B20A2"/>
    <w:pPr>
      <w:tabs>
        <w:tab w:val="center" w:pos="4252"/>
        <w:tab w:val="right" w:pos="8504"/>
      </w:tabs>
    </w:pPr>
  </w:style>
  <w:style w:type="character" w:customStyle="1" w:styleId="PiedepginaCar">
    <w:name w:val="Pie de página Car"/>
    <w:basedOn w:val="Fuentedeprrafopredeter"/>
    <w:link w:val="Piedepgina"/>
    <w:uiPriority w:val="99"/>
    <w:semiHidden/>
    <w:rsid w:val="009B20A2"/>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4686</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2021-03-15T23:18:00Z</dcterms:created>
  <dcterms:modified xsi:type="dcterms:W3CDTF">2021-03-15T23:20:00Z</dcterms:modified>
</cp:coreProperties>
</file>