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33" w:rsidRPr="000717AC" w:rsidRDefault="00C14A33" w:rsidP="00C14A33">
      <w:pPr>
        <w:spacing w:line="240" w:lineRule="auto"/>
        <w:jc w:val="both"/>
        <w:rPr>
          <w:rFonts w:ascii="Times New Roman" w:hAnsi="Times New Roman" w:cs="Times New Roman"/>
        </w:rPr>
      </w:pPr>
      <w:r w:rsidRPr="000717AC">
        <w:rPr>
          <w:rFonts w:ascii="Times New Roman" w:eastAsia="Calibri" w:hAnsi="Times New Roman" w:cs="Times New Roman"/>
          <w:b/>
          <w:u w:val="single"/>
        </w:rPr>
        <w:t>ACTA NUMERO SESENTA Y UNO:</w:t>
      </w:r>
      <w:r w:rsidRPr="000717AC">
        <w:rPr>
          <w:rFonts w:ascii="Times New Roman" w:eastAsia="Calibri" w:hAnsi="Times New Roman" w:cs="Times New Roman"/>
        </w:rPr>
        <w:t xml:space="preserve"> Sesión  Extraordinaria del Concejo Municipal de la Ciudad de </w:t>
      </w:r>
      <w:proofErr w:type="spellStart"/>
      <w:r w:rsidRPr="000717AC">
        <w:rPr>
          <w:rFonts w:ascii="Times New Roman" w:eastAsia="Calibri" w:hAnsi="Times New Roman" w:cs="Times New Roman"/>
        </w:rPr>
        <w:t>Tonacatepeque</w:t>
      </w:r>
      <w:proofErr w:type="spellEnd"/>
      <w:r w:rsidRPr="000717AC">
        <w:rPr>
          <w:rFonts w:ascii="Times New Roman" w:eastAsia="Calibri" w:hAnsi="Times New Roman" w:cs="Times New Roman"/>
        </w:rPr>
        <w:t>, Departamento de San Salvador, celebrada en  esta Ciudad a las nueve  horas del día</w:t>
      </w:r>
      <w:r w:rsidRPr="000717AC">
        <w:rPr>
          <w:rFonts w:ascii="Times New Roman" w:eastAsia="Calibri" w:hAnsi="Times New Roman" w:cs="Times New Roman"/>
          <w:b/>
        </w:rPr>
        <w:t xml:space="preserve"> viernes trece  de noviembre dos mil veinte</w:t>
      </w:r>
      <w:r w:rsidRPr="000717AC">
        <w:rPr>
          <w:rFonts w:ascii="Times New Roman" w:eastAsia="Calibri" w:hAnsi="Times New Roman" w:cs="Times New Roman"/>
        </w:rPr>
        <w:t xml:space="preserve">;  Convocada conforme a la Ley, y presidida por el señor Síndico Municipal Licenciado Edgardo Martínez Campos  en ausencia del Señor Alcalde Municipal; con asistencia de los Regidores Propietarios señores: José Ismael </w:t>
      </w:r>
      <w:proofErr w:type="spellStart"/>
      <w:r w:rsidRPr="000717AC">
        <w:rPr>
          <w:rFonts w:ascii="Times New Roman" w:eastAsia="Calibri" w:hAnsi="Times New Roman" w:cs="Times New Roman"/>
        </w:rPr>
        <w:t>Doradea</w:t>
      </w:r>
      <w:proofErr w:type="spellEnd"/>
      <w:r w:rsidRPr="000717AC">
        <w:rPr>
          <w:rFonts w:ascii="Times New Roman" w:eastAsia="Calibri" w:hAnsi="Times New Roman" w:cs="Times New Roman"/>
        </w:rPr>
        <w:t xml:space="preserve"> Molina; Ana Carolina </w:t>
      </w:r>
      <w:proofErr w:type="spellStart"/>
      <w:r w:rsidRPr="000717AC">
        <w:rPr>
          <w:rFonts w:ascii="Times New Roman" w:eastAsia="Calibri" w:hAnsi="Times New Roman" w:cs="Times New Roman"/>
        </w:rPr>
        <w:t>Menjivar</w:t>
      </w:r>
      <w:proofErr w:type="spellEnd"/>
      <w:r w:rsidRPr="000717AC">
        <w:rPr>
          <w:rFonts w:ascii="Times New Roman" w:eastAsia="Calibri" w:hAnsi="Times New Roman" w:cs="Times New Roman"/>
        </w:rPr>
        <w:t xml:space="preserve"> de Ortega;  María Lina Castellanos Campos Reales,  Carlos Ernesto Ulloa Salinas y Amanda de Jesús Quezada Sigüenza; Suplentes: Ángel Cuellar Guzmán, José David Romero Ruano y José Rolando Vivas. Secretaria Municipal María Antonieta González Alas. Comprobado el Quórum. Se hace constar que no se hicieron presente el señor Alcalde Municipal </w:t>
      </w:r>
      <w:r w:rsidRPr="000717AC">
        <w:rPr>
          <w:rFonts w:ascii="Times New Roman" w:hAnsi="Times New Roman" w:cs="Times New Roman"/>
        </w:rPr>
        <w:t xml:space="preserve">Roberto Edgardo Herrera Díaz Canjura, </w:t>
      </w:r>
      <w:r w:rsidRPr="000717AC">
        <w:rPr>
          <w:rFonts w:ascii="Times New Roman" w:eastAsia="Calibri" w:hAnsi="Times New Roman" w:cs="Times New Roman"/>
        </w:rPr>
        <w:t xml:space="preserve">Mario Ricardo Lemus (por encontrarse mal de salud), Oscar Armando Cantón López, Edgardo Alejandro Torres </w:t>
      </w:r>
      <w:proofErr w:type="spellStart"/>
      <w:r w:rsidRPr="000717AC">
        <w:rPr>
          <w:rFonts w:ascii="Times New Roman" w:eastAsia="Calibri" w:hAnsi="Times New Roman" w:cs="Times New Roman"/>
        </w:rPr>
        <w:t>Menjivar</w:t>
      </w:r>
      <w:proofErr w:type="spellEnd"/>
      <w:r>
        <w:rPr>
          <w:rFonts w:ascii="Times New Roman" w:eastAsia="Calibri" w:hAnsi="Times New Roman" w:cs="Times New Roman"/>
        </w:rPr>
        <w:t xml:space="preserve"> ( </w:t>
      </w:r>
      <w:r w:rsidRPr="000717AC">
        <w:rPr>
          <w:rFonts w:ascii="Times New Roman" w:eastAsia="Calibri" w:hAnsi="Times New Roman" w:cs="Times New Roman"/>
          <w:sz w:val="24"/>
        </w:rPr>
        <w:t xml:space="preserve">compromisos </w:t>
      </w:r>
      <w:r>
        <w:rPr>
          <w:rFonts w:ascii="Times New Roman" w:eastAsia="Calibri" w:hAnsi="Times New Roman" w:cs="Times New Roman"/>
          <w:sz w:val="24"/>
        </w:rPr>
        <w:t xml:space="preserve">urgentes por resolver) </w:t>
      </w:r>
      <w:r w:rsidRPr="000717AC">
        <w:rPr>
          <w:rFonts w:ascii="Times New Roman" w:eastAsia="Calibri" w:hAnsi="Times New Roman" w:cs="Times New Roman"/>
        </w:rPr>
        <w:t xml:space="preserve">, Cosme </w:t>
      </w:r>
      <w:proofErr w:type="spellStart"/>
      <w:r w:rsidRPr="000717AC">
        <w:rPr>
          <w:rFonts w:ascii="Times New Roman" w:eastAsia="Calibri" w:hAnsi="Times New Roman" w:cs="Times New Roman"/>
        </w:rPr>
        <w:t>Arquímides</w:t>
      </w:r>
      <w:proofErr w:type="spellEnd"/>
      <w:r w:rsidRPr="000717AC">
        <w:rPr>
          <w:rFonts w:ascii="Times New Roman" w:eastAsia="Calibri" w:hAnsi="Times New Roman" w:cs="Times New Roman"/>
        </w:rPr>
        <w:t xml:space="preserve"> Reyes Gómez( por el fallecimiento de su madre), y Omar Antonio Serrano Hernández ( porque tenía que hacer un trámite en el TSE)</w:t>
      </w:r>
      <w:r>
        <w:rPr>
          <w:rFonts w:ascii="Times New Roman" w:eastAsia="Calibri" w:hAnsi="Times New Roman" w:cs="Times New Roman"/>
        </w:rPr>
        <w:t xml:space="preserve">; haciéndose constar que en la anterior reunión  de concejo se acordó que los suplentes  </w:t>
      </w:r>
      <w:r w:rsidRPr="000717AC">
        <w:rPr>
          <w:rFonts w:ascii="Times New Roman" w:eastAsia="Calibri" w:hAnsi="Times New Roman" w:cs="Times New Roman"/>
        </w:rPr>
        <w:t xml:space="preserve">Ángel Cuellar Guzmán, </w:t>
      </w:r>
      <w:r>
        <w:rPr>
          <w:rFonts w:ascii="Times New Roman" w:eastAsia="Calibri" w:hAnsi="Times New Roman" w:cs="Times New Roman"/>
        </w:rPr>
        <w:t xml:space="preserve"> y </w:t>
      </w:r>
      <w:r w:rsidRPr="000717AC">
        <w:rPr>
          <w:rFonts w:ascii="Times New Roman" w:eastAsia="Calibri" w:hAnsi="Times New Roman" w:cs="Times New Roman"/>
        </w:rPr>
        <w:t>José David Romero Ruano</w:t>
      </w:r>
      <w:r>
        <w:rPr>
          <w:rFonts w:ascii="Times New Roman" w:eastAsia="Calibri" w:hAnsi="Times New Roman" w:cs="Times New Roman"/>
        </w:rPr>
        <w:t xml:space="preserve"> asistirán a esta reunión con voz y voto</w:t>
      </w:r>
      <w:r w:rsidRPr="000717AC">
        <w:rPr>
          <w:rFonts w:ascii="Times New Roman" w:eastAsia="Calibri" w:hAnsi="Times New Roman" w:cs="Times New Roman"/>
        </w:rPr>
        <w:t xml:space="preserve">. </w:t>
      </w:r>
      <w:r w:rsidRPr="000717AC">
        <w:rPr>
          <w:rFonts w:ascii="Times New Roman" w:hAnsi="Times New Roman" w:cs="Times New Roman"/>
        </w:rPr>
        <w:t xml:space="preserve"> </w:t>
      </w:r>
      <w:r>
        <w:rPr>
          <w:rFonts w:ascii="Times New Roman" w:hAnsi="Times New Roman" w:cs="Times New Roman"/>
        </w:rPr>
        <w:t xml:space="preserve"> Comprobado el quórum, el que preside la reunión manifestó que l</w:t>
      </w:r>
      <w:r w:rsidRPr="000717AC">
        <w:rPr>
          <w:rFonts w:ascii="Times New Roman" w:hAnsi="Times New Roman" w:cs="Times New Roman"/>
        </w:rPr>
        <w:t xml:space="preserve">a presente Reunión es la tercera reunión con las ADESCO, directivas legalizadas del Municipio de </w:t>
      </w:r>
      <w:proofErr w:type="spellStart"/>
      <w:r w:rsidRPr="000717AC">
        <w:rPr>
          <w:rFonts w:ascii="Times New Roman" w:hAnsi="Times New Roman" w:cs="Times New Roman"/>
        </w:rPr>
        <w:t>Tonacatepeque</w:t>
      </w:r>
      <w:proofErr w:type="spellEnd"/>
      <w:r w:rsidRPr="000717AC">
        <w:rPr>
          <w:rFonts w:ascii="Times New Roman" w:hAnsi="Times New Roman" w:cs="Times New Roman"/>
        </w:rPr>
        <w:t>, a quienes se les ha convocado para  exponer el presupues</w:t>
      </w:r>
      <w:r>
        <w:rPr>
          <w:rFonts w:ascii="Times New Roman" w:hAnsi="Times New Roman" w:cs="Times New Roman"/>
        </w:rPr>
        <w:t xml:space="preserve">to participativo 2021 y llevar  su aprobación   en público, </w:t>
      </w:r>
      <w:r w:rsidRPr="000717AC">
        <w:rPr>
          <w:rFonts w:ascii="Times New Roman" w:hAnsi="Times New Roman" w:cs="Times New Roman"/>
        </w:rPr>
        <w:t xml:space="preserve">dio un espacio para que un miembro de directiva realizara una oración; luego manifestó que la comisión de Presupuesto y Concejales ha analizado todas las necesidades expuestas por las Directivas en la segunda reunión  que se tuvo el día23 de octubre del presente año, el cual han tomado los criterios para la distribución de los proyectos: 1- Índice Poblacional, 2- Necesidad por Emergencia; 3 – Proyectos que se dejaron de hacer por la pandemia del Covid-19; 4- ciclo de vida de las calles; 5- convenio que nos obligan a realizar proyectos; por lo tanto detalla los proyectos que están en el fondo FODES 75%, 2% y luego la Encargada de Presupuesto  María Juana Sánchez, detalla los ingresos y egresos del Fondo Común al igual del FODES 25%; el Señor Sindico Municipal manifiesto que dicho presupuesto se ha hecho en base  a los ingresos reales del año 2020  porque aún están esperando que al Asamblea legislativa apruebe </w:t>
      </w:r>
      <w:proofErr w:type="spellStart"/>
      <w:r w:rsidRPr="000717AC">
        <w:rPr>
          <w:rFonts w:ascii="Times New Roman" w:hAnsi="Times New Roman" w:cs="Times New Roman"/>
        </w:rPr>
        <w:t>le</w:t>
      </w:r>
      <w:proofErr w:type="spellEnd"/>
      <w:r w:rsidRPr="000717AC">
        <w:rPr>
          <w:rFonts w:ascii="Times New Roman" w:hAnsi="Times New Roman" w:cs="Times New Roman"/>
        </w:rPr>
        <w:t xml:space="preserve"> proyecto de presupuesto y se está esperando, por eso se ha hecho con la proyección del presupuesto 2020 después de dicha exposición el Concejo dio la palabra a Miembros de la Directivas quienes expresaron:  toma la palabra la Directiva de </w:t>
      </w:r>
      <w:proofErr w:type="spellStart"/>
      <w:r w:rsidRPr="000717AC">
        <w:rPr>
          <w:rFonts w:ascii="Times New Roman" w:hAnsi="Times New Roman" w:cs="Times New Roman"/>
        </w:rPr>
        <w:t>Altavista</w:t>
      </w:r>
      <w:proofErr w:type="spellEnd"/>
      <w:r w:rsidRPr="000717AC">
        <w:rPr>
          <w:rFonts w:ascii="Times New Roman" w:hAnsi="Times New Roman" w:cs="Times New Roman"/>
        </w:rPr>
        <w:t xml:space="preserve"> quien manifestaron que ellos pedían que intervinieran una senda que tienen 4 o más años  solicitando su reparación y solo han puesto la calle principal; el señor Sindico tomo la palabra y dice que aplicando los criterios que ha definido  calle principal de AltaVista empezó en el 1998 o 2005 ciclo de vida de esas calle es malo,  El concejo tomo la decisión de intervenir como recarpeteo, ahí queda decisión de Uds. si queda en una senda o  calle principal; toma la palabra  miembro de la Directiva del cantón Las Flores manifiesta que desde hace </w:t>
      </w:r>
      <w:proofErr w:type="spellStart"/>
      <w:r w:rsidRPr="000717AC">
        <w:rPr>
          <w:rFonts w:ascii="Times New Roman" w:hAnsi="Times New Roman" w:cs="Times New Roman"/>
        </w:rPr>
        <w:t>añosestán</w:t>
      </w:r>
      <w:proofErr w:type="spellEnd"/>
      <w:r w:rsidRPr="000717AC">
        <w:rPr>
          <w:rFonts w:ascii="Times New Roman" w:hAnsi="Times New Roman" w:cs="Times New Roman"/>
        </w:rPr>
        <w:t xml:space="preserve"> abandonados han </w:t>
      </w:r>
      <w:proofErr w:type="spellStart"/>
      <w:r w:rsidRPr="000717AC">
        <w:rPr>
          <w:rFonts w:ascii="Times New Roman" w:hAnsi="Times New Roman" w:cs="Times New Roman"/>
        </w:rPr>
        <w:t>presentadosolicitudes</w:t>
      </w:r>
      <w:proofErr w:type="spellEnd"/>
      <w:r w:rsidRPr="000717AC">
        <w:rPr>
          <w:rFonts w:ascii="Times New Roman" w:hAnsi="Times New Roman" w:cs="Times New Roman"/>
        </w:rPr>
        <w:t xml:space="preserve"> y hay necesidades grandes el saneamiento son aguas residuales, lamentablemente considera que esta comunidad u otras no se le ha dado respuesta de un 50 por ciento de lo que necesitamos; el señor síndico municipal dice que dejan un muñeco armado si el día de las elecciones nombran a un candidato este presupuesto tiene valor y </w:t>
      </w:r>
      <w:proofErr w:type="spellStart"/>
      <w:r w:rsidRPr="000717AC">
        <w:rPr>
          <w:rFonts w:ascii="Times New Roman" w:hAnsi="Times New Roman" w:cs="Times New Roman"/>
        </w:rPr>
        <w:t>esta</w:t>
      </w:r>
      <w:proofErr w:type="spellEnd"/>
      <w:r w:rsidRPr="000717AC">
        <w:rPr>
          <w:rFonts w:ascii="Times New Roman" w:hAnsi="Times New Roman" w:cs="Times New Roman"/>
        </w:rPr>
        <w:t xml:space="preserve"> destinado para el año 2021 la intención es que lo cumplan en el trascurso del año, y se deja un documento legal; si no se los cumplen pueden ir a la Corte de Cuenta a la Fiscalía a denunciar; pues este año a raíz de la emergencia se cambió algunos proyectos pero la ley lo permitía, que hoy   no vamos a cumplir todas las demandas estamos llegando más  150 mil habitantes  en </w:t>
      </w:r>
      <w:proofErr w:type="spellStart"/>
      <w:r w:rsidRPr="000717AC">
        <w:rPr>
          <w:rFonts w:ascii="Times New Roman" w:hAnsi="Times New Roman" w:cs="Times New Roman"/>
        </w:rPr>
        <w:t>Tonacatepeque</w:t>
      </w:r>
      <w:proofErr w:type="spellEnd"/>
      <w:r w:rsidRPr="000717AC">
        <w:rPr>
          <w:rFonts w:ascii="Times New Roman" w:hAnsi="Times New Roman" w:cs="Times New Roman"/>
        </w:rPr>
        <w:t xml:space="preserve"> y es un nivel gran demanda y con los 3 millones no se puede; Toma la palabra directiva de San José Las Flores quien manifiesta que </w:t>
      </w:r>
      <w:proofErr w:type="spellStart"/>
      <w:r w:rsidRPr="000717AC">
        <w:rPr>
          <w:rFonts w:ascii="Times New Roman" w:hAnsi="Times New Roman" w:cs="Times New Roman"/>
        </w:rPr>
        <w:t>noes</w:t>
      </w:r>
      <w:proofErr w:type="spellEnd"/>
      <w:r w:rsidRPr="000717AC">
        <w:rPr>
          <w:rFonts w:ascii="Times New Roman" w:hAnsi="Times New Roman" w:cs="Times New Roman"/>
        </w:rPr>
        <w:t xml:space="preserve"> fácil ser concejal solo reclamos les damos, todos debemos unirnos como comunidad, quién quede en las otras elecciones pues vamos a venir a exigir y a defender; toma la palabra don Luis pide que de esto que se acuerdo </w:t>
      </w:r>
      <w:r w:rsidRPr="000717AC">
        <w:rPr>
          <w:rFonts w:ascii="Times New Roman" w:hAnsi="Times New Roman" w:cs="Times New Roman"/>
        </w:rPr>
        <w:lastRenderedPageBreak/>
        <w:t xml:space="preserve">llegue a la directiva, y lo otro es porque no </w:t>
      </w:r>
      <w:proofErr w:type="spellStart"/>
      <w:r w:rsidRPr="000717AC">
        <w:rPr>
          <w:rFonts w:ascii="Times New Roman" w:hAnsi="Times New Roman" w:cs="Times New Roman"/>
        </w:rPr>
        <w:t>esta</w:t>
      </w:r>
      <w:proofErr w:type="spellEnd"/>
      <w:r w:rsidRPr="000717AC">
        <w:rPr>
          <w:rFonts w:ascii="Times New Roman" w:hAnsi="Times New Roman" w:cs="Times New Roman"/>
        </w:rPr>
        <w:t xml:space="preserve"> el señor alcalde presente; el señor Síndico municipal manifiesta que si se emitirá un acuerdo y este podrán solicitarlo, y con lo del alcalde es la máxima autoridad administrativa pero el concejo municipal máxima autoridad local, que el Alcalde en reuniones tiene un voto o doble dependiendo, este o no de acuerdo pero se llega a la mayoría simple eso tiene valor, para probar el presupuesto con 7 votos se aprueba que se cuenta </w:t>
      </w:r>
      <w:proofErr w:type="spellStart"/>
      <w:r w:rsidRPr="000717AC">
        <w:rPr>
          <w:rFonts w:ascii="Times New Roman" w:hAnsi="Times New Roman" w:cs="Times New Roman"/>
        </w:rPr>
        <w:t>cos</w:t>
      </w:r>
      <w:proofErr w:type="spellEnd"/>
      <w:r w:rsidRPr="000717AC">
        <w:rPr>
          <w:rFonts w:ascii="Times New Roman" w:hAnsi="Times New Roman" w:cs="Times New Roman"/>
        </w:rPr>
        <w:t xml:space="preserve"> los votos para aprobar ya que los que no asistieron sus suplentes pueden  sustituirlos teniendo el derecho para votar en la presente reunión de concejo; pregunta en FODES 75% queda 50 mil queda para convenio con ADESCO; habitante de la Comunidad el </w:t>
      </w:r>
      <w:proofErr w:type="spellStart"/>
      <w:r w:rsidRPr="000717AC">
        <w:rPr>
          <w:rFonts w:ascii="Times New Roman" w:hAnsi="Times New Roman" w:cs="Times New Roman"/>
        </w:rPr>
        <w:t>Rillon</w:t>
      </w:r>
      <w:proofErr w:type="spellEnd"/>
      <w:r w:rsidRPr="000717AC">
        <w:rPr>
          <w:rFonts w:ascii="Times New Roman" w:hAnsi="Times New Roman" w:cs="Times New Roman"/>
        </w:rPr>
        <w:t xml:space="preserve"> manifiesta que no ha escuchado sobre el proyecto de la calle del rastro,  acá el Gerente operativo manifiesta que hay varios proyectos que se aprobó su materiales </w:t>
      </w:r>
      <w:proofErr w:type="spellStart"/>
      <w:r w:rsidRPr="000717AC">
        <w:rPr>
          <w:rFonts w:ascii="Times New Roman" w:hAnsi="Times New Roman" w:cs="Times New Roman"/>
        </w:rPr>
        <w:t>ahoraestá</w:t>
      </w:r>
      <w:proofErr w:type="spellEnd"/>
      <w:r w:rsidRPr="000717AC">
        <w:rPr>
          <w:rFonts w:ascii="Times New Roman" w:hAnsi="Times New Roman" w:cs="Times New Roman"/>
        </w:rPr>
        <w:t xml:space="preserve"> en la coordinación, ya los materiales están para empezar; el señor síndico municipal manifiesta que algunos proyectos están ejecución y otros que el estado mande los fondos para los proyectos no para actos de corrupción ni propagando como dice el gobierno central, está el proyecto del </w:t>
      </w:r>
      <w:proofErr w:type="spellStart"/>
      <w:r w:rsidRPr="000717AC">
        <w:rPr>
          <w:rFonts w:ascii="Times New Roman" w:hAnsi="Times New Roman" w:cs="Times New Roman"/>
        </w:rPr>
        <w:t>zacamil</w:t>
      </w:r>
      <w:proofErr w:type="spellEnd"/>
      <w:r w:rsidRPr="000717AC">
        <w:rPr>
          <w:rFonts w:ascii="Times New Roman" w:hAnsi="Times New Roman" w:cs="Times New Roman"/>
        </w:rPr>
        <w:t xml:space="preserve">, el tránsito y otros el gobierno no deposita el FODES desde junio el estado sino lo hace no podemos cumplirle, que el municipio ha recibido 451 mil y fracción pero esta bajo los decretos legislativos y hasta ahora solo para covid-19 puede utilizarse y no para lo que dice en cadenas el presidente, para utilizarlos así el debe pedir a la asamblea se modifique y se pueda ocupar para proyectos, deudas </w:t>
      </w:r>
      <w:proofErr w:type="spellStart"/>
      <w:r w:rsidRPr="000717AC">
        <w:rPr>
          <w:rFonts w:ascii="Times New Roman" w:hAnsi="Times New Roman" w:cs="Times New Roman"/>
        </w:rPr>
        <w:t>etc</w:t>
      </w:r>
      <w:proofErr w:type="spellEnd"/>
      <w:r w:rsidRPr="000717AC">
        <w:rPr>
          <w:rFonts w:ascii="Times New Roman" w:hAnsi="Times New Roman" w:cs="Times New Roman"/>
        </w:rPr>
        <w:t xml:space="preserve">, por el momento no se puede ocupar más que para </w:t>
      </w:r>
      <w:proofErr w:type="spellStart"/>
      <w:r w:rsidRPr="000717AC">
        <w:rPr>
          <w:rFonts w:ascii="Times New Roman" w:hAnsi="Times New Roman" w:cs="Times New Roman"/>
        </w:rPr>
        <w:t>covid</w:t>
      </w:r>
      <w:proofErr w:type="spellEnd"/>
      <w:r w:rsidRPr="000717AC">
        <w:rPr>
          <w:rFonts w:ascii="Times New Roman" w:hAnsi="Times New Roman" w:cs="Times New Roman"/>
        </w:rPr>
        <w:t xml:space="preserve"> -19; toma la palabra Directiva de la </w:t>
      </w:r>
      <w:proofErr w:type="spellStart"/>
      <w:r w:rsidRPr="000717AC">
        <w:rPr>
          <w:rFonts w:ascii="Times New Roman" w:hAnsi="Times New Roman" w:cs="Times New Roman"/>
        </w:rPr>
        <w:t>Lotificación</w:t>
      </w:r>
      <w:proofErr w:type="spellEnd"/>
      <w:r w:rsidRPr="000717AC">
        <w:rPr>
          <w:rFonts w:ascii="Times New Roman" w:hAnsi="Times New Roman" w:cs="Times New Roman"/>
        </w:rPr>
        <w:t xml:space="preserve"> Transito 1, quien manifiesta que han estado abandonados, tiene un año como ADESCO, y han empezado a tirar carta para  ayude   fraguado de calle que es de 400mts  y unas gradas, llegaron hacer inspecciones pero nada, el agua se mete en las casas,  han hecho invitación y no aparecemos beneficiados en nada, somos 45 familias, es lamentable que hemos venido y no nos tome en cuenta; Toma la Palabra miembro de ACOMEST quien manifiesta que han invitado a varias ADESCO a unas han dejado grandes cantidades y las demás afueras, pensó que iba ser como el año pasado, como mujer solo dejan 10 mil dólares pero las asociación no le dejan nada, porque se lo dan a la unidad de </w:t>
      </w:r>
      <w:proofErr w:type="spellStart"/>
      <w:r w:rsidRPr="000717AC">
        <w:rPr>
          <w:rFonts w:ascii="Times New Roman" w:hAnsi="Times New Roman" w:cs="Times New Roman"/>
        </w:rPr>
        <w:t>genero</w:t>
      </w:r>
      <w:proofErr w:type="spellEnd"/>
      <w:r w:rsidRPr="000717AC">
        <w:rPr>
          <w:rFonts w:ascii="Times New Roman" w:hAnsi="Times New Roman" w:cs="Times New Roman"/>
        </w:rPr>
        <w:t xml:space="preserve"> y no hace nada, que no juegue con la gente,  conocemos nuestro derechos, el presupuesto debió ser equitativo; Toma la  palabra don Manuel Jesús Directiva de Guayacán, manifiesta que se siente defraudado que no se le han tomado en cuenta, como municipalidad no le han puesto atención, ha hecho llegar cartas al concejo, el apoyo solo se ha visto en la máquina para la reparación de la calle, se carece de agua, con lo energía eléctrica de los 7 caseríos el ingeniero Pacheco que iban hacer estudio, dado que es una parcelación quizás por eso dificulta, que ha promovido mano de obra voluntaria y se ha hecho con esfuerzo propio, solicitan les pongan atención, hay varias comunidades es defraudador; toma la palabra Directiva del MAIS, se siente decepcionado que no se le aprobó nada para el 2021, uno pierde el tiempo, la idea de participación es que algo debían de darnos; que este año hay un presupuesto en este año han llegado a la inspección pero no han comenzado nada, no se sabe si se va hacer o no, con lo de la maquina están de que va llegar tal día y  nada deben tener una programación, necesita respuesta si van hacer el proyecto este año; Toma la palabra el Concejal </w:t>
      </w:r>
      <w:proofErr w:type="spellStart"/>
      <w:r w:rsidRPr="000717AC">
        <w:rPr>
          <w:rFonts w:ascii="Times New Roman" w:hAnsi="Times New Roman" w:cs="Times New Roman"/>
        </w:rPr>
        <w:t>Àngel</w:t>
      </w:r>
      <w:proofErr w:type="spellEnd"/>
      <w:r w:rsidRPr="000717AC">
        <w:rPr>
          <w:rFonts w:ascii="Times New Roman" w:hAnsi="Times New Roman" w:cs="Times New Roman"/>
        </w:rPr>
        <w:t xml:space="preserve"> Cuellar responde con la </w:t>
      </w:r>
      <w:proofErr w:type="spellStart"/>
      <w:r w:rsidRPr="000717AC">
        <w:rPr>
          <w:rFonts w:ascii="Times New Roman" w:hAnsi="Times New Roman" w:cs="Times New Roman"/>
        </w:rPr>
        <w:t>lotificación</w:t>
      </w:r>
      <w:proofErr w:type="spellEnd"/>
      <w:r w:rsidRPr="000717AC">
        <w:rPr>
          <w:rFonts w:ascii="Times New Roman" w:hAnsi="Times New Roman" w:cs="Times New Roman"/>
        </w:rPr>
        <w:t xml:space="preserve"> el transito 1 cuando el señor síndico municipal mencionaba algunos proyectos, compra de materiales ya están aprobados tal como dice el Gerente operativo y que hay un trámite administrativo siempre, este concejo con estos proyectos están aprobado con carpeta y cuenta bancaria eso es parte con lo de hoy, que esos deben ejecutarse a nomas depositen el FODES, y entiende a la comunidad que no tener aprobado algo se siente decepcionado, que hoy con el acceso de información puede preguntar y decir este es el proyecto que se me aprobó, la </w:t>
      </w:r>
      <w:proofErr w:type="spellStart"/>
      <w:r w:rsidRPr="000717AC">
        <w:rPr>
          <w:rFonts w:ascii="Times New Roman" w:hAnsi="Times New Roman" w:cs="Times New Roman"/>
        </w:rPr>
        <w:t>lotificación</w:t>
      </w:r>
      <w:proofErr w:type="spellEnd"/>
      <w:r w:rsidRPr="000717AC">
        <w:rPr>
          <w:rFonts w:ascii="Times New Roman" w:hAnsi="Times New Roman" w:cs="Times New Roman"/>
        </w:rPr>
        <w:t xml:space="preserve"> el Transito se hizo una inspección si sabe que ha quedado 50 mil para convenio un remanente aquellos lugares donde tiene mediciones debe de haber una parte de presupuesto para poder apoyar a la comunidad; con lo de AltaVista en este año estaba asignada en tal proyecto pero la ADESCO dijo que  de otra forma y este concejo no se ha puesto en contra, eso sí debe de venir con el consentimiento de la </w:t>
      </w:r>
      <w:r w:rsidRPr="000717AC">
        <w:rPr>
          <w:rFonts w:ascii="Times New Roman" w:hAnsi="Times New Roman" w:cs="Times New Roman"/>
        </w:rPr>
        <w:lastRenderedPageBreak/>
        <w:t xml:space="preserve">mayoría, pide conozca la realidad de </w:t>
      </w:r>
      <w:proofErr w:type="spellStart"/>
      <w:r w:rsidRPr="000717AC">
        <w:rPr>
          <w:rFonts w:ascii="Times New Roman" w:hAnsi="Times New Roman" w:cs="Times New Roman"/>
        </w:rPr>
        <w:t>Tonaca</w:t>
      </w:r>
      <w:proofErr w:type="spellEnd"/>
      <w:r w:rsidRPr="000717AC">
        <w:rPr>
          <w:rFonts w:ascii="Times New Roman" w:hAnsi="Times New Roman" w:cs="Times New Roman"/>
        </w:rPr>
        <w:t xml:space="preserve">, pero con estos ejercicio puede ir avanzando, que esta municipalidad no trabaja solo con tasas es mentira no alcanza no para pagar salarios; Toma la palabra Directiva de AltaVista quien pregunta si se solicita modificar el prepuesto para AltaVista, toma la palabra la concejala María Lina Castellano todo puede ser modificado pero con consenso, lo que es capaz de hacer la comunidad organizada es más grande lo que este concejo haga, los proyectos del 2020 se mantiene ese compromiso hacerlos si depositan el dinero, que ustedes pidan por escrito su acuerdo donde </w:t>
      </w:r>
      <w:proofErr w:type="spellStart"/>
      <w:r w:rsidRPr="000717AC">
        <w:rPr>
          <w:rFonts w:ascii="Times New Roman" w:hAnsi="Times New Roman" w:cs="Times New Roman"/>
        </w:rPr>
        <w:t>esta</w:t>
      </w:r>
      <w:proofErr w:type="spellEnd"/>
      <w:r w:rsidRPr="000717AC">
        <w:rPr>
          <w:rFonts w:ascii="Times New Roman" w:hAnsi="Times New Roman" w:cs="Times New Roman"/>
        </w:rPr>
        <w:t xml:space="preserve"> aprobado su proyecto eso tiene peso legal. Toma la palabra el Señor Sindico Municipal quien manifiesta que dejar 10 mil para la unidad  de la mujer, que cada asociación de mujer  debe tener su prepuesto, que lo que se ha dejado es para que la unidad municipal de la mujer haga sus proyectos en beneficio de las mujeres y si la asociaciones quieren hacer proyecto conjunto  a magnifico, que a la Comunidad </w:t>
      </w:r>
      <w:proofErr w:type="spellStart"/>
      <w:r w:rsidRPr="000717AC">
        <w:rPr>
          <w:rFonts w:ascii="Times New Roman" w:hAnsi="Times New Roman" w:cs="Times New Roman"/>
        </w:rPr>
        <w:t>Santamaria</w:t>
      </w:r>
      <w:proofErr w:type="spellEnd"/>
      <w:r w:rsidRPr="000717AC">
        <w:rPr>
          <w:rFonts w:ascii="Times New Roman" w:hAnsi="Times New Roman" w:cs="Times New Roman"/>
        </w:rPr>
        <w:t xml:space="preserve"> se le hizo ya un proyecto y así se quedaron otras el año pasado  sin proyectos, si el estado ha hecho un presupuesto ampliado aumentaría esos 50 mil o se disminuye o puede bajar también; Toma la palabra el Concejal Carlos Ernesto Ulloa,  da el pésame al concejal Cosme Reyes por haber fallecido la madre, y con lo del alcalde que no </w:t>
      </w:r>
      <w:proofErr w:type="spellStart"/>
      <w:r w:rsidRPr="000717AC">
        <w:rPr>
          <w:rFonts w:ascii="Times New Roman" w:hAnsi="Times New Roman" w:cs="Times New Roman"/>
        </w:rPr>
        <w:t>esta</w:t>
      </w:r>
      <w:proofErr w:type="spellEnd"/>
      <w:r w:rsidRPr="000717AC">
        <w:rPr>
          <w:rFonts w:ascii="Times New Roman" w:hAnsi="Times New Roman" w:cs="Times New Roman"/>
        </w:rPr>
        <w:t xml:space="preserve"> acá porque es irresponsable, que no está de acuerdo con este proceso  y no tiene la capacidad de debatir; que la mayoría de los proyectos priorizados, que con dinero de gobierno central se harán el proyecto de Veracruz, Residencial Libertad, lo que </w:t>
      </w:r>
      <w:proofErr w:type="spellStart"/>
      <w:r w:rsidRPr="000717AC">
        <w:rPr>
          <w:rFonts w:ascii="Times New Roman" w:hAnsi="Times New Roman" w:cs="Times New Roman"/>
        </w:rPr>
        <w:t>diceLicenciado</w:t>
      </w:r>
      <w:proofErr w:type="spellEnd"/>
      <w:r w:rsidRPr="000717AC">
        <w:rPr>
          <w:rFonts w:ascii="Times New Roman" w:hAnsi="Times New Roman" w:cs="Times New Roman"/>
        </w:rPr>
        <w:t xml:space="preserve"> Martínez,  hay mucho proyectos que la junta directiva no han venido a preguntar que se ha avanzado gracias a las Gerencias, que hace falta personal en la UDU solo dos personas hay, y eso la capacidad administrativa es lenta, tenemos que estar pendientes de esos procesos, la Gerencia operativa presento el estatus de los proyectos, </w:t>
      </w:r>
      <w:proofErr w:type="spellStart"/>
      <w:r w:rsidRPr="000717AC">
        <w:rPr>
          <w:rFonts w:ascii="Times New Roman" w:hAnsi="Times New Roman" w:cs="Times New Roman"/>
        </w:rPr>
        <w:t>Uds</w:t>
      </w:r>
      <w:proofErr w:type="spellEnd"/>
      <w:r w:rsidRPr="000717AC">
        <w:rPr>
          <w:rFonts w:ascii="Times New Roman" w:hAnsi="Times New Roman" w:cs="Times New Roman"/>
        </w:rPr>
        <w:t xml:space="preserve"> como ADESCO deben de consultar con la Secretaria municipal, jefe de la UDU o Gerente Operativo; el Señor Sindico Municipal toma la palabra que los 451 mil que se han recibido solo es par acovid-19 no se puede utilizar para otro a no ser que la asamblea aclare o habilite, por  eso se ha dejado del 75% para intervenir la cárcava del Barrio Mercedes, el Gobierno Central no quiere dar dinero a los municipios, el decreto Legislativo 608 dice que el estado </w:t>
      </w:r>
      <w:proofErr w:type="spellStart"/>
      <w:r w:rsidRPr="000717AC">
        <w:rPr>
          <w:rFonts w:ascii="Times New Roman" w:hAnsi="Times New Roman" w:cs="Times New Roman"/>
        </w:rPr>
        <w:t>esta</w:t>
      </w:r>
      <w:proofErr w:type="spellEnd"/>
      <w:r w:rsidRPr="000717AC">
        <w:rPr>
          <w:rFonts w:ascii="Times New Roman" w:hAnsi="Times New Roman" w:cs="Times New Roman"/>
        </w:rPr>
        <w:t xml:space="preserve"> obligado el 30% a los municipales, si no estuviera ese decreto el estado no hubiera dado ni un cinco, ese dinero es con sus impuestos no es el gobierno central, aclarar eso. Toma la Palabra don Alfredo Directivo de la Comunidad 10 de octubre, felicita y el dinero es del pueblo lo administrara el gobierno central al igual la Alcaldía, las necesidades varían, hay que priorizar,  que se ha ganado un derecho, a los que no han salido favorecido tenga paciencia, metan presión, y exijan sus derechos; toma la palabra Directiva Los Paradas, con respecto del convenio de la calle, el alcalde los convoco a reunión el 9 de octubre y les dijo que el lunes a martes les mando el material entonces pensamos que el dinero ya estaba y no lo mando, luego les dijo que es del 75% que el dinero no ha dado el gobierno nosotros  queremos creer que no lo van hacer, que se han organizado y ahora se dan cuenta que no se puede dar a no ser que el presidente de el FODES que respuesta nos pueden dar y lo otro que en el presupuesto año 2021 no aparecemos en nada y la cancha nos la quitaron este año, perdimos el tiempo venir en esta reuniones, que mandaron cartas para las personas que perdieron vivienda a dijeron que iban a dar laminas, carpetas y nada han dado, pide tome en cuenta; Toma la palabra Directiva de la Comunidad Los Héroes, quién pregunta que el 75% queda un remanente y el 2% queda de 19 mil si nosotros tenemos un acuerdo de hace tiempo si vamos hacer incluido en ese dinero o no; Toma la palabra el Transito I que ahorita está esperanzados al FODES que en la próxima marcha va porque hay un  proyecto en su comunidad, que para el 2021 no les dejaron nada y al </w:t>
      </w:r>
      <w:proofErr w:type="spellStart"/>
      <w:r w:rsidRPr="000717AC">
        <w:rPr>
          <w:rFonts w:ascii="Times New Roman" w:hAnsi="Times New Roman" w:cs="Times New Roman"/>
        </w:rPr>
        <w:t>transito</w:t>
      </w:r>
      <w:proofErr w:type="spellEnd"/>
      <w:r w:rsidRPr="000717AC">
        <w:rPr>
          <w:rFonts w:ascii="Times New Roman" w:hAnsi="Times New Roman" w:cs="Times New Roman"/>
        </w:rPr>
        <w:t xml:space="preserve"> II </w:t>
      </w:r>
      <w:proofErr w:type="spellStart"/>
      <w:r w:rsidRPr="000717AC">
        <w:rPr>
          <w:rFonts w:ascii="Times New Roman" w:hAnsi="Times New Roman" w:cs="Times New Roman"/>
        </w:rPr>
        <w:t>si</w:t>
      </w:r>
      <w:proofErr w:type="spellEnd"/>
      <w:r w:rsidRPr="000717AC">
        <w:rPr>
          <w:rFonts w:ascii="Times New Roman" w:hAnsi="Times New Roman" w:cs="Times New Roman"/>
        </w:rPr>
        <w:t xml:space="preserve"> , que de allí les hubieran dejado unos 10 mil pero no sabe realmente porque lo priorizaron así,  y que cuenta con el apoyo </w:t>
      </w:r>
      <w:proofErr w:type="spellStart"/>
      <w:r w:rsidRPr="000717AC">
        <w:rPr>
          <w:rFonts w:ascii="Times New Roman" w:hAnsi="Times New Roman" w:cs="Times New Roman"/>
        </w:rPr>
        <w:t>par</w:t>
      </w:r>
      <w:proofErr w:type="spellEnd"/>
      <w:r w:rsidRPr="000717AC">
        <w:rPr>
          <w:rFonts w:ascii="Times New Roman" w:hAnsi="Times New Roman" w:cs="Times New Roman"/>
        </w:rPr>
        <w:t xml:space="preserve"> ir a la marcha del FODES aunque sea ese proyecto de 20 mil lo quieren;  Toma la palabra Directivo de Cimas que del fondo de los 451 mil pueda utilizarse para emergencia, para la cárcava cimas, ojala que se pueda utilizar para eso, la comunicación es importante cada concejal debe comunicar esa cosas legales. Toma la palabra el Concejal David </w:t>
      </w:r>
      <w:r w:rsidRPr="000717AC">
        <w:rPr>
          <w:rFonts w:ascii="Times New Roman" w:hAnsi="Times New Roman" w:cs="Times New Roman"/>
        </w:rPr>
        <w:lastRenderedPageBreak/>
        <w:t xml:space="preserve">Romero con </w:t>
      </w:r>
      <w:proofErr w:type="spellStart"/>
      <w:r w:rsidRPr="000717AC">
        <w:rPr>
          <w:rFonts w:ascii="Times New Roman" w:hAnsi="Times New Roman" w:cs="Times New Roman"/>
        </w:rPr>
        <w:t>Malacoff</w:t>
      </w:r>
      <w:proofErr w:type="spellEnd"/>
      <w:r w:rsidRPr="000717AC">
        <w:rPr>
          <w:rFonts w:ascii="Times New Roman" w:hAnsi="Times New Roman" w:cs="Times New Roman"/>
        </w:rPr>
        <w:t xml:space="preserve"> el proyecto esta hasta firmaron convenio que no mande el FODES el gobierno es un atraso, aunque se llegue el otro año el dinero debe de mandar aunque se ejecute el otro año, y hay un compromiso solo esperando depositó el FODES y ano hay marcha atrás y lo otro </w:t>
      </w:r>
      <w:proofErr w:type="spellStart"/>
      <w:r w:rsidRPr="000717AC">
        <w:rPr>
          <w:rFonts w:ascii="Times New Roman" w:hAnsi="Times New Roman" w:cs="Times New Roman"/>
        </w:rPr>
        <w:t>Malacoff</w:t>
      </w:r>
      <w:proofErr w:type="spellEnd"/>
      <w:r w:rsidRPr="000717AC">
        <w:rPr>
          <w:rFonts w:ascii="Times New Roman" w:hAnsi="Times New Roman" w:cs="Times New Roman"/>
        </w:rPr>
        <w:t xml:space="preserve"> es grande hay varias comunidades , y </w:t>
      </w:r>
      <w:proofErr w:type="spellStart"/>
      <w:r w:rsidRPr="000717AC">
        <w:rPr>
          <w:rFonts w:ascii="Times New Roman" w:hAnsi="Times New Roman" w:cs="Times New Roman"/>
        </w:rPr>
        <w:t>lo</w:t>
      </w:r>
      <w:proofErr w:type="spellEnd"/>
      <w:r w:rsidRPr="000717AC">
        <w:rPr>
          <w:rFonts w:ascii="Times New Roman" w:hAnsi="Times New Roman" w:cs="Times New Roman"/>
        </w:rPr>
        <w:t xml:space="preserve"> 80 mil va para todo el cantón, el dinero debe de mandarlo el Gobierno, Toma la palabra la Concejala Carolina </w:t>
      </w:r>
      <w:proofErr w:type="spellStart"/>
      <w:r w:rsidRPr="000717AC">
        <w:rPr>
          <w:rFonts w:ascii="Times New Roman" w:hAnsi="Times New Roman" w:cs="Times New Roman"/>
        </w:rPr>
        <w:t>Menjivar</w:t>
      </w:r>
      <w:proofErr w:type="spellEnd"/>
      <w:r w:rsidRPr="000717AC">
        <w:rPr>
          <w:rFonts w:ascii="Times New Roman" w:hAnsi="Times New Roman" w:cs="Times New Roman"/>
        </w:rPr>
        <w:t xml:space="preserve"> decirle que los proyectos que están este año esperamos ejecutarlos, y si no viene deben de reclamar a la administración que venga para que sea ejecutado; Toma la palabra el concejal Rolando Vivas quien felicita e invita a que no desmayen en este proceso. Que los ampara la ley, deben formar ADESCO así tiene autoridad sobre cualquier concejo que venga aun con nosotros, el ejercicio fiscal es de un año pero eso no implica que las obras que ya se presupuestado 2020 no sean de estricto cumplimiento, porque de esto que estamos haciendo la misma ley debe de informa a la corte de cuentas, ustedes pueden exigir a los nuevos que estarán administrando, es segundo año que se ha hecho este ejercicio y los invita al dialogo.  Directiva del Copinol pide que en un mural ponga los proyectos ejecutados, lo no ejecutados por falta de fondos, que ya se organizaron como ADESCO van a buscar otros proyectos a otras carteras del estado, pide hagan un periódico mural para que el Alcalde o nuevo alcalde siga con los proyectos.  El </w:t>
      </w:r>
      <w:proofErr w:type="spellStart"/>
      <w:r w:rsidRPr="000717AC">
        <w:rPr>
          <w:rFonts w:ascii="Times New Roman" w:hAnsi="Times New Roman" w:cs="Times New Roman"/>
        </w:rPr>
        <w:t>señorSíndicoMunicipal</w:t>
      </w:r>
      <w:proofErr w:type="spellEnd"/>
      <w:r w:rsidRPr="000717AC">
        <w:rPr>
          <w:rFonts w:ascii="Times New Roman" w:hAnsi="Times New Roman" w:cs="Times New Roman"/>
        </w:rPr>
        <w:t xml:space="preserve">  da las gracias por este ejercicio que se ha realizado con las ADESCO del  Municipio de </w:t>
      </w:r>
      <w:proofErr w:type="spellStart"/>
      <w:r w:rsidRPr="000717AC">
        <w:rPr>
          <w:rFonts w:ascii="Times New Roman" w:hAnsi="Times New Roman" w:cs="Times New Roman"/>
        </w:rPr>
        <w:t>Tonacatepeque</w:t>
      </w:r>
      <w:proofErr w:type="spellEnd"/>
      <w:r w:rsidRPr="000717AC">
        <w:rPr>
          <w:rFonts w:ascii="Times New Roman" w:hAnsi="Times New Roman" w:cs="Times New Roman"/>
        </w:rPr>
        <w:t xml:space="preserve">, y le hace saber que este presupuesto participativo 2021 quedara establecido para que la nueva administración que viene el próximo año le de continuidad y que son ustedes las ADESCO de este municipio que velaran porque se les cumpla ya lo aprobado, que se les dará una certificación del presente acuerdo para que les respalde y lo hagan valer. Que además se llevará a votación el informe de la UDU sobre los estados en que se encuentran los Proyectos 2020 y se ratificara proyectos 2020 sean ejecutados cuando se reciban los fondos FODES de parte del Gobierno Central que corresponden al Presente año conforme a la Ley. </w:t>
      </w:r>
      <w:r w:rsidRPr="000717AC">
        <w:rPr>
          <w:rFonts w:ascii="Times New Roman" w:hAnsi="Times New Roman" w:cs="Times New Roman"/>
          <w:b/>
          <w:bCs/>
          <w:u w:val="single"/>
        </w:rPr>
        <w:t>ACUERDO NUMERO UNO</w:t>
      </w:r>
      <w:r w:rsidRPr="000717AC">
        <w:rPr>
          <w:rFonts w:ascii="Times New Roman" w:hAnsi="Times New Roman" w:cs="Times New Roman"/>
        </w:rPr>
        <w:t xml:space="preserve">: </w:t>
      </w:r>
      <w:r w:rsidRPr="000717AC">
        <w:rPr>
          <w:rFonts w:ascii="Times New Roman" w:hAnsi="Times New Roman" w:cs="Times New Roman"/>
          <w:b/>
          <w:bCs/>
        </w:rPr>
        <w:t xml:space="preserve">El Concejo Municipal de </w:t>
      </w:r>
      <w:proofErr w:type="spellStart"/>
      <w:r w:rsidRPr="000717AC">
        <w:rPr>
          <w:rFonts w:ascii="Times New Roman" w:hAnsi="Times New Roman" w:cs="Times New Roman"/>
          <w:b/>
          <w:bCs/>
        </w:rPr>
        <w:t>Tonacatepeque</w:t>
      </w:r>
      <w:proofErr w:type="spellEnd"/>
      <w:r w:rsidRPr="000717AC">
        <w:rPr>
          <w:rFonts w:ascii="Times New Roman" w:hAnsi="Times New Roman" w:cs="Times New Roman"/>
          <w:b/>
          <w:bCs/>
        </w:rPr>
        <w:t xml:space="preserve">, </w:t>
      </w:r>
      <w:r w:rsidRPr="000717AC">
        <w:rPr>
          <w:rFonts w:ascii="Times New Roman" w:hAnsi="Times New Roman" w:cs="Times New Roman"/>
        </w:rPr>
        <w:t xml:space="preserve">habiéndose sometido  a consideración de los presentes ( directivas de  ADESCO del Municipio de </w:t>
      </w:r>
      <w:proofErr w:type="spellStart"/>
      <w:r w:rsidRPr="000717AC">
        <w:rPr>
          <w:rFonts w:ascii="Times New Roman" w:hAnsi="Times New Roman" w:cs="Times New Roman"/>
        </w:rPr>
        <w:t>Tonacatepeque</w:t>
      </w:r>
      <w:proofErr w:type="spellEnd"/>
      <w:r w:rsidRPr="000717AC">
        <w:rPr>
          <w:rFonts w:ascii="Times New Roman" w:hAnsi="Times New Roman" w:cs="Times New Roman"/>
        </w:rPr>
        <w:t xml:space="preserve">), de cómo quedará  distribuido el presupuesto para proyectos que se ejecutaran con el fondo  FODES 75% y 2%, así como los ingresos y egresos del Fondo Común y FODES 25% para el año 2021; cumpliendo así con  el Decreto Legislativo que reformó la Ley del FODES,  que establece que  Los proyectos financiados con recursos del FODES deberán cumplir con requisitos de transparencia y buena gestión, entre ellos, los proyectos serán aprobados en sesiones de Concejo Municipal con invitación pública a los ciudadanos; por tanto en el uso de sus facultades legales establecidas en el Código Municipal se </w:t>
      </w:r>
      <w:r w:rsidRPr="000717AC">
        <w:rPr>
          <w:rFonts w:ascii="Times New Roman" w:hAnsi="Times New Roman" w:cs="Times New Roman"/>
          <w:b/>
        </w:rPr>
        <w:t xml:space="preserve"> ACUERDA</w:t>
      </w:r>
      <w:r w:rsidRPr="000717AC">
        <w:rPr>
          <w:rFonts w:ascii="Times New Roman" w:hAnsi="Times New Roman" w:cs="Times New Roman"/>
        </w:rPr>
        <w:t xml:space="preserve">:  Aprobar el Presupuesto  de la Municipalidad de </w:t>
      </w:r>
      <w:proofErr w:type="spellStart"/>
      <w:r w:rsidRPr="000717AC">
        <w:rPr>
          <w:rFonts w:ascii="Times New Roman" w:hAnsi="Times New Roman" w:cs="Times New Roman"/>
        </w:rPr>
        <w:t>Tonacatepeque</w:t>
      </w:r>
      <w:proofErr w:type="spellEnd"/>
      <w:r w:rsidRPr="000717AC">
        <w:rPr>
          <w:rFonts w:ascii="Times New Roman" w:hAnsi="Times New Roman" w:cs="Times New Roman"/>
        </w:rPr>
        <w:t xml:space="preserve"> para el  año 2021 que se detalla: </w:t>
      </w:r>
    </w:p>
    <w:p w:rsidR="00C14A33" w:rsidRPr="00CE3A40" w:rsidRDefault="00C14A33" w:rsidP="00C14A33">
      <w:pPr>
        <w:pStyle w:val="Prrafodelista"/>
        <w:numPr>
          <w:ilvl w:val="0"/>
          <w:numId w:val="1"/>
        </w:numPr>
        <w:jc w:val="both"/>
        <w:rPr>
          <w:rFonts w:ascii="Times New Roman" w:hAnsi="Times New Roman" w:cs="Times New Roman"/>
          <w:b/>
          <w:sz w:val="32"/>
          <w:szCs w:val="32"/>
          <w:u w:val="single"/>
        </w:rPr>
      </w:pPr>
      <w:r w:rsidRPr="00733546">
        <w:rPr>
          <w:rFonts w:ascii="Times New Roman" w:hAnsi="Times New Roman" w:cs="Times New Roman"/>
          <w:b/>
          <w:sz w:val="32"/>
          <w:szCs w:val="32"/>
          <w:u w:val="single"/>
        </w:rPr>
        <w:t xml:space="preserve">FONDO COMUN: </w:t>
      </w:r>
    </w:p>
    <w:p w:rsidR="00C14A33" w:rsidRPr="00AF3EFD" w:rsidRDefault="00C14A33" w:rsidP="00C14A33">
      <w:pPr>
        <w:ind w:left="720"/>
        <w:jc w:val="center"/>
        <w:rPr>
          <w:rFonts w:ascii="Times New Roman" w:hAnsi="Times New Roman"/>
          <w:b/>
          <w:sz w:val="28"/>
          <w:szCs w:val="28"/>
          <w:u w:val="single"/>
        </w:rPr>
      </w:pPr>
      <w:r w:rsidRPr="00AF3EFD">
        <w:rPr>
          <w:rFonts w:ascii="Times New Roman" w:hAnsi="Times New Roman"/>
          <w:b/>
          <w:sz w:val="28"/>
          <w:szCs w:val="28"/>
          <w:u w:val="single"/>
        </w:rPr>
        <w:t>INGRESOS</w:t>
      </w:r>
    </w:p>
    <w:p w:rsidR="00C14A33" w:rsidRDefault="00C14A33" w:rsidP="00C14A33">
      <w:pPr>
        <w:ind w:left="720"/>
        <w:jc w:val="both"/>
        <w:rPr>
          <w:rFonts w:ascii="Times New Roman" w:hAnsi="Times New Roman"/>
          <w:sz w:val="24"/>
          <w:szCs w:val="24"/>
        </w:rPr>
      </w:pPr>
    </w:p>
    <w:tbl>
      <w:tblPr>
        <w:tblW w:w="8634" w:type="dxa"/>
        <w:tblInd w:w="60" w:type="dxa"/>
        <w:tblCellMar>
          <w:left w:w="70" w:type="dxa"/>
          <w:right w:w="70" w:type="dxa"/>
        </w:tblCellMar>
        <w:tblLook w:val="04A0"/>
      </w:tblPr>
      <w:tblGrid>
        <w:gridCol w:w="1381"/>
        <w:gridCol w:w="4441"/>
        <w:gridCol w:w="2812"/>
      </w:tblGrid>
      <w:tr w:rsidR="00C14A33" w:rsidRPr="00CE3A40" w:rsidTr="00F72181">
        <w:trPr>
          <w:trHeight w:val="301"/>
        </w:trPr>
        <w:tc>
          <w:tcPr>
            <w:tcW w:w="1381" w:type="dxa"/>
            <w:tcBorders>
              <w:top w:val="single" w:sz="8" w:space="0" w:color="auto"/>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11801</w:t>
            </w:r>
          </w:p>
        </w:tc>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 Comercio</w:t>
            </w:r>
          </w:p>
        </w:tc>
        <w:tc>
          <w:tcPr>
            <w:tcW w:w="2812" w:type="dxa"/>
            <w:tcBorders>
              <w:top w:val="single" w:sz="4" w:space="0" w:color="auto"/>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46,325.28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11802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De Industria </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9,113.65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11803</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Financieros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9,550.19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11804</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 Servicios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980.47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lastRenderedPageBreak/>
              <w:t>11817</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Vallas Publicitarias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3,440.00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11818</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Vialidad </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13,330.12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12105</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Por Servicios de Certificación o Visado de Doc.</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25,641.60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12106</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Por Expedición de Doc. De Identificación</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394.33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12107</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Por Acceso a Lugares Públicos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3,741.30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12108</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Alumbrado Público</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143,395.97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12109</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Aseo Público</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369,758.50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12110</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Casetas Telefónicas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3,936.00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12111</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Cementerios Municipales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20,056.03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Desechos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370,616.55 </w:t>
            </w:r>
          </w:p>
        </w:tc>
      </w:tr>
      <w:tr w:rsidR="00C14A33" w:rsidRPr="00CE3A40" w:rsidTr="00F72181">
        <w:trPr>
          <w:trHeight w:val="287"/>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12113</w:t>
            </w:r>
          </w:p>
        </w:tc>
        <w:tc>
          <w:tcPr>
            <w:tcW w:w="4441" w:type="dxa"/>
            <w:tcBorders>
              <w:top w:val="nil"/>
              <w:left w:val="single" w:sz="4" w:space="0" w:color="auto"/>
              <w:bottom w:val="single" w:sz="4" w:space="0" w:color="auto"/>
              <w:right w:val="single" w:sz="4" w:space="0" w:color="auto"/>
            </w:tcBorders>
            <w:shd w:val="clear" w:color="000000" w:fill="FFFFFF"/>
            <w:vAlign w:val="center"/>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Estacionamiento y </w:t>
            </w:r>
            <w:proofErr w:type="spellStart"/>
            <w:r w:rsidRPr="00CE3A40">
              <w:rPr>
                <w:rFonts w:ascii="Times New Roman" w:eastAsia="Times New Roman" w:hAnsi="Times New Roman"/>
                <w:lang w:eastAsia="es-ES"/>
              </w:rPr>
              <w:t>Parquimetros</w:t>
            </w:r>
            <w:proofErr w:type="spellEnd"/>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7,168.85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12114</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Fiestas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109,097.90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12115</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Mercados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23,983.99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12117</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Pavimentación</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174,205.12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12118</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Postes, Torres y Antenas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333,691.07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12119</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Rastro y Tiangue</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571.14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12122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Terminal de Buses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3,867.37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12199</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Tasas Diversas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885.67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12210</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Permisos y Lic. </w:t>
            </w:r>
            <w:proofErr w:type="spellStart"/>
            <w:r w:rsidRPr="00CE3A40">
              <w:rPr>
                <w:rFonts w:ascii="Times New Roman" w:eastAsia="Times New Roman" w:hAnsi="Times New Roman"/>
                <w:lang w:eastAsia="es-ES"/>
              </w:rPr>
              <w:t>Municp</w:t>
            </w:r>
            <w:proofErr w:type="spellEnd"/>
            <w:r w:rsidRPr="00CE3A40">
              <w:rPr>
                <w:rFonts w:ascii="Times New Roman" w:eastAsia="Times New Roman" w:hAnsi="Times New Roman"/>
                <w:lang w:eastAsia="es-ES"/>
              </w:rPr>
              <w:t>.</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79,313.06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12211</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Cotejo de Fierros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91.54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12299</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Derechos Diversos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3,549.53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15301</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Multa por Mora de Impuestos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11,490.67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15302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Intereses por Mora de Impuestos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40,358.61 </w:t>
            </w:r>
          </w:p>
        </w:tc>
      </w:tr>
      <w:tr w:rsidR="00C14A33" w:rsidRPr="00CE3A40" w:rsidTr="00F72181">
        <w:trPr>
          <w:trHeight w:val="301"/>
        </w:trPr>
        <w:tc>
          <w:tcPr>
            <w:tcW w:w="1381" w:type="dxa"/>
            <w:tcBorders>
              <w:top w:val="nil"/>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15312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Multas por Reg. Civil</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372.18 </w:t>
            </w:r>
          </w:p>
        </w:tc>
      </w:tr>
      <w:tr w:rsidR="00C14A33" w:rsidRPr="00CE3A40" w:rsidTr="00F72181">
        <w:trPr>
          <w:trHeight w:val="301"/>
        </w:trPr>
        <w:tc>
          <w:tcPr>
            <w:tcW w:w="1381" w:type="dxa"/>
            <w:tcBorders>
              <w:top w:val="nil"/>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15399</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Multas e Intereses Diversos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1,874.00 </w:t>
            </w:r>
          </w:p>
        </w:tc>
      </w:tr>
      <w:tr w:rsidR="00C14A33" w:rsidRPr="00CE3A40" w:rsidTr="00F72181">
        <w:trPr>
          <w:trHeight w:val="301"/>
        </w:trPr>
        <w:tc>
          <w:tcPr>
            <w:tcW w:w="1381" w:type="dxa"/>
            <w:tcBorders>
              <w:top w:val="single" w:sz="4" w:space="0" w:color="auto"/>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lastRenderedPageBreak/>
              <w:t>15402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Arrendamiento de Bienes Inmuebles </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760.00 </w:t>
            </w:r>
          </w:p>
        </w:tc>
      </w:tr>
      <w:tr w:rsidR="00C14A33" w:rsidRPr="00CE3A40" w:rsidTr="00F72181">
        <w:trPr>
          <w:trHeight w:val="301"/>
        </w:trPr>
        <w:tc>
          <w:tcPr>
            <w:tcW w:w="1381" w:type="dxa"/>
            <w:tcBorders>
              <w:top w:val="single" w:sz="4" w:space="0" w:color="auto"/>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15799</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Ingresos Diversos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31,980.58 </w:t>
            </w:r>
          </w:p>
        </w:tc>
      </w:tr>
      <w:tr w:rsidR="00C14A33" w:rsidRPr="00CE3A40" w:rsidTr="00F72181">
        <w:trPr>
          <w:trHeight w:val="301"/>
        </w:trPr>
        <w:tc>
          <w:tcPr>
            <w:tcW w:w="1381" w:type="dxa"/>
            <w:tcBorders>
              <w:top w:val="single" w:sz="4" w:space="0" w:color="auto"/>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16201</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Transf</w:t>
            </w:r>
            <w:proofErr w:type="spellEnd"/>
            <w:r w:rsidRPr="00CE3A40">
              <w:rPr>
                <w:rFonts w:ascii="Times New Roman" w:eastAsia="Times New Roman" w:hAnsi="Times New Roman"/>
                <w:lang w:eastAsia="es-ES"/>
              </w:rPr>
              <w:t xml:space="preserve">. </w:t>
            </w:r>
            <w:proofErr w:type="spellStart"/>
            <w:r w:rsidRPr="00CE3A40">
              <w:rPr>
                <w:rFonts w:ascii="Times New Roman" w:eastAsia="Times New Roman" w:hAnsi="Times New Roman"/>
                <w:lang w:eastAsia="es-ES"/>
              </w:rPr>
              <w:t>Ctes</w:t>
            </w:r>
            <w:proofErr w:type="spellEnd"/>
            <w:r w:rsidRPr="00CE3A40">
              <w:rPr>
                <w:rFonts w:ascii="Times New Roman" w:eastAsia="Times New Roman" w:hAnsi="Times New Roman"/>
                <w:lang w:eastAsia="es-ES"/>
              </w:rPr>
              <w:t>. Del S.P.</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w:t>
            </w:r>
          </w:p>
        </w:tc>
      </w:tr>
      <w:tr w:rsidR="00C14A33" w:rsidRPr="00CE3A40" w:rsidTr="00F72181">
        <w:trPr>
          <w:trHeight w:val="301"/>
        </w:trPr>
        <w:tc>
          <w:tcPr>
            <w:tcW w:w="1381" w:type="dxa"/>
            <w:tcBorders>
              <w:top w:val="single" w:sz="4" w:space="0" w:color="auto"/>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16301</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 Empresas Privadas no Financieras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20,061.88 </w:t>
            </w:r>
          </w:p>
        </w:tc>
      </w:tr>
      <w:tr w:rsidR="00C14A33" w:rsidRPr="00CE3A40" w:rsidTr="00F72181">
        <w:trPr>
          <w:trHeight w:val="301"/>
        </w:trPr>
        <w:tc>
          <w:tcPr>
            <w:tcW w:w="1381" w:type="dxa"/>
            <w:tcBorders>
              <w:top w:val="single" w:sz="4" w:space="0" w:color="auto"/>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22201</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Transf</w:t>
            </w:r>
            <w:proofErr w:type="spellEnd"/>
            <w:r w:rsidRPr="00CE3A40">
              <w:rPr>
                <w:rFonts w:ascii="Times New Roman" w:eastAsia="Times New Roman" w:hAnsi="Times New Roman"/>
                <w:lang w:eastAsia="es-ES"/>
              </w:rPr>
              <w:t>. De Capital del S.P.</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w:t>
            </w:r>
          </w:p>
        </w:tc>
      </w:tr>
      <w:tr w:rsidR="00C14A33" w:rsidRPr="00CE3A40" w:rsidTr="00F72181">
        <w:trPr>
          <w:trHeight w:val="301"/>
        </w:trPr>
        <w:tc>
          <w:tcPr>
            <w:tcW w:w="1381" w:type="dxa"/>
            <w:tcBorders>
              <w:top w:val="single" w:sz="4" w:space="0" w:color="auto"/>
              <w:left w:val="single" w:sz="8" w:space="0" w:color="auto"/>
              <w:bottom w:val="nil"/>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22207</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Obligaciones y Transferencias</w:t>
            </w:r>
          </w:p>
        </w:tc>
        <w:tc>
          <w:tcPr>
            <w:tcW w:w="2812" w:type="dxa"/>
            <w:tcBorders>
              <w:top w:val="nil"/>
              <w:left w:val="nil"/>
              <w:bottom w:val="nil"/>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w:t>
            </w:r>
          </w:p>
        </w:tc>
      </w:tr>
      <w:tr w:rsidR="00C14A33" w:rsidRPr="00CE3A40" w:rsidTr="00F72181">
        <w:trPr>
          <w:trHeight w:val="301"/>
        </w:trPr>
        <w:tc>
          <w:tcPr>
            <w:tcW w:w="1381" w:type="dxa"/>
            <w:tcBorders>
              <w:top w:val="single" w:sz="4" w:space="0" w:color="auto"/>
              <w:left w:val="single" w:sz="8" w:space="0" w:color="auto"/>
              <w:bottom w:val="single" w:sz="4" w:space="0" w:color="auto"/>
              <w:right w:val="nil"/>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32102</w:t>
            </w:r>
          </w:p>
        </w:tc>
        <w:tc>
          <w:tcPr>
            <w:tcW w:w="444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Saldo Inicial de Bancos</w:t>
            </w:r>
          </w:p>
        </w:tc>
        <w:tc>
          <w:tcPr>
            <w:tcW w:w="2812" w:type="dxa"/>
            <w:tcBorders>
              <w:top w:val="single" w:sz="4" w:space="0" w:color="auto"/>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w:t>
            </w:r>
          </w:p>
        </w:tc>
      </w:tr>
      <w:tr w:rsidR="00C14A33" w:rsidRPr="00CE3A40" w:rsidTr="00F72181">
        <w:trPr>
          <w:trHeight w:val="301"/>
        </w:trPr>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b/>
                <w:bCs/>
                <w:lang w:eastAsia="es-ES"/>
              </w:rPr>
            </w:pPr>
            <w:r w:rsidRPr="00CE3A40">
              <w:rPr>
                <w:rFonts w:ascii="Times New Roman" w:eastAsia="Times New Roman" w:hAnsi="Times New Roman"/>
                <w:b/>
                <w:bCs/>
                <w:lang w:eastAsia="es-ES"/>
              </w:rPr>
              <w:t>32201</w:t>
            </w:r>
          </w:p>
        </w:tc>
        <w:tc>
          <w:tcPr>
            <w:tcW w:w="444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Cuentas por cobrar de años anteriores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720,000.00 </w:t>
            </w:r>
          </w:p>
        </w:tc>
      </w:tr>
      <w:tr w:rsidR="00C14A33" w:rsidRPr="00CE3A40" w:rsidTr="00F72181">
        <w:trPr>
          <w:trHeight w:val="373"/>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444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b/>
                <w:bCs/>
                <w:lang w:eastAsia="es-ES"/>
              </w:rPr>
            </w:pPr>
            <w:r w:rsidRPr="00CE3A40">
              <w:rPr>
                <w:rFonts w:ascii="Times New Roman" w:eastAsia="Times New Roman" w:hAnsi="Times New Roman"/>
                <w:b/>
                <w:bCs/>
                <w:lang w:eastAsia="es-ES"/>
              </w:rPr>
              <w:t>TOTAL INGRESOS</w:t>
            </w:r>
          </w:p>
        </w:tc>
        <w:tc>
          <w:tcPr>
            <w:tcW w:w="2812"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2,583,603.15 </w:t>
            </w:r>
          </w:p>
        </w:tc>
      </w:tr>
    </w:tbl>
    <w:p w:rsidR="00C14A33" w:rsidRPr="00CE3A40" w:rsidRDefault="00C14A33" w:rsidP="00C14A33">
      <w:pPr>
        <w:ind w:left="360"/>
        <w:jc w:val="center"/>
        <w:rPr>
          <w:rFonts w:ascii="Times New Roman" w:hAnsi="Times New Roman"/>
          <w:b/>
          <w:u w:val="single"/>
        </w:rPr>
      </w:pPr>
    </w:p>
    <w:p w:rsidR="00C14A33" w:rsidRPr="00AF3EFD" w:rsidRDefault="00C14A33" w:rsidP="00C14A33">
      <w:pPr>
        <w:ind w:left="360"/>
        <w:jc w:val="center"/>
        <w:rPr>
          <w:rFonts w:ascii="Times New Roman" w:hAnsi="Times New Roman"/>
          <w:b/>
          <w:sz w:val="28"/>
          <w:szCs w:val="28"/>
          <w:u w:val="single"/>
        </w:rPr>
      </w:pPr>
      <w:r w:rsidRPr="00AF3EFD">
        <w:rPr>
          <w:rFonts w:ascii="Times New Roman" w:hAnsi="Times New Roman"/>
          <w:b/>
          <w:sz w:val="28"/>
          <w:szCs w:val="28"/>
          <w:u w:val="single"/>
        </w:rPr>
        <w:t>EGRESOS</w:t>
      </w:r>
    </w:p>
    <w:p w:rsidR="00C14A33" w:rsidRPr="003E6764" w:rsidRDefault="00C14A33" w:rsidP="00C14A33">
      <w:pPr>
        <w:jc w:val="both"/>
        <w:rPr>
          <w:rFonts w:ascii="Times New Roman" w:hAnsi="Times New Roman"/>
          <w:sz w:val="24"/>
          <w:szCs w:val="24"/>
        </w:rPr>
      </w:pPr>
    </w:p>
    <w:tbl>
      <w:tblPr>
        <w:tblW w:w="8799" w:type="dxa"/>
        <w:tblInd w:w="60" w:type="dxa"/>
        <w:tblCellMar>
          <w:left w:w="70" w:type="dxa"/>
          <w:right w:w="70" w:type="dxa"/>
        </w:tblCellMar>
        <w:tblLook w:val="04A0"/>
      </w:tblPr>
      <w:tblGrid>
        <w:gridCol w:w="1200"/>
        <w:gridCol w:w="4906"/>
        <w:gridCol w:w="2693"/>
      </w:tblGrid>
      <w:tr w:rsidR="00C14A33" w:rsidRPr="00CE3A40" w:rsidTr="00F72181">
        <w:trPr>
          <w:trHeight w:val="315"/>
        </w:trPr>
        <w:tc>
          <w:tcPr>
            <w:tcW w:w="1200" w:type="dxa"/>
            <w:tcBorders>
              <w:top w:val="single" w:sz="8" w:space="0" w:color="auto"/>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51101</w:t>
            </w:r>
          </w:p>
        </w:tc>
        <w:tc>
          <w:tcPr>
            <w:tcW w:w="49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Sueldos </w:t>
            </w:r>
          </w:p>
        </w:tc>
        <w:tc>
          <w:tcPr>
            <w:tcW w:w="2693" w:type="dxa"/>
            <w:tcBorders>
              <w:top w:val="single" w:sz="4" w:space="0" w:color="auto"/>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1,230,509.28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51103</w:t>
            </w:r>
          </w:p>
        </w:tc>
        <w:tc>
          <w:tcPr>
            <w:tcW w:w="4906"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Aguinaldo (contrato)</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3,150.00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51107</w:t>
            </w:r>
          </w:p>
        </w:tc>
        <w:tc>
          <w:tcPr>
            <w:tcW w:w="4906"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Vacaciones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1,614.00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51301</w:t>
            </w:r>
          </w:p>
        </w:tc>
        <w:tc>
          <w:tcPr>
            <w:tcW w:w="4906"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Horas extras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47,943.00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51401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ISSS, INSAFORP,IPSFA</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110,466.70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51501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AFPs</w:t>
            </w:r>
            <w:proofErr w:type="spellEnd"/>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90,963.24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51601</w:t>
            </w:r>
          </w:p>
        </w:tc>
        <w:tc>
          <w:tcPr>
            <w:tcW w:w="4906"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Gastos de representación</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7,200.00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51701</w:t>
            </w:r>
          </w:p>
        </w:tc>
        <w:tc>
          <w:tcPr>
            <w:tcW w:w="4906"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Indemnizaciones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40,000.00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51901</w:t>
            </w:r>
          </w:p>
        </w:tc>
        <w:tc>
          <w:tcPr>
            <w:tcW w:w="4906"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Honorarios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Alimenticios para Personas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Agropecuarios y Forestales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54104</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Textiles y Vestuarios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lastRenderedPageBreak/>
              <w:t>54105</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Productos de Papel y </w:t>
            </w:r>
            <w:proofErr w:type="spellStart"/>
            <w:r w:rsidRPr="00CE3A40">
              <w:rPr>
                <w:rFonts w:ascii="Times New Roman" w:eastAsia="Times New Roman" w:hAnsi="Times New Roman"/>
                <w:lang w:eastAsia="es-ES"/>
              </w:rPr>
              <w:t>Carton</w:t>
            </w:r>
            <w:proofErr w:type="spellEnd"/>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54106</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de Cuero y Caucho</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1,500.00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54107</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Químicos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10,000.00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54108</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Farmacéuticos y Medicinales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2,500.00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54114</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Materiales de Oficina</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54115</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Materiales Informáticos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4,000.00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54118</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Herramientas, Rep. Y Accesorios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54119</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Materiales Eléctricos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54199</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Bienes de Uso y Consumo Diversos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168,956.93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Energía Eléctrica</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54202</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de Agua</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de Telecomunicaciones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54205</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Alumbrado Publico</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129,000.00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Mtto</w:t>
            </w:r>
            <w:proofErr w:type="spellEnd"/>
            <w:r w:rsidRPr="00CE3A40">
              <w:rPr>
                <w:rFonts w:ascii="Times New Roman" w:eastAsia="Times New Roman" w:hAnsi="Times New Roman"/>
                <w:lang w:eastAsia="es-ES"/>
              </w:rPr>
              <w:t>. Y Rep. De Bienes Muebles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1,500.00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54304</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Transp</w:t>
            </w:r>
            <w:proofErr w:type="spellEnd"/>
            <w:r w:rsidRPr="00CE3A40">
              <w:rPr>
                <w:rFonts w:ascii="Times New Roman" w:eastAsia="Times New Roman" w:hAnsi="Times New Roman"/>
                <w:lang w:eastAsia="es-ES"/>
              </w:rPr>
              <w:t>. Fletes y Almacenamiento</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396,000.00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54305</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de Publicidad</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54313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Impresiones, </w:t>
            </w:r>
            <w:proofErr w:type="spellStart"/>
            <w:r w:rsidRPr="00CE3A40">
              <w:rPr>
                <w:rFonts w:ascii="Times New Roman" w:eastAsia="Times New Roman" w:hAnsi="Times New Roman"/>
                <w:lang w:eastAsia="es-ES"/>
              </w:rPr>
              <w:t>Public</w:t>
            </w:r>
            <w:proofErr w:type="spellEnd"/>
            <w:r w:rsidRPr="00CE3A40">
              <w:rPr>
                <w:rFonts w:ascii="Times New Roman" w:eastAsia="Times New Roman" w:hAnsi="Times New Roman"/>
                <w:lang w:eastAsia="es-ES"/>
              </w:rPr>
              <w:t>. Y Reproducciones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54314</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Atenciones  Oficiales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54401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Pasajes al Interior</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54402</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Pasaje al Exterior</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54403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Viáticos por Comisión Interna</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54404</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Viáticos por Comisión Externa</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54505</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de Capacitación</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54508</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Estudios e Investigaciones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54599</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Consultorias</w:t>
            </w:r>
            <w:proofErr w:type="spellEnd"/>
            <w:r w:rsidRPr="00CE3A40">
              <w:rPr>
                <w:rFonts w:ascii="Times New Roman" w:eastAsia="Times New Roman" w:hAnsi="Times New Roman"/>
                <w:lang w:eastAsia="es-ES"/>
              </w:rPr>
              <w:t>, Estudios e Investigaciones Diversas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lastRenderedPageBreak/>
              <w:t>55508</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Derechos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6,000.00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55601</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Primas y Gastos de Seguros de Personas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16,000.00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55603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Comisiones y Gastos Bancarios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90,000.00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55703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Multas y Costas Judiciales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3,000.00 </w:t>
            </w:r>
          </w:p>
        </w:tc>
      </w:tr>
      <w:tr w:rsidR="00C14A33" w:rsidRPr="00CE3A40" w:rsidTr="00F72181">
        <w:trPr>
          <w:trHeight w:val="315"/>
        </w:trPr>
        <w:tc>
          <w:tcPr>
            <w:tcW w:w="1200" w:type="dxa"/>
            <w:tcBorders>
              <w:top w:val="nil"/>
              <w:left w:val="single" w:sz="8" w:space="0" w:color="auto"/>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56304</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 Personas naturales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5,000.00 </w:t>
            </w:r>
          </w:p>
        </w:tc>
      </w:tr>
      <w:tr w:rsidR="00C14A33" w:rsidRPr="00CE3A40" w:rsidTr="00F72181">
        <w:trPr>
          <w:trHeight w:val="315"/>
        </w:trPr>
        <w:tc>
          <w:tcPr>
            <w:tcW w:w="1200" w:type="dxa"/>
            <w:tcBorders>
              <w:top w:val="nil"/>
              <w:left w:val="nil"/>
              <w:bottom w:val="single" w:sz="4" w:space="0" w:color="auto"/>
              <w:right w:val="nil"/>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61403</w:t>
            </w:r>
          </w:p>
        </w:tc>
        <w:tc>
          <w:tcPr>
            <w:tcW w:w="4906"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Derechos de Propiedad Intelectual</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48,000.00 </w:t>
            </w:r>
          </w:p>
        </w:tc>
      </w:tr>
      <w:tr w:rsidR="00C14A33" w:rsidRPr="00CE3A40" w:rsidTr="00F72181">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4906"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b/>
                <w:bCs/>
                <w:lang w:eastAsia="es-ES"/>
              </w:rPr>
            </w:pPr>
            <w:r w:rsidRPr="00CE3A40">
              <w:rPr>
                <w:rFonts w:ascii="Times New Roman" w:eastAsia="Times New Roman" w:hAnsi="Times New Roman"/>
                <w:b/>
                <w:bCs/>
                <w:lang w:eastAsia="es-ES"/>
              </w:rPr>
              <w:t>TOTAL EGRESOS</w:t>
            </w:r>
          </w:p>
        </w:tc>
        <w:tc>
          <w:tcPr>
            <w:tcW w:w="2693" w:type="dxa"/>
            <w:tcBorders>
              <w:top w:val="nil"/>
              <w:left w:val="nil"/>
              <w:bottom w:val="single" w:sz="4" w:space="0" w:color="auto"/>
              <w:right w:val="single" w:sz="4" w:space="0" w:color="auto"/>
            </w:tcBorders>
            <w:shd w:val="clear" w:color="000000" w:fill="FDE9D9"/>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2,583,603.15 </w:t>
            </w:r>
          </w:p>
        </w:tc>
      </w:tr>
    </w:tbl>
    <w:p w:rsidR="00C14A33" w:rsidRPr="00CE3A40" w:rsidRDefault="00C14A33" w:rsidP="00C14A33">
      <w:pPr>
        <w:jc w:val="both"/>
        <w:rPr>
          <w:rFonts w:ascii="Times New Roman" w:hAnsi="Times New Roman"/>
        </w:rPr>
      </w:pPr>
    </w:p>
    <w:p w:rsidR="00C14A33" w:rsidRPr="00CE3A40" w:rsidRDefault="00C14A33" w:rsidP="00C14A33">
      <w:pPr>
        <w:jc w:val="both"/>
        <w:rPr>
          <w:rFonts w:ascii="Times New Roman" w:hAnsi="Times New Roman"/>
        </w:rPr>
      </w:pPr>
    </w:p>
    <w:p w:rsidR="00C14A33" w:rsidRPr="00733546" w:rsidRDefault="00C14A33" w:rsidP="00C14A33">
      <w:pPr>
        <w:pStyle w:val="Prrafodelista"/>
        <w:numPr>
          <w:ilvl w:val="0"/>
          <w:numId w:val="1"/>
        </w:numPr>
        <w:jc w:val="both"/>
        <w:rPr>
          <w:rFonts w:ascii="Times New Roman" w:hAnsi="Times New Roman" w:cs="Times New Roman"/>
          <w:b/>
          <w:sz w:val="32"/>
          <w:szCs w:val="32"/>
          <w:u w:val="single"/>
        </w:rPr>
      </w:pPr>
      <w:r w:rsidRPr="00733546">
        <w:rPr>
          <w:rFonts w:ascii="Times New Roman" w:hAnsi="Times New Roman" w:cs="Times New Roman"/>
          <w:b/>
          <w:sz w:val="32"/>
          <w:szCs w:val="32"/>
          <w:u w:val="single"/>
        </w:rPr>
        <w:t xml:space="preserve">FODES: </w:t>
      </w:r>
    </w:p>
    <w:tbl>
      <w:tblPr>
        <w:tblW w:w="9086" w:type="dxa"/>
        <w:tblInd w:w="55" w:type="dxa"/>
        <w:tblCellMar>
          <w:left w:w="70" w:type="dxa"/>
          <w:right w:w="70" w:type="dxa"/>
        </w:tblCellMar>
        <w:tblLook w:val="04A0"/>
      </w:tblPr>
      <w:tblGrid>
        <w:gridCol w:w="381"/>
        <w:gridCol w:w="6105"/>
        <w:gridCol w:w="2611"/>
      </w:tblGrid>
      <w:tr w:rsidR="00C14A33" w:rsidRPr="000F2148" w:rsidTr="00F72181">
        <w:trPr>
          <w:trHeight w:val="265"/>
        </w:trPr>
        <w:tc>
          <w:tcPr>
            <w:tcW w:w="9086" w:type="dxa"/>
            <w:gridSpan w:val="3"/>
            <w:tcBorders>
              <w:top w:val="nil"/>
              <w:left w:val="nil"/>
              <w:bottom w:val="nil"/>
              <w:right w:val="nil"/>
            </w:tcBorders>
            <w:shd w:val="clear" w:color="auto" w:fill="auto"/>
            <w:noWrap/>
            <w:vAlign w:val="bottom"/>
            <w:hideMark/>
          </w:tcPr>
          <w:p w:rsidR="00C14A33" w:rsidRPr="000F2148" w:rsidRDefault="00C14A33" w:rsidP="00F72181">
            <w:pPr>
              <w:jc w:val="center"/>
              <w:rPr>
                <w:rFonts w:eastAsia="Times New Roman" w:cs="Calibri"/>
                <w:b/>
                <w:bCs/>
                <w:color w:val="000000"/>
                <w:sz w:val="24"/>
                <w:szCs w:val="24"/>
                <w:lang w:eastAsia="es-ES"/>
              </w:rPr>
            </w:pPr>
            <w:r w:rsidRPr="000F2148">
              <w:rPr>
                <w:rFonts w:eastAsia="Times New Roman" w:cs="Calibri"/>
                <w:b/>
                <w:bCs/>
                <w:color w:val="000000"/>
                <w:sz w:val="24"/>
                <w:szCs w:val="24"/>
                <w:lang w:eastAsia="es-ES"/>
              </w:rPr>
              <w:t>DETALLE DE PROYECTOS A EJECUTAR DEL 75% DE INVERSION FODES PARA EL AÑO 2021</w:t>
            </w:r>
          </w:p>
        </w:tc>
      </w:tr>
      <w:tr w:rsidR="00C14A33" w:rsidRPr="000F2148" w:rsidTr="00F72181">
        <w:trPr>
          <w:trHeight w:val="265"/>
        </w:trPr>
        <w:tc>
          <w:tcPr>
            <w:tcW w:w="369" w:type="dxa"/>
            <w:tcBorders>
              <w:top w:val="nil"/>
              <w:left w:val="nil"/>
              <w:bottom w:val="nil"/>
              <w:right w:val="nil"/>
            </w:tcBorders>
            <w:shd w:val="clear" w:color="auto" w:fill="auto"/>
            <w:noWrap/>
            <w:vAlign w:val="bottom"/>
            <w:hideMark/>
          </w:tcPr>
          <w:p w:rsidR="00C14A33" w:rsidRPr="000F2148" w:rsidRDefault="00C14A33" w:rsidP="00F72181">
            <w:pPr>
              <w:jc w:val="center"/>
              <w:rPr>
                <w:rFonts w:eastAsia="Times New Roman" w:cs="Calibri"/>
                <w:color w:val="000000"/>
                <w:sz w:val="24"/>
                <w:szCs w:val="24"/>
                <w:lang w:eastAsia="es-ES"/>
              </w:rPr>
            </w:pPr>
          </w:p>
        </w:tc>
        <w:tc>
          <w:tcPr>
            <w:tcW w:w="6105" w:type="dxa"/>
            <w:tcBorders>
              <w:top w:val="nil"/>
              <w:left w:val="nil"/>
              <w:bottom w:val="nil"/>
              <w:right w:val="nil"/>
            </w:tcBorders>
            <w:shd w:val="clear" w:color="auto" w:fill="auto"/>
            <w:noWrap/>
            <w:vAlign w:val="bottom"/>
            <w:hideMark/>
          </w:tcPr>
          <w:p w:rsidR="00C14A33" w:rsidRDefault="00C14A33" w:rsidP="00F72181">
            <w:pPr>
              <w:jc w:val="center"/>
              <w:rPr>
                <w:rFonts w:eastAsia="Times New Roman" w:cs="Calibri"/>
                <w:color w:val="000000"/>
                <w:sz w:val="24"/>
                <w:szCs w:val="24"/>
                <w:lang w:eastAsia="es-ES"/>
              </w:rPr>
            </w:pPr>
          </w:p>
          <w:p w:rsidR="00C14A33" w:rsidRPr="000F2148" w:rsidRDefault="00C14A33" w:rsidP="00F72181">
            <w:pPr>
              <w:jc w:val="center"/>
              <w:rPr>
                <w:rFonts w:eastAsia="Times New Roman" w:cs="Calibri"/>
                <w:color w:val="000000"/>
                <w:sz w:val="24"/>
                <w:szCs w:val="24"/>
                <w:lang w:eastAsia="es-ES"/>
              </w:rPr>
            </w:pPr>
          </w:p>
        </w:tc>
        <w:tc>
          <w:tcPr>
            <w:tcW w:w="2611" w:type="dxa"/>
            <w:tcBorders>
              <w:top w:val="nil"/>
              <w:left w:val="nil"/>
              <w:bottom w:val="nil"/>
              <w:right w:val="nil"/>
            </w:tcBorders>
            <w:shd w:val="clear" w:color="auto" w:fill="auto"/>
            <w:noWrap/>
            <w:vAlign w:val="bottom"/>
            <w:hideMark/>
          </w:tcPr>
          <w:p w:rsidR="00C14A33" w:rsidRPr="000F2148" w:rsidRDefault="00C14A33" w:rsidP="00F72181">
            <w:pPr>
              <w:jc w:val="center"/>
              <w:rPr>
                <w:rFonts w:eastAsia="Times New Roman" w:cs="Calibri"/>
                <w:color w:val="000000"/>
                <w:sz w:val="24"/>
                <w:szCs w:val="24"/>
                <w:lang w:eastAsia="es-ES"/>
              </w:rPr>
            </w:pPr>
          </w:p>
        </w:tc>
      </w:tr>
      <w:tr w:rsidR="00C14A33" w:rsidRPr="000F2148" w:rsidTr="00F72181">
        <w:trPr>
          <w:trHeight w:val="214"/>
        </w:trPr>
        <w:tc>
          <w:tcPr>
            <w:tcW w:w="369"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6105"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2611"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r w:rsidRPr="000F2148">
              <w:rPr>
                <w:rFonts w:eastAsia="Times New Roman" w:cs="Calibri"/>
                <w:color w:val="000000"/>
                <w:lang w:eastAsia="es-ES"/>
              </w:rPr>
              <w:t xml:space="preserve"> $  1,787,482.84 </w:t>
            </w:r>
          </w:p>
        </w:tc>
      </w:tr>
      <w:tr w:rsidR="00C14A33" w:rsidRPr="000F2148" w:rsidTr="00F72181">
        <w:trPr>
          <w:trHeight w:val="214"/>
        </w:trPr>
        <w:tc>
          <w:tcPr>
            <w:tcW w:w="369"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6105"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2611"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r>
      <w:tr w:rsidR="00C14A33" w:rsidRPr="000F2148" w:rsidTr="00F72181">
        <w:trPr>
          <w:trHeight w:val="509"/>
        </w:trPr>
        <w:tc>
          <w:tcPr>
            <w:tcW w:w="369"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C14A33" w:rsidRPr="000F2148" w:rsidRDefault="00C14A33" w:rsidP="00F72181">
            <w:pPr>
              <w:jc w:val="center"/>
              <w:rPr>
                <w:rFonts w:eastAsia="Times New Roman" w:cs="Calibri"/>
                <w:b/>
                <w:bCs/>
                <w:color w:val="000000"/>
                <w:lang w:eastAsia="es-ES"/>
              </w:rPr>
            </w:pPr>
            <w:r w:rsidRPr="000F2148">
              <w:rPr>
                <w:rFonts w:eastAsia="Times New Roman" w:cs="Calibri"/>
                <w:b/>
                <w:bCs/>
                <w:color w:val="000000"/>
                <w:lang w:eastAsia="es-ES"/>
              </w:rPr>
              <w:t>Nº</w:t>
            </w:r>
          </w:p>
        </w:tc>
        <w:tc>
          <w:tcPr>
            <w:tcW w:w="6105"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C14A33" w:rsidRPr="000F2148" w:rsidRDefault="00C14A33" w:rsidP="00F72181">
            <w:pPr>
              <w:jc w:val="center"/>
              <w:rPr>
                <w:rFonts w:eastAsia="Times New Roman" w:cs="Calibri"/>
                <w:b/>
                <w:bCs/>
                <w:color w:val="000000"/>
                <w:lang w:eastAsia="es-ES"/>
              </w:rPr>
            </w:pPr>
            <w:r w:rsidRPr="000F2148">
              <w:rPr>
                <w:rFonts w:eastAsia="Times New Roman" w:cs="Calibri"/>
                <w:b/>
                <w:bCs/>
                <w:color w:val="000000"/>
                <w:lang w:eastAsia="es-ES"/>
              </w:rPr>
              <w:t>Nombre de Proyecto</w:t>
            </w:r>
          </w:p>
        </w:tc>
        <w:tc>
          <w:tcPr>
            <w:tcW w:w="2611"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C14A33" w:rsidRPr="000F2148" w:rsidRDefault="00C14A33" w:rsidP="00F72181">
            <w:pPr>
              <w:jc w:val="center"/>
              <w:rPr>
                <w:rFonts w:eastAsia="Times New Roman" w:cs="Calibri"/>
                <w:b/>
                <w:bCs/>
                <w:color w:val="000000"/>
                <w:lang w:eastAsia="es-ES"/>
              </w:rPr>
            </w:pPr>
            <w:r w:rsidRPr="000F2148">
              <w:rPr>
                <w:rFonts w:eastAsia="Times New Roman" w:cs="Calibri"/>
                <w:b/>
                <w:bCs/>
                <w:color w:val="000000"/>
                <w:lang w:eastAsia="es-ES"/>
              </w:rPr>
              <w:t xml:space="preserve">Monto </w:t>
            </w:r>
          </w:p>
        </w:tc>
      </w:tr>
      <w:tr w:rsidR="00C14A33" w:rsidRPr="000F2148" w:rsidTr="00F72181">
        <w:trPr>
          <w:trHeight w:val="509"/>
        </w:trPr>
        <w:tc>
          <w:tcPr>
            <w:tcW w:w="369" w:type="dxa"/>
            <w:vMerge/>
            <w:tcBorders>
              <w:top w:val="single" w:sz="4" w:space="0" w:color="auto"/>
              <w:left w:val="single" w:sz="4" w:space="0" w:color="auto"/>
              <w:bottom w:val="single" w:sz="4" w:space="0" w:color="000000"/>
              <w:right w:val="single" w:sz="4" w:space="0" w:color="auto"/>
            </w:tcBorders>
            <w:vAlign w:val="center"/>
            <w:hideMark/>
          </w:tcPr>
          <w:p w:rsidR="00C14A33" w:rsidRPr="000F2148" w:rsidRDefault="00C14A33" w:rsidP="00F72181">
            <w:pPr>
              <w:rPr>
                <w:rFonts w:eastAsia="Times New Roman" w:cs="Calibri"/>
                <w:b/>
                <w:bCs/>
                <w:color w:val="000000"/>
                <w:lang w:eastAsia="es-ES"/>
              </w:rPr>
            </w:pPr>
          </w:p>
        </w:tc>
        <w:tc>
          <w:tcPr>
            <w:tcW w:w="6105" w:type="dxa"/>
            <w:vMerge/>
            <w:tcBorders>
              <w:top w:val="single" w:sz="4" w:space="0" w:color="auto"/>
              <w:left w:val="single" w:sz="4" w:space="0" w:color="auto"/>
              <w:bottom w:val="single" w:sz="4" w:space="0" w:color="000000"/>
              <w:right w:val="single" w:sz="4" w:space="0" w:color="auto"/>
            </w:tcBorders>
            <w:vAlign w:val="center"/>
            <w:hideMark/>
          </w:tcPr>
          <w:p w:rsidR="00C14A33" w:rsidRPr="000F2148" w:rsidRDefault="00C14A33" w:rsidP="00F72181">
            <w:pPr>
              <w:rPr>
                <w:rFonts w:eastAsia="Times New Roman" w:cs="Calibri"/>
                <w:b/>
                <w:bCs/>
                <w:color w:val="000000"/>
                <w:lang w:eastAsia="es-ES"/>
              </w:rPr>
            </w:pPr>
          </w:p>
        </w:tc>
        <w:tc>
          <w:tcPr>
            <w:tcW w:w="2611" w:type="dxa"/>
            <w:vMerge/>
            <w:tcBorders>
              <w:top w:val="single" w:sz="4" w:space="0" w:color="auto"/>
              <w:left w:val="single" w:sz="4" w:space="0" w:color="auto"/>
              <w:bottom w:val="single" w:sz="4" w:space="0" w:color="000000"/>
              <w:right w:val="single" w:sz="4" w:space="0" w:color="auto"/>
            </w:tcBorders>
            <w:vAlign w:val="center"/>
            <w:hideMark/>
          </w:tcPr>
          <w:p w:rsidR="00C14A33" w:rsidRPr="000F2148" w:rsidRDefault="00C14A33" w:rsidP="00F72181">
            <w:pPr>
              <w:rPr>
                <w:rFonts w:eastAsia="Times New Roman" w:cs="Calibri"/>
                <w:b/>
                <w:bCs/>
                <w:color w:val="000000"/>
                <w:lang w:eastAsia="es-ES"/>
              </w:rPr>
            </w:pP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Mantenimiento Preventivo, reparación y combustible para camiones recolectores</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75,000.00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2</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Transporte y Disposición Final de Desechos Sólidos 2020</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268,122.43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3</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Compra de Mobiliario, maquinaria y equipo informático 2020</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30,000.00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4</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Pago cuota de MIC-GUAZAPA</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6,519.00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5</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Alumbrado Público (6 meses por $21,500)</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129,000.00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6</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Cuota de los dos prestamos</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724,347.61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7</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Compra de chequeras</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lastRenderedPageBreak/>
              <w:t>8</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Comisión de por OIP ($208.33 mensual)</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2,499.96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9</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Bacheo y asfaltado de calle principal de la ruta CI de ALTA VISTA</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125,000.00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10</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Mejoramiento y reparación de bóveda de Cimas y Cumbre  que conecta </w:t>
            </w:r>
            <w:proofErr w:type="spellStart"/>
            <w:r w:rsidRPr="00CE3A40">
              <w:rPr>
                <w:rFonts w:ascii="Times New Roman" w:eastAsia="Times New Roman" w:hAnsi="Times New Roman"/>
                <w:color w:val="000000"/>
                <w:lang w:eastAsia="es-ES"/>
              </w:rPr>
              <w:t>Tonacatepeque</w:t>
            </w:r>
            <w:proofErr w:type="spellEnd"/>
            <w:r w:rsidRPr="00CE3A40">
              <w:rPr>
                <w:rFonts w:ascii="Times New Roman" w:eastAsia="Times New Roman" w:hAnsi="Times New Roman"/>
                <w:color w:val="000000"/>
                <w:lang w:eastAsia="es-ES"/>
              </w:rPr>
              <w:t xml:space="preserve"> e </w:t>
            </w:r>
            <w:proofErr w:type="spellStart"/>
            <w:r w:rsidRPr="00CE3A40">
              <w:rPr>
                <w:rFonts w:ascii="Times New Roman" w:eastAsia="Times New Roman" w:hAnsi="Times New Roman"/>
                <w:color w:val="000000"/>
                <w:lang w:eastAsia="es-ES"/>
              </w:rPr>
              <w:t>Ilopango</w:t>
            </w:r>
            <w:proofErr w:type="spellEnd"/>
            <w:r w:rsidRPr="00CE3A40">
              <w:rPr>
                <w:rFonts w:ascii="Times New Roman" w:eastAsia="Times New Roman" w:hAnsi="Times New Roman"/>
                <w:color w:val="000000"/>
                <w:lang w:eastAsia="es-ES"/>
              </w:rPr>
              <w:t xml:space="preserve">; </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120,000.00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11</w:t>
            </w:r>
          </w:p>
        </w:tc>
        <w:tc>
          <w:tcPr>
            <w:tcW w:w="6105" w:type="dxa"/>
            <w:tcBorders>
              <w:top w:val="nil"/>
              <w:left w:val="nil"/>
              <w:bottom w:val="nil"/>
              <w:right w:val="nil"/>
            </w:tcBorders>
            <w:shd w:val="clear" w:color="auto" w:fill="auto"/>
            <w:noWrap/>
            <w:vAlign w:val="bottom"/>
            <w:hideMark/>
          </w:tcPr>
          <w:p w:rsidR="00C14A33" w:rsidRPr="00CE3A40" w:rsidRDefault="00C14A33" w:rsidP="00F72181">
            <w:pPr>
              <w:jc w:val="both"/>
              <w:rPr>
                <w:rFonts w:ascii="Times New Roman" w:eastAsia="Times New Roman" w:hAnsi="Times New Roman"/>
                <w:color w:val="000000"/>
                <w:lang w:eastAsia="es-ES"/>
              </w:rPr>
            </w:pPr>
            <w:proofErr w:type="spellStart"/>
            <w:r w:rsidRPr="00CE3A40">
              <w:rPr>
                <w:rFonts w:ascii="Times New Roman" w:eastAsia="Times New Roman" w:hAnsi="Times New Roman"/>
                <w:color w:val="000000"/>
                <w:lang w:eastAsia="es-ES"/>
              </w:rPr>
              <w:t>Concreteado</w:t>
            </w:r>
            <w:proofErr w:type="spellEnd"/>
            <w:r w:rsidRPr="00CE3A40">
              <w:rPr>
                <w:rFonts w:ascii="Times New Roman" w:eastAsia="Times New Roman" w:hAnsi="Times New Roman"/>
                <w:color w:val="000000"/>
                <w:lang w:eastAsia="es-ES"/>
              </w:rPr>
              <w:t xml:space="preserve"> de calle principal de cantón </w:t>
            </w:r>
            <w:proofErr w:type="spellStart"/>
            <w:r w:rsidRPr="00CE3A40">
              <w:rPr>
                <w:rFonts w:ascii="Times New Roman" w:eastAsia="Times New Roman" w:hAnsi="Times New Roman"/>
                <w:color w:val="000000"/>
                <w:lang w:eastAsia="es-ES"/>
              </w:rPr>
              <w:t>Malacoff</w:t>
            </w:r>
            <w:proofErr w:type="spellEnd"/>
            <w:r w:rsidRPr="00CE3A40">
              <w:rPr>
                <w:rFonts w:ascii="Times New Roman" w:eastAsia="Times New Roman" w:hAnsi="Times New Roman"/>
                <w:color w:val="000000"/>
                <w:lang w:eastAsia="es-ES"/>
              </w:rPr>
              <w:t xml:space="preserve">; contiguo la Escuela salvador cañas; </w:t>
            </w:r>
          </w:p>
        </w:tc>
        <w:tc>
          <w:tcPr>
            <w:tcW w:w="2611"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80,000.00 </w:t>
            </w:r>
          </w:p>
        </w:tc>
      </w:tr>
      <w:tr w:rsidR="00C14A33" w:rsidRPr="00CE3A40" w:rsidTr="00F72181">
        <w:trPr>
          <w:trHeight w:val="277"/>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12</w:t>
            </w:r>
          </w:p>
        </w:tc>
        <w:tc>
          <w:tcPr>
            <w:tcW w:w="6105" w:type="dxa"/>
            <w:tcBorders>
              <w:top w:val="single" w:sz="4" w:space="0" w:color="auto"/>
              <w:left w:val="nil"/>
              <w:bottom w:val="single" w:sz="4" w:space="0" w:color="auto"/>
              <w:right w:val="single" w:sz="4" w:space="0" w:color="auto"/>
            </w:tcBorders>
            <w:shd w:val="clear" w:color="auto" w:fill="auto"/>
            <w:noWrap/>
            <w:vAlign w:val="bottom"/>
            <w:hideMark/>
          </w:tcPr>
          <w:p w:rsidR="00C14A33" w:rsidRPr="00CE3A40" w:rsidRDefault="00C14A33" w:rsidP="00F72181">
            <w:pPr>
              <w:jc w:val="both"/>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Quebrada para intervenir calle principal al caserío los </w:t>
            </w:r>
            <w:proofErr w:type="spellStart"/>
            <w:r w:rsidRPr="00CE3A40">
              <w:rPr>
                <w:rFonts w:ascii="Times New Roman" w:eastAsia="Times New Roman" w:hAnsi="Times New Roman"/>
                <w:color w:val="000000"/>
                <w:lang w:eastAsia="es-ES"/>
              </w:rPr>
              <w:t>Anzora</w:t>
            </w:r>
            <w:proofErr w:type="spellEnd"/>
            <w:r w:rsidRPr="00CE3A40">
              <w:rPr>
                <w:rFonts w:ascii="Times New Roman" w:eastAsia="Times New Roman" w:hAnsi="Times New Roman"/>
                <w:color w:val="000000"/>
                <w:lang w:eastAsia="es-ES"/>
              </w:rPr>
              <w:t xml:space="preserve"> del </w:t>
            </w:r>
            <w:proofErr w:type="spellStart"/>
            <w:r w:rsidRPr="00CE3A40">
              <w:rPr>
                <w:rFonts w:ascii="Times New Roman" w:eastAsia="Times New Roman" w:hAnsi="Times New Roman"/>
                <w:color w:val="000000"/>
                <w:lang w:eastAsia="es-ES"/>
              </w:rPr>
              <w:t>Malacoff</w:t>
            </w:r>
            <w:proofErr w:type="spellEnd"/>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6,000.00 </w:t>
            </w:r>
          </w:p>
        </w:tc>
      </w:tr>
      <w:tr w:rsidR="00C14A33" w:rsidRPr="00CE3A40" w:rsidTr="00F72181">
        <w:trPr>
          <w:trHeight w:val="277"/>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13</w:t>
            </w:r>
          </w:p>
        </w:tc>
        <w:tc>
          <w:tcPr>
            <w:tcW w:w="6105"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jc w:val="both"/>
              <w:rPr>
                <w:rFonts w:ascii="Times New Roman" w:eastAsia="Times New Roman" w:hAnsi="Times New Roman"/>
                <w:color w:val="000000"/>
                <w:lang w:eastAsia="es-ES"/>
              </w:rPr>
            </w:pPr>
            <w:proofErr w:type="spellStart"/>
            <w:r w:rsidRPr="00CE3A40">
              <w:rPr>
                <w:rFonts w:ascii="Times New Roman" w:eastAsia="Times New Roman" w:hAnsi="Times New Roman"/>
                <w:color w:val="000000"/>
                <w:lang w:eastAsia="es-ES"/>
              </w:rPr>
              <w:t>Concreteado</w:t>
            </w:r>
            <w:proofErr w:type="spellEnd"/>
            <w:r w:rsidRPr="00CE3A40">
              <w:rPr>
                <w:rFonts w:ascii="Times New Roman" w:eastAsia="Times New Roman" w:hAnsi="Times New Roman"/>
                <w:color w:val="000000"/>
                <w:lang w:eastAsia="es-ES"/>
              </w:rPr>
              <w:t xml:space="preserve"> de calle Principal de caserío los </w:t>
            </w:r>
            <w:proofErr w:type="spellStart"/>
            <w:r w:rsidRPr="00CE3A40">
              <w:rPr>
                <w:rFonts w:ascii="Times New Roman" w:eastAsia="Times New Roman" w:hAnsi="Times New Roman"/>
                <w:color w:val="000000"/>
                <w:lang w:eastAsia="es-ES"/>
              </w:rPr>
              <w:t>Erroa</w:t>
            </w:r>
            <w:proofErr w:type="spellEnd"/>
            <w:r w:rsidRPr="00CE3A40">
              <w:rPr>
                <w:rFonts w:ascii="Times New Roman" w:eastAsia="Times New Roman" w:hAnsi="Times New Roman"/>
                <w:color w:val="000000"/>
                <w:lang w:eastAsia="es-ES"/>
              </w:rPr>
              <w:t xml:space="preserve"> del cantón</w:t>
            </w:r>
            <w:r>
              <w:rPr>
                <w:rFonts w:ascii="Times New Roman" w:eastAsia="Times New Roman" w:hAnsi="Times New Roman"/>
                <w:color w:val="000000"/>
                <w:lang w:eastAsia="es-ES"/>
              </w:rPr>
              <w:t xml:space="preserve"> </w:t>
            </w:r>
            <w:proofErr w:type="spellStart"/>
            <w:r w:rsidRPr="00CE3A40">
              <w:rPr>
                <w:rFonts w:ascii="Times New Roman" w:eastAsia="Times New Roman" w:hAnsi="Times New Roman"/>
                <w:color w:val="000000"/>
                <w:lang w:eastAsia="es-ES"/>
              </w:rPr>
              <w:t>Malacoff</w:t>
            </w:r>
            <w:proofErr w:type="spellEnd"/>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25,000.00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14</w:t>
            </w:r>
          </w:p>
        </w:tc>
        <w:tc>
          <w:tcPr>
            <w:tcW w:w="6105"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jc w:val="both"/>
              <w:rPr>
                <w:rFonts w:ascii="Times New Roman" w:eastAsia="Times New Roman" w:hAnsi="Times New Roman"/>
                <w:color w:val="000000"/>
                <w:lang w:eastAsia="es-ES"/>
              </w:rPr>
            </w:pPr>
            <w:r w:rsidRPr="00CE3A40">
              <w:rPr>
                <w:rFonts w:ascii="Times New Roman" w:eastAsia="Times New Roman" w:hAnsi="Times New Roman"/>
                <w:color w:val="000000"/>
                <w:lang w:eastAsia="es-ES"/>
              </w:rPr>
              <w:t>Intervención de tramo de calle principal de Sauce;</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20,000.00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15</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intervención de final de cuarta calle poniente, del barrio las Mercedes</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125,793.84 </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16</w:t>
            </w:r>
          </w:p>
        </w:tc>
        <w:tc>
          <w:tcPr>
            <w:tcW w:w="6105"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Para convenios por la </w:t>
            </w:r>
            <w:proofErr w:type="spellStart"/>
            <w:r w:rsidRPr="00CE3A40">
              <w:rPr>
                <w:rFonts w:ascii="Times New Roman" w:eastAsia="Times New Roman" w:hAnsi="Times New Roman"/>
                <w:color w:val="000000"/>
                <w:lang w:eastAsia="es-ES"/>
              </w:rPr>
              <w:t>adescos</w:t>
            </w:r>
            <w:proofErr w:type="spellEnd"/>
            <w:r w:rsidRPr="00CE3A40">
              <w:rPr>
                <w:rFonts w:ascii="Times New Roman" w:eastAsia="Times New Roman" w:hAnsi="Times New Roman"/>
                <w:color w:val="000000"/>
                <w:lang w:eastAsia="es-ES"/>
              </w:rPr>
              <w:t xml:space="preserve"> u otras instituciones; </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50,000.00 </w:t>
            </w:r>
          </w:p>
        </w:tc>
      </w:tr>
      <w:tr w:rsidR="00C14A33" w:rsidRPr="00CE3A40" w:rsidTr="00F72181">
        <w:trPr>
          <w:trHeight w:val="252"/>
        </w:trPr>
        <w:tc>
          <w:tcPr>
            <w:tcW w:w="647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TOTAL INVERSION FODES 75%</w:t>
            </w:r>
          </w:p>
        </w:tc>
        <w:tc>
          <w:tcPr>
            <w:tcW w:w="2611"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1,787,482.84</w:t>
            </w:r>
          </w:p>
        </w:tc>
      </w:tr>
      <w:tr w:rsidR="00C14A33" w:rsidRPr="00CE3A40" w:rsidTr="00F72181">
        <w:trPr>
          <w:trHeight w:val="25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6105"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color w:val="000000"/>
                <w:lang w:eastAsia="es-ES"/>
              </w:rPr>
            </w:pPr>
            <w:r w:rsidRPr="00CE3A40">
              <w:rPr>
                <w:rFonts w:ascii="Times New Roman" w:eastAsia="Times New Roman" w:hAnsi="Times New Roman"/>
                <w:color w:val="000000"/>
                <w:lang w:eastAsia="es-ES"/>
              </w:rPr>
              <w:t>Diferencia</w:t>
            </w:r>
          </w:p>
        </w:tc>
        <w:tc>
          <w:tcPr>
            <w:tcW w:w="2611"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   </w:t>
            </w:r>
          </w:p>
        </w:tc>
      </w:tr>
    </w:tbl>
    <w:p w:rsidR="00C14A33" w:rsidRPr="00CE3A40" w:rsidRDefault="00C14A33" w:rsidP="00C14A33">
      <w:pPr>
        <w:jc w:val="both"/>
        <w:rPr>
          <w:rFonts w:ascii="Times New Roman" w:hAnsi="Times New Roman"/>
          <w:b/>
        </w:rPr>
      </w:pPr>
    </w:p>
    <w:tbl>
      <w:tblPr>
        <w:tblW w:w="8905" w:type="dxa"/>
        <w:tblInd w:w="55" w:type="dxa"/>
        <w:tblCellMar>
          <w:left w:w="70" w:type="dxa"/>
          <w:right w:w="70" w:type="dxa"/>
        </w:tblCellMar>
        <w:tblLook w:val="04A0"/>
      </w:tblPr>
      <w:tblGrid>
        <w:gridCol w:w="150"/>
        <w:gridCol w:w="410"/>
        <w:gridCol w:w="5383"/>
        <w:gridCol w:w="2962"/>
      </w:tblGrid>
      <w:tr w:rsidR="00C14A33" w:rsidRPr="000F2148" w:rsidTr="00F72181">
        <w:trPr>
          <w:trHeight w:val="243"/>
        </w:trPr>
        <w:tc>
          <w:tcPr>
            <w:tcW w:w="8905" w:type="dxa"/>
            <w:gridSpan w:val="4"/>
            <w:tcBorders>
              <w:top w:val="nil"/>
              <w:left w:val="nil"/>
              <w:bottom w:val="nil"/>
              <w:right w:val="nil"/>
            </w:tcBorders>
            <w:shd w:val="clear" w:color="auto" w:fill="auto"/>
            <w:noWrap/>
            <w:vAlign w:val="bottom"/>
            <w:hideMark/>
          </w:tcPr>
          <w:p w:rsidR="00C14A33" w:rsidRDefault="00C14A33" w:rsidP="00F72181">
            <w:pPr>
              <w:jc w:val="center"/>
              <w:rPr>
                <w:rFonts w:eastAsia="Times New Roman" w:cs="Calibri"/>
                <w:b/>
                <w:bCs/>
                <w:color w:val="000000"/>
                <w:sz w:val="24"/>
                <w:szCs w:val="24"/>
                <w:lang w:eastAsia="es-ES"/>
              </w:rPr>
            </w:pPr>
          </w:p>
          <w:p w:rsidR="00C14A33" w:rsidRPr="000F2148" w:rsidRDefault="00C14A33" w:rsidP="00F72181">
            <w:pPr>
              <w:jc w:val="center"/>
              <w:rPr>
                <w:rFonts w:eastAsia="Times New Roman" w:cs="Calibri"/>
                <w:b/>
                <w:bCs/>
                <w:color w:val="000000"/>
                <w:sz w:val="24"/>
                <w:szCs w:val="24"/>
                <w:lang w:eastAsia="es-ES"/>
              </w:rPr>
            </w:pPr>
            <w:r w:rsidRPr="000F2148">
              <w:rPr>
                <w:rFonts w:eastAsia="Times New Roman" w:cs="Calibri"/>
                <w:b/>
                <w:bCs/>
                <w:color w:val="000000"/>
                <w:sz w:val="24"/>
                <w:szCs w:val="24"/>
                <w:lang w:eastAsia="es-ES"/>
              </w:rPr>
              <w:t>DETALLE DE PROYECTOS A EJECUTAR DEL 2% DE INVERSION FODES PARA EL AÑO 2021</w:t>
            </w:r>
          </w:p>
        </w:tc>
      </w:tr>
      <w:tr w:rsidR="00C14A33" w:rsidRPr="000F2148" w:rsidTr="00F72181">
        <w:trPr>
          <w:trHeight w:val="243"/>
        </w:trPr>
        <w:tc>
          <w:tcPr>
            <w:tcW w:w="150" w:type="dxa"/>
            <w:tcBorders>
              <w:top w:val="nil"/>
              <w:left w:val="nil"/>
              <w:bottom w:val="nil"/>
              <w:right w:val="nil"/>
            </w:tcBorders>
            <w:shd w:val="clear" w:color="auto" w:fill="auto"/>
            <w:noWrap/>
            <w:vAlign w:val="bottom"/>
            <w:hideMark/>
          </w:tcPr>
          <w:p w:rsidR="00C14A33" w:rsidRPr="000F2148" w:rsidRDefault="00C14A33" w:rsidP="00F72181">
            <w:pPr>
              <w:jc w:val="center"/>
              <w:rPr>
                <w:rFonts w:eastAsia="Times New Roman" w:cs="Calibri"/>
                <w:color w:val="000000"/>
                <w:sz w:val="24"/>
                <w:szCs w:val="24"/>
                <w:lang w:eastAsia="es-ES"/>
              </w:rPr>
            </w:pPr>
          </w:p>
        </w:tc>
        <w:tc>
          <w:tcPr>
            <w:tcW w:w="410" w:type="dxa"/>
            <w:tcBorders>
              <w:top w:val="nil"/>
              <w:left w:val="nil"/>
              <w:bottom w:val="nil"/>
              <w:right w:val="nil"/>
            </w:tcBorders>
            <w:shd w:val="clear" w:color="auto" w:fill="auto"/>
            <w:noWrap/>
            <w:vAlign w:val="bottom"/>
            <w:hideMark/>
          </w:tcPr>
          <w:p w:rsidR="00C14A33" w:rsidRPr="000F2148" w:rsidRDefault="00C14A33" w:rsidP="00F72181">
            <w:pPr>
              <w:jc w:val="center"/>
              <w:rPr>
                <w:rFonts w:eastAsia="Times New Roman" w:cs="Calibri"/>
                <w:color w:val="000000"/>
                <w:sz w:val="24"/>
                <w:szCs w:val="24"/>
                <w:lang w:eastAsia="es-ES"/>
              </w:rPr>
            </w:pPr>
          </w:p>
        </w:tc>
        <w:tc>
          <w:tcPr>
            <w:tcW w:w="5383" w:type="dxa"/>
            <w:tcBorders>
              <w:top w:val="nil"/>
              <w:left w:val="nil"/>
              <w:bottom w:val="nil"/>
              <w:right w:val="nil"/>
            </w:tcBorders>
            <w:shd w:val="clear" w:color="auto" w:fill="auto"/>
            <w:vAlign w:val="bottom"/>
            <w:hideMark/>
          </w:tcPr>
          <w:p w:rsidR="00C14A33" w:rsidRPr="000F2148" w:rsidRDefault="00C14A33" w:rsidP="00F72181">
            <w:pPr>
              <w:jc w:val="center"/>
              <w:rPr>
                <w:rFonts w:eastAsia="Times New Roman" w:cs="Calibri"/>
                <w:color w:val="000000"/>
                <w:sz w:val="24"/>
                <w:szCs w:val="24"/>
                <w:lang w:eastAsia="es-ES"/>
              </w:rPr>
            </w:pPr>
          </w:p>
        </w:tc>
        <w:tc>
          <w:tcPr>
            <w:tcW w:w="2962" w:type="dxa"/>
            <w:tcBorders>
              <w:top w:val="nil"/>
              <w:left w:val="nil"/>
              <w:bottom w:val="nil"/>
              <w:right w:val="nil"/>
            </w:tcBorders>
            <w:shd w:val="clear" w:color="auto" w:fill="auto"/>
            <w:noWrap/>
            <w:vAlign w:val="bottom"/>
            <w:hideMark/>
          </w:tcPr>
          <w:p w:rsidR="00C14A33" w:rsidRPr="000F2148" w:rsidRDefault="00C14A33" w:rsidP="00F72181">
            <w:pPr>
              <w:jc w:val="center"/>
              <w:rPr>
                <w:rFonts w:eastAsia="Times New Roman" w:cs="Calibri"/>
                <w:color w:val="000000"/>
                <w:sz w:val="24"/>
                <w:szCs w:val="24"/>
                <w:lang w:eastAsia="es-ES"/>
              </w:rPr>
            </w:pPr>
          </w:p>
        </w:tc>
      </w:tr>
      <w:tr w:rsidR="00C14A33" w:rsidRPr="000F2148" w:rsidTr="00F72181">
        <w:trPr>
          <w:trHeight w:val="197"/>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5383" w:type="dxa"/>
            <w:tcBorders>
              <w:top w:val="nil"/>
              <w:left w:val="nil"/>
              <w:bottom w:val="nil"/>
              <w:right w:val="nil"/>
            </w:tcBorders>
            <w:shd w:val="clear" w:color="auto" w:fill="auto"/>
            <w:vAlign w:val="bottom"/>
            <w:hideMark/>
          </w:tcPr>
          <w:p w:rsidR="00C14A33" w:rsidRPr="000F2148" w:rsidRDefault="00C14A33" w:rsidP="00F72181">
            <w:pPr>
              <w:rPr>
                <w:rFonts w:eastAsia="Times New Roman" w:cs="Calibri"/>
                <w:color w:val="000000"/>
                <w:lang w:eastAsia="es-ES"/>
              </w:rPr>
            </w:pPr>
          </w:p>
        </w:tc>
        <w:tc>
          <w:tcPr>
            <w:tcW w:w="2962"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r w:rsidRPr="000F2148">
              <w:rPr>
                <w:rFonts w:eastAsia="Times New Roman" w:cs="Calibri"/>
                <w:color w:val="000000"/>
                <w:lang w:eastAsia="es-ES"/>
              </w:rPr>
              <w:t xml:space="preserve"> $           596,343.36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Nº</w:t>
            </w:r>
          </w:p>
        </w:tc>
        <w:tc>
          <w:tcPr>
            <w:tcW w:w="5383" w:type="dxa"/>
            <w:vMerge w:val="restart"/>
            <w:tcBorders>
              <w:top w:val="single" w:sz="4" w:space="0" w:color="auto"/>
              <w:left w:val="single" w:sz="4" w:space="0" w:color="auto"/>
              <w:bottom w:val="single" w:sz="4" w:space="0" w:color="000000"/>
              <w:right w:val="single" w:sz="4" w:space="0" w:color="auto"/>
            </w:tcBorders>
            <w:shd w:val="clear" w:color="000000" w:fill="D99795"/>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Nombre de Proyecto</w:t>
            </w:r>
          </w:p>
        </w:tc>
        <w:tc>
          <w:tcPr>
            <w:tcW w:w="2962"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Monto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vMerge/>
            <w:tcBorders>
              <w:top w:val="single" w:sz="4" w:space="0" w:color="auto"/>
              <w:left w:val="single" w:sz="4" w:space="0" w:color="auto"/>
              <w:bottom w:val="single" w:sz="4" w:space="0" w:color="000000"/>
              <w:right w:val="single" w:sz="4" w:space="0" w:color="auto"/>
            </w:tcBorders>
            <w:vAlign w:val="center"/>
            <w:hideMark/>
          </w:tcPr>
          <w:p w:rsidR="00C14A33" w:rsidRPr="00CE3A40" w:rsidRDefault="00C14A33" w:rsidP="00F72181">
            <w:pPr>
              <w:rPr>
                <w:rFonts w:ascii="Times New Roman" w:eastAsia="Times New Roman" w:hAnsi="Times New Roman"/>
                <w:b/>
                <w:bCs/>
                <w:color w:val="000000"/>
                <w:lang w:eastAsia="es-ES"/>
              </w:rPr>
            </w:pPr>
          </w:p>
        </w:tc>
        <w:tc>
          <w:tcPr>
            <w:tcW w:w="5383" w:type="dxa"/>
            <w:vMerge/>
            <w:tcBorders>
              <w:top w:val="single" w:sz="4" w:space="0" w:color="auto"/>
              <w:left w:val="single" w:sz="4" w:space="0" w:color="auto"/>
              <w:bottom w:val="single" w:sz="4" w:space="0" w:color="000000"/>
              <w:right w:val="single" w:sz="4" w:space="0" w:color="auto"/>
            </w:tcBorders>
            <w:vAlign w:val="center"/>
            <w:hideMark/>
          </w:tcPr>
          <w:p w:rsidR="00C14A33" w:rsidRPr="00CE3A40" w:rsidRDefault="00C14A33" w:rsidP="00F72181">
            <w:pPr>
              <w:rPr>
                <w:rFonts w:ascii="Times New Roman" w:eastAsia="Times New Roman" w:hAnsi="Times New Roman"/>
                <w:b/>
                <w:bCs/>
                <w:color w:val="000000"/>
                <w:lang w:eastAsia="es-ES"/>
              </w:rPr>
            </w:pPr>
          </w:p>
        </w:tc>
        <w:tc>
          <w:tcPr>
            <w:tcW w:w="2962" w:type="dxa"/>
            <w:vMerge/>
            <w:tcBorders>
              <w:top w:val="single" w:sz="4" w:space="0" w:color="auto"/>
              <w:left w:val="single" w:sz="4" w:space="0" w:color="auto"/>
              <w:bottom w:val="single" w:sz="4" w:space="0" w:color="000000"/>
              <w:right w:val="single" w:sz="4" w:space="0" w:color="auto"/>
            </w:tcBorders>
            <w:vAlign w:val="center"/>
            <w:hideMark/>
          </w:tcPr>
          <w:p w:rsidR="00C14A33" w:rsidRPr="00CE3A40" w:rsidRDefault="00C14A33" w:rsidP="00F72181">
            <w:pPr>
              <w:rPr>
                <w:rFonts w:ascii="Times New Roman" w:eastAsia="Times New Roman" w:hAnsi="Times New Roman"/>
                <w:b/>
                <w:bCs/>
                <w:color w:val="000000"/>
                <w:lang w:eastAsia="es-ES"/>
              </w:rPr>
            </w:pPr>
          </w:p>
        </w:tc>
      </w:tr>
      <w:tr w:rsidR="00C14A33" w:rsidRPr="000F2148" w:rsidTr="00F72181">
        <w:trPr>
          <w:trHeight w:val="336"/>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Apoyo al Deporte de en el municipio de </w:t>
            </w:r>
            <w:proofErr w:type="spellStart"/>
            <w:r w:rsidRPr="00CE3A40">
              <w:rPr>
                <w:rFonts w:ascii="Times New Roman" w:eastAsia="Times New Roman" w:hAnsi="Times New Roman"/>
                <w:color w:val="000000"/>
                <w:lang w:eastAsia="es-ES"/>
              </w:rPr>
              <w:t>Tonacatepeque</w:t>
            </w:r>
            <w:proofErr w:type="spellEnd"/>
            <w:r w:rsidRPr="00CE3A40">
              <w:rPr>
                <w:rFonts w:ascii="Times New Roman" w:eastAsia="Times New Roman" w:hAnsi="Times New Roman"/>
                <w:color w:val="000000"/>
                <w:lang w:eastAsia="es-ES"/>
              </w:rPr>
              <w:t xml:space="preserve">; </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34,000.00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2</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Apoyo a la unidad de la Mujer</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10,000.00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3</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apoyo a la unidad de atención a las personas con discapacidad</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8,000.00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4</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Trabajos Preventivos de Mantenimiento de la UDU</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5</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intervención de tramo de calle principal del cantón la fuente, contiguo a la cancha</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40,000.00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6</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Compra de terreno para casa comunal de Cantón las Flores</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30,000.00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7</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Mantenimiento de caminos vecinales de municipio</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25,000.00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8</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Convenio o proyecto de calle principal del cantón el rosario</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75,000.00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9</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Convenio o proyecto de calle principal del </w:t>
            </w:r>
            <w:proofErr w:type="spellStart"/>
            <w:r w:rsidRPr="00CE3A40">
              <w:rPr>
                <w:rFonts w:ascii="Times New Roman" w:eastAsia="Times New Roman" w:hAnsi="Times New Roman"/>
                <w:color w:val="000000"/>
                <w:lang w:eastAsia="es-ES"/>
              </w:rPr>
              <w:t>cantónTránsito</w:t>
            </w:r>
            <w:proofErr w:type="spellEnd"/>
            <w:r w:rsidRPr="00CE3A40">
              <w:rPr>
                <w:rFonts w:ascii="Times New Roman" w:eastAsia="Times New Roman" w:hAnsi="Times New Roman"/>
                <w:color w:val="000000"/>
                <w:lang w:eastAsia="es-ES"/>
              </w:rPr>
              <w:t xml:space="preserve"> dos</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75,000.00 </w:t>
            </w:r>
          </w:p>
        </w:tc>
      </w:tr>
      <w:tr w:rsidR="00C14A33" w:rsidRPr="000F2148" w:rsidTr="00F72181">
        <w:trPr>
          <w:trHeight w:val="266"/>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10</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Mejoramiento de proyecto de canchas de san José las Flores</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50,000.00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11</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Construcción de parque de la comunidad diez de Octubre</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25,000.00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12</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Intervención de cárcava de la comunidad santa Teresa de Las Flores</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50,000.00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13</w:t>
            </w:r>
          </w:p>
        </w:tc>
        <w:tc>
          <w:tcPr>
            <w:tcW w:w="5383" w:type="dxa"/>
            <w:tcBorders>
              <w:top w:val="nil"/>
              <w:left w:val="nil"/>
              <w:bottom w:val="nil"/>
              <w:right w:val="nil"/>
            </w:tcBorders>
            <w:shd w:val="clear" w:color="000000" w:fill="FFFFFF"/>
            <w:vAlign w:val="bottom"/>
            <w:hideMark/>
          </w:tcPr>
          <w:p w:rsidR="00C14A33" w:rsidRPr="00CE3A40" w:rsidRDefault="00C14A33" w:rsidP="00F72181">
            <w:pPr>
              <w:jc w:val="both"/>
              <w:rPr>
                <w:rFonts w:ascii="Times New Roman" w:eastAsia="Times New Roman" w:hAnsi="Times New Roman"/>
                <w:color w:val="000000"/>
                <w:lang w:eastAsia="es-ES"/>
              </w:rPr>
            </w:pPr>
            <w:r w:rsidRPr="00CE3A40">
              <w:rPr>
                <w:rFonts w:ascii="Times New Roman" w:eastAsia="Times New Roman" w:hAnsi="Times New Roman"/>
                <w:color w:val="000000"/>
                <w:lang w:eastAsia="es-ES"/>
              </w:rPr>
              <w:t>intervención de calle de altos de Las Flores</w:t>
            </w:r>
          </w:p>
        </w:tc>
        <w:tc>
          <w:tcPr>
            <w:tcW w:w="2962"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10,000.00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14</w:t>
            </w:r>
          </w:p>
        </w:tc>
        <w:tc>
          <w:tcPr>
            <w:tcW w:w="5383" w:type="dxa"/>
            <w:tcBorders>
              <w:top w:val="single" w:sz="4" w:space="0" w:color="auto"/>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intervención de calles internas del Distrito Italia</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75,000.00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15</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intervención del Complejo Deportivo de </w:t>
            </w:r>
            <w:proofErr w:type="spellStart"/>
            <w:r w:rsidRPr="00CE3A40">
              <w:rPr>
                <w:rFonts w:ascii="Times New Roman" w:eastAsia="Times New Roman" w:hAnsi="Times New Roman"/>
                <w:color w:val="000000"/>
                <w:lang w:eastAsia="es-ES"/>
              </w:rPr>
              <w:t>Tonacatepeque</w:t>
            </w:r>
            <w:proofErr w:type="spellEnd"/>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 $             69,343.36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57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TOTAL INVERSION FODES 2%</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596,343.36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000000" w:fill="FFFFFF"/>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5383" w:type="dxa"/>
            <w:tcBorders>
              <w:top w:val="nil"/>
              <w:left w:val="nil"/>
              <w:bottom w:val="single" w:sz="4" w:space="0" w:color="auto"/>
              <w:right w:val="single" w:sz="4" w:space="0" w:color="auto"/>
            </w:tcBorders>
            <w:shd w:val="clear" w:color="000000" w:fill="FFFFFF"/>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2962" w:type="dxa"/>
            <w:tcBorders>
              <w:top w:val="nil"/>
              <w:left w:val="nil"/>
              <w:bottom w:val="single" w:sz="4" w:space="0" w:color="auto"/>
              <w:right w:val="single" w:sz="4" w:space="0" w:color="auto"/>
            </w:tcBorders>
            <w:shd w:val="clear" w:color="000000" w:fill="FFFFFF"/>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   </w:t>
            </w:r>
          </w:p>
        </w:tc>
      </w:tr>
      <w:tr w:rsidR="00C14A33" w:rsidRPr="000F2148" w:rsidTr="00F72181">
        <w:trPr>
          <w:trHeight w:val="232"/>
        </w:trPr>
        <w:tc>
          <w:tcPr>
            <w:tcW w:w="150" w:type="dxa"/>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5383" w:type="dxa"/>
            <w:tcBorders>
              <w:top w:val="nil"/>
              <w:left w:val="nil"/>
              <w:bottom w:val="single" w:sz="4" w:space="0" w:color="auto"/>
              <w:right w:val="single" w:sz="4" w:space="0" w:color="auto"/>
            </w:tcBorders>
            <w:shd w:val="clear" w:color="auto" w:fill="auto"/>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ESTOS PROYECTOS SE HARAN POR CONTRATO O ADMINISTRACION</w:t>
            </w:r>
          </w:p>
        </w:tc>
        <w:tc>
          <w:tcPr>
            <w:tcW w:w="2962"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r>
    </w:tbl>
    <w:p w:rsidR="00C14A33" w:rsidRDefault="00C14A33" w:rsidP="00C14A33"/>
    <w:tbl>
      <w:tblPr>
        <w:tblW w:w="8789" w:type="dxa"/>
        <w:tblInd w:w="70" w:type="dxa"/>
        <w:tblCellMar>
          <w:left w:w="70" w:type="dxa"/>
          <w:right w:w="70" w:type="dxa"/>
        </w:tblCellMar>
        <w:tblLook w:val="04A0"/>
      </w:tblPr>
      <w:tblGrid>
        <w:gridCol w:w="1208"/>
        <w:gridCol w:w="1812"/>
        <w:gridCol w:w="1359"/>
        <w:gridCol w:w="2764"/>
        <w:gridCol w:w="2218"/>
      </w:tblGrid>
      <w:tr w:rsidR="00C14A33" w:rsidRPr="000F2148" w:rsidTr="00F72181">
        <w:trPr>
          <w:trHeight w:val="420"/>
        </w:trPr>
        <w:tc>
          <w:tcPr>
            <w:tcW w:w="8789" w:type="dxa"/>
            <w:gridSpan w:val="5"/>
            <w:tcBorders>
              <w:top w:val="nil"/>
              <w:left w:val="nil"/>
              <w:bottom w:val="nil"/>
              <w:right w:val="nil"/>
            </w:tcBorders>
            <w:shd w:val="clear" w:color="auto" w:fill="auto"/>
            <w:noWrap/>
            <w:vAlign w:val="bottom"/>
            <w:hideMark/>
          </w:tcPr>
          <w:p w:rsidR="00C14A33" w:rsidRPr="000F2148" w:rsidRDefault="00C14A33" w:rsidP="00F72181">
            <w:pPr>
              <w:rPr>
                <w:rFonts w:eastAsia="Times New Roman" w:cs="Calibri"/>
                <w:color w:val="000000"/>
                <w:lang w:eastAsia="es-ES"/>
              </w:rPr>
            </w:pPr>
          </w:p>
          <w:tbl>
            <w:tblPr>
              <w:tblW w:w="0" w:type="auto"/>
              <w:tblCellSpacing w:w="0" w:type="dxa"/>
              <w:tblCellMar>
                <w:left w:w="0" w:type="dxa"/>
                <w:right w:w="0" w:type="dxa"/>
              </w:tblCellMar>
              <w:tblLook w:val="04A0"/>
            </w:tblPr>
            <w:tblGrid>
              <w:gridCol w:w="9220"/>
            </w:tblGrid>
            <w:tr w:rsidR="00C14A33" w:rsidRPr="000F2148" w:rsidTr="00F72181">
              <w:trPr>
                <w:trHeight w:val="420"/>
                <w:tblCellSpacing w:w="0" w:type="dxa"/>
              </w:trPr>
              <w:tc>
                <w:tcPr>
                  <w:tcW w:w="9220" w:type="dxa"/>
                  <w:tcBorders>
                    <w:top w:val="nil"/>
                    <w:left w:val="nil"/>
                    <w:bottom w:val="nil"/>
                    <w:right w:val="nil"/>
                  </w:tcBorders>
                  <w:shd w:val="clear" w:color="auto" w:fill="auto"/>
                  <w:noWrap/>
                  <w:vAlign w:val="bottom"/>
                  <w:hideMark/>
                </w:tcPr>
                <w:p w:rsidR="00C14A33" w:rsidRPr="000F2148" w:rsidRDefault="00C14A33" w:rsidP="00F72181">
                  <w:pPr>
                    <w:jc w:val="center"/>
                    <w:rPr>
                      <w:rFonts w:ascii="Andalus" w:eastAsia="Times New Roman" w:hAnsi="Andalus" w:cs="Calibri"/>
                      <w:b/>
                      <w:bCs/>
                      <w:color w:val="000000"/>
                      <w:sz w:val="32"/>
                      <w:szCs w:val="32"/>
                      <w:lang w:eastAsia="es-ES"/>
                    </w:rPr>
                  </w:pPr>
                  <w:r w:rsidRPr="000F2148">
                    <w:rPr>
                      <w:rFonts w:ascii="Andalus" w:eastAsia="Times New Roman" w:hAnsi="Andalus" w:cs="Calibri"/>
                      <w:b/>
                      <w:bCs/>
                      <w:color w:val="000000"/>
                      <w:sz w:val="32"/>
                      <w:szCs w:val="32"/>
                      <w:lang w:eastAsia="es-ES"/>
                    </w:rPr>
                    <w:t>PROYECCION DEL PRESUPUESTO 25% FODES AÑO 2021</w:t>
                  </w:r>
                </w:p>
              </w:tc>
            </w:tr>
          </w:tbl>
          <w:p w:rsidR="00C14A33" w:rsidRPr="000F2148" w:rsidRDefault="00C14A33" w:rsidP="00F72181">
            <w:pPr>
              <w:rPr>
                <w:rFonts w:eastAsia="Times New Roman" w:cs="Calibri"/>
                <w:color w:val="000000"/>
                <w:lang w:eastAsia="es-ES"/>
              </w:rPr>
            </w:pPr>
          </w:p>
        </w:tc>
      </w:tr>
      <w:tr w:rsidR="00C14A33" w:rsidRPr="000F2148" w:rsidTr="00F72181">
        <w:trPr>
          <w:trHeight w:val="435"/>
        </w:trPr>
        <w:tc>
          <w:tcPr>
            <w:tcW w:w="2835" w:type="dxa"/>
            <w:gridSpan w:val="2"/>
            <w:tcBorders>
              <w:top w:val="single" w:sz="8" w:space="0" w:color="auto"/>
              <w:left w:val="single" w:sz="8" w:space="0" w:color="auto"/>
              <w:bottom w:val="single" w:sz="8" w:space="0" w:color="auto"/>
              <w:right w:val="single" w:sz="4" w:space="0" w:color="auto"/>
            </w:tcBorders>
            <w:shd w:val="clear" w:color="000000" w:fill="D7E4BC"/>
            <w:noWrap/>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INGRESOS</w:t>
            </w:r>
          </w:p>
        </w:tc>
        <w:tc>
          <w:tcPr>
            <w:tcW w:w="5954" w:type="dxa"/>
            <w:gridSpan w:val="3"/>
            <w:tcBorders>
              <w:top w:val="single" w:sz="8" w:space="0" w:color="auto"/>
              <w:left w:val="nil"/>
              <w:bottom w:val="single" w:sz="8" w:space="0" w:color="auto"/>
              <w:right w:val="single" w:sz="8" w:space="0" w:color="000000"/>
            </w:tcBorders>
            <w:shd w:val="clear" w:color="000000" w:fill="D7E4BC"/>
            <w:noWrap/>
            <w:vAlign w:val="bottom"/>
            <w:hideMark/>
          </w:tcPr>
          <w:p w:rsidR="00C14A33" w:rsidRPr="00CE3A40" w:rsidRDefault="00C14A33" w:rsidP="00F72181">
            <w:pPr>
              <w:jc w:val="cente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EGRESOS</w:t>
            </w:r>
          </w:p>
        </w:tc>
      </w:tr>
      <w:tr w:rsidR="00C14A33" w:rsidRPr="000F2148" w:rsidTr="00F72181">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xml:space="preserve">25% </w:t>
            </w:r>
            <w:proofErr w:type="spellStart"/>
            <w:r w:rsidRPr="00CE3A40">
              <w:rPr>
                <w:rFonts w:ascii="Times New Roman" w:eastAsia="Times New Roman" w:hAnsi="Times New Roman"/>
                <w:color w:val="000000"/>
                <w:lang w:eastAsia="es-ES"/>
              </w:rPr>
              <w:t>Fodes</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596,343.47 </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51103</w:t>
            </w:r>
          </w:p>
        </w:tc>
        <w:tc>
          <w:tcPr>
            <w:tcW w:w="2595"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Aguinaldos</w:t>
            </w:r>
          </w:p>
        </w:tc>
        <w:tc>
          <w:tcPr>
            <w:tcW w:w="2083" w:type="dxa"/>
            <w:tcBorders>
              <w:top w:val="nil"/>
              <w:left w:val="nil"/>
              <w:bottom w:val="single" w:sz="4" w:space="0" w:color="auto"/>
              <w:right w:val="single" w:sz="8" w:space="0" w:color="auto"/>
            </w:tcBorders>
            <w:shd w:val="clear" w:color="000000" w:fill="FFFFFF"/>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83,090.00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51201</w:t>
            </w:r>
          </w:p>
        </w:tc>
        <w:tc>
          <w:tcPr>
            <w:tcW w:w="2595"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Sueldos concejo</w:t>
            </w:r>
          </w:p>
        </w:tc>
        <w:tc>
          <w:tcPr>
            <w:tcW w:w="2083" w:type="dxa"/>
            <w:tcBorders>
              <w:top w:val="nil"/>
              <w:left w:val="nil"/>
              <w:bottom w:val="single" w:sz="4" w:space="0" w:color="auto"/>
              <w:right w:val="single" w:sz="8" w:space="0" w:color="auto"/>
            </w:tcBorders>
            <w:shd w:val="clear" w:color="000000" w:fill="FFFFFF"/>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156,000.00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51402</w:t>
            </w:r>
          </w:p>
        </w:tc>
        <w:tc>
          <w:tcPr>
            <w:tcW w:w="2595"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ISSS,ISAFORP,INPEP</w:t>
            </w:r>
          </w:p>
        </w:tc>
        <w:tc>
          <w:tcPr>
            <w:tcW w:w="2083" w:type="dxa"/>
            <w:tcBorders>
              <w:top w:val="nil"/>
              <w:left w:val="nil"/>
              <w:bottom w:val="single" w:sz="4" w:space="0" w:color="auto"/>
              <w:right w:val="single" w:sz="8" w:space="0" w:color="auto"/>
            </w:tcBorders>
            <w:shd w:val="clear" w:color="000000" w:fill="FFFFFF"/>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10,080.00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51502</w:t>
            </w:r>
          </w:p>
        </w:tc>
        <w:tc>
          <w:tcPr>
            <w:tcW w:w="2595"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AFPs</w:t>
            </w:r>
            <w:proofErr w:type="spellEnd"/>
          </w:p>
        </w:tc>
        <w:tc>
          <w:tcPr>
            <w:tcW w:w="2083" w:type="dxa"/>
            <w:tcBorders>
              <w:top w:val="nil"/>
              <w:left w:val="nil"/>
              <w:bottom w:val="single" w:sz="4" w:space="0" w:color="auto"/>
              <w:right w:val="single" w:sz="8" w:space="0" w:color="auto"/>
            </w:tcBorders>
            <w:shd w:val="clear" w:color="000000" w:fill="FFFFFF"/>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6,510.00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51903</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Prestaciones Sociales al Personal</w:t>
            </w:r>
          </w:p>
        </w:tc>
        <w:tc>
          <w:tcPr>
            <w:tcW w:w="2083" w:type="dxa"/>
            <w:tcBorders>
              <w:top w:val="nil"/>
              <w:left w:val="single" w:sz="8" w:space="0" w:color="auto"/>
              <w:bottom w:val="single" w:sz="4" w:space="0" w:color="auto"/>
              <w:right w:val="single" w:sz="8" w:space="0" w:color="auto"/>
            </w:tcBorders>
            <w:shd w:val="clear" w:color="000000" w:fill="FFFFFF"/>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42,491.74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54104</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Productos Textiles y Vestuarios </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54105</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Productos de Papel y Cartón</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4,000.00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54109</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Llantas y </w:t>
            </w:r>
            <w:proofErr w:type="spellStart"/>
            <w:r w:rsidRPr="00CE3A40">
              <w:rPr>
                <w:rFonts w:ascii="Times New Roman" w:eastAsia="Times New Roman" w:hAnsi="Times New Roman"/>
                <w:lang w:eastAsia="es-ES"/>
              </w:rPr>
              <w:t>Neumaticos</w:t>
            </w:r>
            <w:proofErr w:type="spellEnd"/>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6,000.00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54110</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Combustibles y Lubricantes</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10,000.00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54114</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Materiales de Oficina</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10,000.00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54118</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Herramientas y repuestos</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54199</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Bienes de Uso y Consumo Diversos </w:t>
            </w:r>
          </w:p>
        </w:tc>
        <w:tc>
          <w:tcPr>
            <w:tcW w:w="2083"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16,471.73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54201</w:t>
            </w:r>
          </w:p>
        </w:tc>
        <w:tc>
          <w:tcPr>
            <w:tcW w:w="2595"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 xml:space="preserve">Servicios de </w:t>
            </w:r>
            <w:proofErr w:type="spellStart"/>
            <w:r w:rsidRPr="00CE3A40">
              <w:rPr>
                <w:rFonts w:ascii="Times New Roman" w:eastAsia="Times New Roman" w:hAnsi="Times New Roman"/>
                <w:lang w:eastAsia="es-ES"/>
              </w:rPr>
              <w:t>EnergiaElectrica</w:t>
            </w:r>
            <w:proofErr w:type="spellEnd"/>
          </w:p>
        </w:tc>
        <w:tc>
          <w:tcPr>
            <w:tcW w:w="2083"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75,000.00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54202</w:t>
            </w:r>
          </w:p>
        </w:tc>
        <w:tc>
          <w:tcPr>
            <w:tcW w:w="2595"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de Agua</w:t>
            </w:r>
          </w:p>
        </w:tc>
        <w:tc>
          <w:tcPr>
            <w:tcW w:w="2083" w:type="dxa"/>
            <w:tcBorders>
              <w:top w:val="nil"/>
              <w:left w:val="nil"/>
              <w:bottom w:val="single" w:sz="4" w:space="0" w:color="auto"/>
              <w:right w:val="single" w:sz="8"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35,000.00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54203</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Servicios de Telecomunicaciones</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45,000.00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54301</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Mtto</w:t>
            </w:r>
            <w:proofErr w:type="spellEnd"/>
            <w:r w:rsidRPr="00CE3A40">
              <w:rPr>
                <w:rFonts w:ascii="Times New Roman" w:eastAsia="Times New Roman" w:hAnsi="Times New Roman"/>
                <w:lang w:eastAsia="es-ES"/>
              </w:rPr>
              <w:t>. Y Rep. De Bienes Muebles</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7,000.00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54302</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proofErr w:type="spellStart"/>
            <w:r w:rsidRPr="00CE3A40">
              <w:rPr>
                <w:rFonts w:ascii="Times New Roman" w:eastAsia="Times New Roman" w:hAnsi="Times New Roman"/>
                <w:lang w:eastAsia="es-ES"/>
              </w:rPr>
              <w:t>Mtto</w:t>
            </w:r>
            <w:proofErr w:type="spellEnd"/>
            <w:r w:rsidRPr="00CE3A40">
              <w:rPr>
                <w:rFonts w:ascii="Times New Roman" w:eastAsia="Times New Roman" w:hAnsi="Times New Roman"/>
                <w:lang w:eastAsia="es-ES"/>
              </w:rPr>
              <w:t xml:space="preserve">. Y </w:t>
            </w:r>
            <w:proofErr w:type="spellStart"/>
            <w:r w:rsidRPr="00CE3A40">
              <w:rPr>
                <w:rFonts w:ascii="Times New Roman" w:eastAsia="Times New Roman" w:hAnsi="Times New Roman"/>
                <w:lang w:eastAsia="es-ES"/>
              </w:rPr>
              <w:t>Rep.devehiculos</w:t>
            </w:r>
            <w:proofErr w:type="spellEnd"/>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54304</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Transporte, Flete y Almacenamiento</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54316</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Arrendamiento de Bienes Muebles</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10,000.00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54401</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Pasajes a Notificadores</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3,000.00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54121</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Compra de especies Municipales</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15,000.00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55603</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Comisiones y gastos bancarios</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500.00 </w:t>
            </w:r>
          </w:p>
        </w:tc>
      </w:tr>
      <w:tr w:rsidR="00C14A33" w:rsidRPr="000F2148" w:rsidTr="00F72181">
        <w:trPr>
          <w:trHeight w:val="31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56201</w:t>
            </w:r>
          </w:p>
        </w:tc>
        <w:tc>
          <w:tcPr>
            <w:tcW w:w="2595" w:type="dxa"/>
            <w:tcBorders>
              <w:top w:val="nil"/>
              <w:left w:val="nil"/>
              <w:bottom w:val="single" w:sz="4" w:space="0" w:color="auto"/>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Transferencias c. al set.pub.(</w:t>
            </w:r>
            <w:proofErr w:type="spellStart"/>
            <w:r w:rsidRPr="00CE3A40">
              <w:rPr>
                <w:rFonts w:ascii="Times New Roman" w:eastAsia="Times New Roman" w:hAnsi="Times New Roman"/>
                <w:lang w:eastAsia="es-ES"/>
              </w:rPr>
              <w:t>comures</w:t>
            </w:r>
            <w:proofErr w:type="spellEnd"/>
            <w:r w:rsidRPr="00CE3A40">
              <w:rPr>
                <w:rFonts w:ascii="Times New Roman" w:eastAsia="Times New Roman" w:hAnsi="Times New Roman"/>
                <w:lang w:eastAsia="es-ES"/>
              </w:rPr>
              <w:t>)</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1,200.00 </w:t>
            </w:r>
          </w:p>
        </w:tc>
      </w:tr>
      <w:tr w:rsidR="00C14A33" w:rsidRPr="000F2148" w:rsidTr="00F72181">
        <w:trPr>
          <w:trHeight w:val="330"/>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nil"/>
              <w:left w:val="single" w:sz="8" w:space="0" w:color="auto"/>
              <w:bottom w:val="nil"/>
              <w:right w:val="single" w:sz="8" w:space="0" w:color="auto"/>
            </w:tcBorders>
            <w:shd w:val="clear" w:color="auto" w:fill="auto"/>
            <w:vAlign w:val="center"/>
            <w:hideMark/>
          </w:tcPr>
          <w:p w:rsidR="00C14A33" w:rsidRPr="00CE3A40" w:rsidRDefault="00C14A33" w:rsidP="00F72181">
            <w:pPr>
              <w:jc w:val="center"/>
              <w:rPr>
                <w:rFonts w:ascii="Times New Roman" w:eastAsia="Times New Roman" w:hAnsi="Times New Roman"/>
                <w:lang w:eastAsia="es-ES"/>
              </w:rPr>
            </w:pPr>
            <w:r w:rsidRPr="00CE3A40">
              <w:rPr>
                <w:rFonts w:ascii="Times New Roman" w:eastAsia="Times New Roman" w:hAnsi="Times New Roman"/>
                <w:lang w:eastAsia="es-ES"/>
              </w:rPr>
              <w:t>61108</w:t>
            </w:r>
          </w:p>
        </w:tc>
        <w:tc>
          <w:tcPr>
            <w:tcW w:w="2595"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lang w:eastAsia="es-ES"/>
              </w:rPr>
            </w:pPr>
            <w:r w:rsidRPr="00CE3A40">
              <w:rPr>
                <w:rFonts w:ascii="Times New Roman" w:eastAsia="Times New Roman" w:hAnsi="Times New Roman"/>
                <w:lang w:eastAsia="es-ES"/>
              </w:rPr>
              <w:t>Herramientas y Repuestos Principales</w:t>
            </w:r>
          </w:p>
        </w:tc>
        <w:tc>
          <w:tcPr>
            <w:tcW w:w="2083" w:type="dxa"/>
            <w:tcBorders>
              <w:top w:val="nil"/>
              <w:left w:val="single" w:sz="4" w:space="0" w:color="auto"/>
              <w:bottom w:val="nil"/>
              <w:right w:val="single" w:sz="4" w:space="0" w:color="auto"/>
            </w:tcBorders>
            <w:shd w:val="clear" w:color="auto" w:fill="auto"/>
            <w:noWrap/>
            <w:vAlign w:val="bottom"/>
            <w:hideMark/>
          </w:tcPr>
          <w:p w:rsidR="00C14A33" w:rsidRPr="00CE3A40" w:rsidRDefault="00C14A33" w:rsidP="00F72181">
            <w:pPr>
              <w:jc w:val="right"/>
              <w:rPr>
                <w:rFonts w:ascii="Times New Roman" w:eastAsia="Times New Roman" w:hAnsi="Times New Roman"/>
                <w:lang w:eastAsia="es-ES"/>
              </w:rPr>
            </w:pPr>
            <w:r w:rsidRPr="00CE3A40">
              <w:rPr>
                <w:rFonts w:ascii="Times New Roman" w:eastAsia="Times New Roman" w:hAnsi="Times New Roman"/>
                <w:lang w:eastAsia="es-ES"/>
              </w:rPr>
              <w:t xml:space="preserve"> $         10,000.00 </w:t>
            </w:r>
          </w:p>
        </w:tc>
      </w:tr>
      <w:tr w:rsidR="00C14A33" w:rsidRPr="000F2148" w:rsidTr="00F72181">
        <w:trPr>
          <w:trHeight w:val="375"/>
        </w:trPr>
        <w:tc>
          <w:tcPr>
            <w:tcW w:w="1134"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701" w:type="dxa"/>
            <w:tcBorders>
              <w:top w:val="nil"/>
              <w:left w:val="nil"/>
              <w:bottom w:val="nil"/>
              <w:right w:val="nil"/>
            </w:tcBorders>
            <w:shd w:val="clear" w:color="auto" w:fill="auto"/>
            <w:noWrap/>
            <w:vAlign w:val="bottom"/>
            <w:hideMark/>
          </w:tcPr>
          <w:p w:rsidR="00C14A33" w:rsidRPr="00CE3A40" w:rsidRDefault="00C14A33" w:rsidP="00F72181">
            <w:pPr>
              <w:rPr>
                <w:rFonts w:ascii="Times New Roman" w:eastAsia="Times New Roman" w:hAnsi="Times New Roman"/>
                <w:color w:val="000000"/>
                <w:lang w:eastAsia="es-ES"/>
              </w:rPr>
            </w:pPr>
          </w:p>
        </w:tc>
        <w:tc>
          <w:tcPr>
            <w:tcW w:w="1276" w:type="dxa"/>
            <w:tcBorders>
              <w:top w:val="single" w:sz="8" w:space="0" w:color="auto"/>
              <w:left w:val="single" w:sz="8" w:space="0" w:color="auto"/>
              <w:bottom w:val="single" w:sz="8" w:space="0" w:color="auto"/>
              <w:right w:val="single" w:sz="4" w:space="0" w:color="auto"/>
            </w:tcBorders>
            <w:shd w:val="clear" w:color="000000" w:fill="D7E4BC"/>
            <w:noWrap/>
            <w:vAlign w:val="bottom"/>
            <w:hideMark/>
          </w:tcPr>
          <w:p w:rsidR="00C14A33" w:rsidRPr="00CE3A40" w:rsidRDefault="00C14A33" w:rsidP="00F72181">
            <w:pPr>
              <w:rPr>
                <w:rFonts w:ascii="Times New Roman" w:eastAsia="Times New Roman" w:hAnsi="Times New Roman"/>
                <w:color w:val="000000"/>
                <w:lang w:eastAsia="es-ES"/>
              </w:rPr>
            </w:pPr>
            <w:r w:rsidRPr="00CE3A40">
              <w:rPr>
                <w:rFonts w:ascii="Times New Roman" w:eastAsia="Times New Roman" w:hAnsi="Times New Roman"/>
                <w:color w:val="000000"/>
                <w:lang w:eastAsia="es-ES"/>
              </w:rPr>
              <w:t> </w:t>
            </w:r>
          </w:p>
        </w:tc>
        <w:tc>
          <w:tcPr>
            <w:tcW w:w="2595" w:type="dxa"/>
            <w:tcBorders>
              <w:top w:val="single" w:sz="8" w:space="0" w:color="auto"/>
              <w:left w:val="nil"/>
              <w:bottom w:val="single" w:sz="8" w:space="0" w:color="auto"/>
              <w:right w:val="single" w:sz="4" w:space="0" w:color="auto"/>
            </w:tcBorders>
            <w:shd w:val="clear" w:color="000000" w:fill="D7E4BC"/>
            <w:noWrap/>
            <w:vAlign w:val="bottom"/>
            <w:hideMark/>
          </w:tcPr>
          <w:p w:rsidR="00C14A33" w:rsidRPr="00CE3A40" w:rsidRDefault="00C14A33" w:rsidP="00F72181">
            <w:pPr>
              <w:rPr>
                <w:rFonts w:ascii="Times New Roman" w:eastAsia="Times New Roman" w:hAnsi="Times New Roman"/>
                <w:b/>
                <w:bCs/>
                <w:lang w:eastAsia="es-ES"/>
              </w:rPr>
            </w:pPr>
            <w:r w:rsidRPr="00CE3A40">
              <w:rPr>
                <w:rFonts w:ascii="Times New Roman" w:eastAsia="Times New Roman" w:hAnsi="Times New Roman"/>
                <w:b/>
                <w:bCs/>
                <w:lang w:eastAsia="es-ES"/>
              </w:rPr>
              <w:t>Total egresos</w:t>
            </w:r>
          </w:p>
        </w:tc>
        <w:tc>
          <w:tcPr>
            <w:tcW w:w="2083" w:type="dxa"/>
            <w:tcBorders>
              <w:top w:val="single" w:sz="8" w:space="0" w:color="auto"/>
              <w:left w:val="nil"/>
              <w:bottom w:val="single" w:sz="8" w:space="0" w:color="auto"/>
              <w:right w:val="single" w:sz="8" w:space="0" w:color="auto"/>
            </w:tcBorders>
            <w:shd w:val="clear" w:color="000000" w:fill="D7E4BC"/>
            <w:noWrap/>
            <w:vAlign w:val="bottom"/>
            <w:hideMark/>
          </w:tcPr>
          <w:p w:rsidR="00C14A33" w:rsidRPr="00CE3A40" w:rsidRDefault="00C14A33" w:rsidP="00F72181">
            <w:pPr>
              <w:rPr>
                <w:rFonts w:ascii="Times New Roman" w:eastAsia="Times New Roman" w:hAnsi="Times New Roman"/>
                <w:b/>
                <w:bCs/>
                <w:color w:val="000000"/>
                <w:lang w:eastAsia="es-ES"/>
              </w:rPr>
            </w:pPr>
            <w:r w:rsidRPr="00CE3A40">
              <w:rPr>
                <w:rFonts w:ascii="Times New Roman" w:eastAsia="Times New Roman" w:hAnsi="Times New Roman"/>
                <w:b/>
                <w:bCs/>
                <w:color w:val="000000"/>
                <w:lang w:eastAsia="es-ES"/>
              </w:rPr>
              <w:t xml:space="preserve"> $ 596,343.47 </w:t>
            </w:r>
          </w:p>
        </w:tc>
      </w:tr>
    </w:tbl>
    <w:p w:rsidR="00C14A33" w:rsidRDefault="00C14A33" w:rsidP="00C14A33"/>
    <w:p w:rsidR="00C14A33" w:rsidRPr="000717AC" w:rsidRDefault="00C14A33" w:rsidP="00C14A33">
      <w:pPr>
        <w:spacing w:line="240" w:lineRule="auto"/>
        <w:jc w:val="both"/>
        <w:rPr>
          <w:rFonts w:ascii="Times New Roman" w:hAnsi="Times New Roman" w:cs="Times New Roman"/>
          <w:b/>
          <w:bCs/>
          <w:sz w:val="24"/>
          <w:szCs w:val="24"/>
          <w:u w:val="single"/>
        </w:rPr>
      </w:pPr>
      <w:r>
        <w:rPr>
          <w:rFonts w:ascii="Times New Roman" w:hAnsi="Times New Roman"/>
          <w:sz w:val="24"/>
          <w:szCs w:val="24"/>
        </w:rPr>
        <w:t>Se</w:t>
      </w:r>
      <w:r w:rsidRPr="00B245F7">
        <w:rPr>
          <w:rFonts w:ascii="Times New Roman" w:hAnsi="Times New Roman"/>
          <w:sz w:val="24"/>
          <w:szCs w:val="24"/>
        </w:rPr>
        <w:t xml:space="preserve"> Autoriza al Jefe de la UDU para que puedan elaborar la carpetas técnicas de los proyectos aprobados para el año 2021. </w:t>
      </w:r>
      <w:r w:rsidRPr="003F0C76">
        <w:rPr>
          <w:rFonts w:ascii="Times New Roman" w:hAnsi="Times New Roman"/>
          <w:b/>
          <w:sz w:val="24"/>
          <w:szCs w:val="24"/>
        </w:rPr>
        <w:t>COMUNIQUESE:</w:t>
      </w:r>
      <w:r w:rsidRPr="00B245F7">
        <w:rPr>
          <w:rFonts w:ascii="Times New Roman" w:hAnsi="Times New Roman"/>
          <w:sz w:val="24"/>
          <w:szCs w:val="24"/>
        </w:rPr>
        <w:t xml:space="preserve"> Presupuesto, Gerencias, UDU, Sindicatura,</w:t>
      </w:r>
      <w:r>
        <w:rPr>
          <w:rFonts w:ascii="Times New Roman" w:hAnsi="Times New Roman"/>
          <w:sz w:val="24"/>
          <w:szCs w:val="24"/>
        </w:rPr>
        <w:t xml:space="preserve"> UACI, Tesorería</w:t>
      </w:r>
      <w:r w:rsidRPr="00B245F7">
        <w:rPr>
          <w:rFonts w:ascii="Times New Roman" w:hAnsi="Times New Roman"/>
          <w:sz w:val="24"/>
          <w:szCs w:val="24"/>
        </w:rPr>
        <w:t xml:space="preserve"> y Despacho Municipal</w:t>
      </w:r>
      <w:r>
        <w:rPr>
          <w:rFonts w:ascii="Times New Roman" w:hAnsi="Times New Roman" w:cs="Times New Roman"/>
          <w:b/>
          <w:bCs/>
          <w:sz w:val="24"/>
          <w:szCs w:val="24"/>
          <w:u w:val="single"/>
        </w:rPr>
        <w:t xml:space="preserve">. </w:t>
      </w:r>
      <w:r w:rsidRPr="00DD155D">
        <w:rPr>
          <w:rFonts w:ascii="Times New Roman" w:hAnsi="Times New Roman" w:cs="Times New Roman"/>
          <w:b/>
          <w:bCs/>
          <w:sz w:val="24"/>
          <w:szCs w:val="24"/>
          <w:u w:val="single"/>
        </w:rPr>
        <w:t xml:space="preserve">ACUERDO NUEMERO </w:t>
      </w:r>
      <w:r>
        <w:rPr>
          <w:rFonts w:ascii="Times New Roman" w:hAnsi="Times New Roman" w:cs="Times New Roman"/>
          <w:b/>
          <w:bCs/>
          <w:sz w:val="24"/>
          <w:szCs w:val="24"/>
          <w:u w:val="single"/>
        </w:rPr>
        <w:t>DOS</w:t>
      </w:r>
      <w:r w:rsidRPr="00A02943">
        <w:rPr>
          <w:rFonts w:ascii="Times New Roman" w:hAnsi="Times New Roman" w:cs="Times New Roman"/>
          <w:sz w:val="24"/>
          <w:szCs w:val="24"/>
          <w:u w:val="single"/>
        </w:rPr>
        <w:t>:</w:t>
      </w:r>
      <w:r w:rsidRPr="00D5409B">
        <w:rPr>
          <w:rFonts w:ascii="Times New Roman" w:hAnsi="Times New Roman" w:cs="Times New Roman"/>
          <w:b/>
          <w:bCs/>
          <w:sz w:val="24"/>
          <w:szCs w:val="24"/>
          <w:u w:val="single"/>
        </w:rPr>
        <w:t xml:space="preserve"> </w:t>
      </w:r>
      <w:r w:rsidRPr="00474833">
        <w:rPr>
          <w:rFonts w:ascii="Times New Roman" w:hAnsi="Times New Roman" w:cs="Times New Roman"/>
          <w:b/>
          <w:bCs/>
          <w:sz w:val="24"/>
          <w:szCs w:val="24"/>
          <w:u w:val="single"/>
        </w:rPr>
        <w:t>ACUERDO NUEMERO DOS</w:t>
      </w:r>
      <w:r w:rsidRPr="00474833">
        <w:rPr>
          <w:rFonts w:ascii="Times New Roman" w:hAnsi="Times New Roman" w:cs="Times New Roman"/>
          <w:sz w:val="24"/>
          <w:szCs w:val="24"/>
          <w:u w:val="single"/>
        </w:rPr>
        <w:t xml:space="preserve">: </w:t>
      </w:r>
      <w:r w:rsidRPr="00474833">
        <w:rPr>
          <w:rFonts w:ascii="Times New Roman" w:hAnsi="Times New Roman" w:cs="Times New Roman"/>
          <w:sz w:val="24"/>
          <w:szCs w:val="24"/>
        </w:rPr>
        <w:t xml:space="preserve">El concejo Municipal en el uso de sus facultades legales </w:t>
      </w:r>
      <w:r w:rsidRPr="00474833">
        <w:rPr>
          <w:rFonts w:ascii="Times New Roman" w:hAnsi="Times New Roman" w:cs="Times New Roman"/>
          <w:b/>
          <w:bCs/>
          <w:sz w:val="24"/>
          <w:szCs w:val="24"/>
        </w:rPr>
        <w:t>ACUERDA: SE RATIFICA</w:t>
      </w:r>
      <w:r w:rsidRPr="00474833">
        <w:rPr>
          <w:rFonts w:ascii="Times New Roman" w:hAnsi="Times New Roman" w:cs="Times New Roman"/>
          <w:sz w:val="24"/>
          <w:szCs w:val="24"/>
        </w:rPr>
        <w:t xml:space="preserve"> los  acuerdos Municipales de los proyectos que se han aprobados y  están  pendientes a ejecutarse con el prepuesto 2020, para que  se les dé seguimiento, </w:t>
      </w:r>
      <w:r>
        <w:rPr>
          <w:rFonts w:ascii="Times New Roman" w:hAnsi="Times New Roman"/>
          <w:sz w:val="24"/>
          <w:szCs w:val="24"/>
        </w:rPr>
        <w:t xml:space="preserve">y </w:t>
      </w:r>
      <w:r w:rsidRPr="00474833">
        <w:rPr>
          <w:rFonts w:ascii="Times New Roman" w:hAnsi="Times New Roman" w:cs="Times New Roman"/>
          <w:sz w:val="24"/>
          <w:szCs w:val="24"/>
        </w:rPr>
        <w:t xml:space="preserve">sean ejecutados inmediatamente cuando el Gobierno Central deposite </w:t>
      </w:r>
      <w:r>
        <w:rPr>
          <w:rFonts w:ascii="Times New Roman" w:hAnsi="Times New Roman"/>
          <w:sz w:val="24"/>
          <w:szCs w:val="24"/>
        </w:rPr>
        <w:t>lo que corresponde del FODES periodo</w:t>
      </w:r>
      <w:r w:rsidRPr="00474833">
        <w:rPr>
          <w:rFonts w:ascii="Times New Roman" w:hAnsi="Times New Roman" w:cs="Times New Roman"/>
          <w:sz w:val="24"/>
          <w:szCs w:val="24"/>
        </w:rPr>
        <w:t xml:space="preserve"> </w:t>
      </w:r>
      <w:r>
        <w:rPr>
          <w:rFonts w:ascii="Times New Roman" w:hAnsi="Times New Roman"/>
          <w:sz w:val="24"/>
          <w:szCs w:val="24"/>
        </w:rPr>
        <w:t xml:space="preserve"> de </w:t>
      </w:r>
      <w:r w:rsidRPr="00474833">
        <w:rPr>
          <w:rFonts w:ascii="Times New Roman" w:hAnsi="Times New Roman" w:cs="Times New Roman"/>
          <w:sz w:val="24"/>
          <w:szCs w:val="24"/>
        </w:rPr>
        <w:t>junio a diciembre 2020.</w:t>
      </w:r>
      <w:r>
        <w:rPr>
          <w:rFonts w:ascii="Times New Roman" w:hAnsi="Times New Roman" w:cs="Times New Roman"/>
          <w:sz w:val="24"/>
          <w:szCs w:val="24"/>
        </w:rPr>
        <w:t xml:space="preserve"> </w:t>
      </w:r>
      <w:r w:rsidRPr="00DD155D">
        <w:rPr>
          <w:rFonts w:ascii="Times New Roman" w:hAnsi="Times New Roman" w:cs="Times New Roman"/>
          <w:b/>
          <w:bCs/>
          <w:sz w:val="24"/>
          <w:szCs w:val="24"/>
          <w:u w:val="single"/>
        </w:rPr>
        <w:t xml:space="preserve">ACUERDO NUEMRO </w:t>
      </w:r>
      <w:r>
        <w:rPr>
          <w:rFonts w:ascii="Times New Roman" w:hAnsi="Times New Roman" w:cs="Times New Roman"/>
          <w:b/>
          <w:bCs/>
          <w:sz w:val="24"/>
          <w:szCs w:val="24"/>
          <w:u w:val="single"/>
        </w:rPr>
        <w:t>TRES</w:t>
      </w:r>
      <w:r w:rsidRPr="00DD155D">
        <w:rPr>
          <w:rFonts w:ascii="Times New Roman" w:hAnsi="Times New Roman" w:cs="Times New Roman"/>
          <w:b/>
          <w:bCs/>
          <w:sz w:val="24"/>
          <w:szCs w:val="24"/>
          <w:u w:val="single"/>
        </w:rPr>
        <w:t>:</w:t>
      </w:r>
      <w:r>
        <w:rPr>
          <w:rFonts w:ascii="Times New Roman" w:hAnsi="Times New Roman" w:cs="Times New Roman"/>
          <w:sz w:val="24"/>
          <w:szCs w:val="24"/>
        </w:rPr>
        <w:t xml:space="preserve"> El Concejo Municipal en vista del informe remitido por el Gerente operativo sobre los estados de los proyectos 2020, por tanto en el uso de sus </w:t>
      </w:r>
      <w:proofErr w:type="spellStart"/>
      <w:r>
        <w:rPr>
          <w:rFonts w:ascii="Times New Roman" w:hAnsi="Times New Roman" w:cs="Times New Roman"/>
          <w:sz w:val="24"/>
          <w:szCs w:val="24"/>
        </w:rPr>
        <w:t>facultadeslegales</w:t>
      </w:r>
      <w:proofErr w:type="spellEnd"/>
      <w:r>
        <w:rPr>
          <w:rFonts w:ascii="Times New Roman" w:hAnsi="Times New Roman" w:cs="Times New Roman"/>
          <w:sz w:val="24"/>
          <w:szCs w:val="24"/>
        </w:rPr>
        <w:t xml:space="preserve"> se </w:t>
      </w:r>
      <w:r w:rsidRPr="00DD155D">
        <w:rPr>
          <w:rFonts w:ascii="Times New Roman" w:hAnsi="Times New Roman" w:cs="Times New Roman"/>
          <w:b/>
          <w:bCs/>
          <w:sz w:val="24"/>
          <w:szCs w:val="24"/>
        </w:rPr>
        <w:t>ACUERDA:</w:t>
      </w:r>
      <w:r>
        <w:rPr>
          <w:rFonts w:ascii="Times New Roman" w:hAnsi="Times New Roman" w:cs="Times New Roman"/>
          <w:b/>
          <w:bCs/>
          <w:sz w:val="24"/>
          <w:szCs w:val="24"/>
        </w:rPr>
        <w:t xml:space="preserve"> revisar la documentación de los estados de los proyectos que se han priorizado, aprobado sus carpetas técnica para dar seguimiento a su ejecución. </w:t>
      </w:r>
      <w:r>
        <w:rPr>
          <w:rFonts w:ascii="Times New Roman" w:eastAsia="Times New Roman" w:hAnsi="Times New Roman"/>
          <w:sz w:val="24"/>
          <w:szCs w:val="24"/>
        </w:rPr>
        <w:t>Y no h</w:t>
      </w:r>
      <w:r w:rsidRPr="003D2873">
        <w:rPr>
          <w:rFonts w:ascii="Times New Roman" w:eastAsia="Times New Roman" w:hAnsi="Times New Roman"/>
          <w:sz w:val="24"/>
          <w:szCs w:val="24"/>
        </w:rPr>
        <w:t>abiendo más de que hacer constar se da por terminada la presente acta que firmamos.</w:t>
      </w:r>
    </w:p>
    <w:p w:rsidR="00F60CB8" w:rsidRDefault="00F60CB8"/>
    <w:sectPr w:rsidR="00F60CB8" w:rsidSect="00F60CB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A33" w:rsidRDefault="00C14A33" w:rsidP="00C14A33">
      <w:pPr>
        <w:spacing w:after="0" w:line="240" w:lineRule="auto"/>
      </w:pPr>
      <w:r>
        <w:separator/>
      </w:r>
    </w:p>
  </w:endnote>
  <w:endnote w:type="continuationSeparator" w:id="1">
    <w:p w:rsidR="00C14A33" w:rsidRDefault="00C14A33" w:rsidP="00C14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33" w:rsidRDefault="00C14A33" w:rsidP="00C14A3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14A33" w:rsidRDefault="00C14A33" w:rsidP="00C14A33">
    <w:pPr>
      <w:pStyle w:val="Piedepgina"/>
    </w:pPr>
  </w:p>
  <w:p w:rsidR="00C14A33" w:rsidRDefault="00C14A33" w:rsidP="00C14A33">
    <w:pPr>
      <w:pStyle w:val="Piedepgina"/>
    </w:pPr>
  </w:p>
  <w:p w:rsidR="00C14A33" w:rsidRDefault="00C14A33" w:rsidP="00C14A33">
    <w:pPr>
      <w:pStyle w:val="Piedepgina"/>
    </w:pPr>
  </w:p>
  <w:p w:rsidR="00C14A33" w:rsidRDefault="00C14A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A33" w:rsidRDefault="00C14A33" w:rsidP="00C14A33">
      <w:pPr>
        <w:spacing w:after="0" w:line="240" w:lineRule="auto"/>
      </w:pPr>
      <w:r>
        <w:separator/>
      </w:r>
    </w:p>
  </w:footnote>
  <w:footnote w:type="continuationSeparator" w:id="1">
    <w:p w:rsidR="00C14A33" w:rsidRDefault="00C14A33" w:rsidP="00C14A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22CBB"/>
    <w:multiLevelType w:val="hybridMultilevel"/>
    <w:tmpl w:val="616E4F4A"/>
    <w:lvl w:ilvl="0" w:tplc="9838126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14A33"/>
    <w:rsid w:val="00C14A33"/>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4A33"/>
    <w:pPr>
      <w:ind w:left="720"/>
      <w:contextualSpacing/>
    </w:pPr>
  </w:style>
  <w:style w:type="paragraph" w:styleId="Encabezado">
    <w:name w:val="header"/>
    <w:basedOn w:val="Normal"/>
    <w:link w:val="EncabezadoCar"/>
    <w:uiPriority w:val="99"/>
    <w:semiHidden/>
    <w:unhideWhenUsed/>
    <w:rsid w:val="00C14A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14A33"/>
  </w:style>
  <w:style w:type="paragraph" w:styleId="Piedepgina">
    <w:name w:val="footer"/>
    <w:basedOn w:val="Normal"/>
    <w:link w:val="PiedepginaCar"/>
    <w:uiPriority w:val="99"/>
    <w:semiHidden/>
    <w:unhideWhenUsed/>
    <w:rsid w:val="00C14A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14A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4216</Words>
  <Characters>23189</Characters>
  <Application>Microsoft Office Word</Application>
  <DocSecurity>0</DocSecurity>
  <Lines>193</Lines>
  <Paragraphs>54</Paragraphs>
  <ScaleCrop>false</ScaleCrop>
  <Company/>
  <LinksUpToDate>false</LinksUpToDate>
  <CharactersWithSpaces>27351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2021-03-15T22:30:00Z</dcterms:created>
  <dcterms:modified xsi:type="dcterms:W3CDTF">2021-03-15T22:32:00Z</dcterms:modified>
</cp:coreProperties>
</file>