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A5F" w:rsidRPr="003E3783" w:rsidRDefault="007C4A5F" w:rsidP="007C4A5F">
      <w:pPr>
        <w:spacing w:line="240" w:lineRule="auto"/>
        <w:jc w:val="both"/>
        <w:rPr>
          <w:rFonts w:ascii="Times New Roman" w:hAnsi="Times New Roman" w:cs="Times New Roman"/>
          <w:b/>
          <w:sz w:val="24"/>
          <w:szCs w:val="24"/>
        </w:rPr>
      </w:pPr>
      <w:r w:rsidRPr="00713623">
        <w:rPr>
          <w:rFonts w:ascii="Times New Roman" w:eastAsia="Calibri" w:hAnsi="Times New Roman" w:cs="Times New Roman"/>
          <w:b/>
          <w:sz w:val="24"/>
          <w:szCs w:val="24"/>
          <w:u w:val="single"/>
        </w:rPr>
        <w:t>ACTA NUMERO CINCUENTA</w:t>
      </w:r>
      <w:r>
        <w:rPr>
          <w:rFonts w:ascii="Times New Roman" w:eastAsia="Calibri" w:hAnsi="Times New Roman" w:cs="Times New Roman"/>
          <w:b/>
          <w:sz w:val="24"/>
          <w:szCs w:val="24"/>
          <w:u w:val="single"/>
        </w:rPr>
        <w:t xml:space="preserve"> Y TRES</w:t>
      </w:r>
      <w:r w:rsidRPr="00713623">
        <w:rPr>
          <w:rFonts w:ascii="Times New Roman" w:eastAsia="Calibri" w:hAnsi="Times New Roman" w:cs="Times New Roman"/>
          <w:b/>
          <w:sz w:val="24"/>
          <w:szCs w:val="24"/>
          <w:u w:val="single"/>
        </w:rPr>
        <w:t>:</w:t>
      </w:r>
      <w:r w:rsidRPr="00713623">
        <w:rPr>
          <w:rFonts w:ascii="Times New Roman" w:eastAsia="Calibri" w:hAnsi="Times New Roman" w:cs="Times New Roman"/>
          <w:sz w:val="24"/>
          <w:szCs w:val="24"/>
        </w:rPr>
        <w:t xml:space="preserve"> Sesión </w:t>
      </w:r>
      <w:r>
        <w:rPr>
          <w:rFonts w:ascii="Times New Roman" w:eastAsia="Calibri" w:hAnsi="Times New Roman" w:cs="Times New Roman"/>
          <w:sz w:val="24"/>
          <w:szCs w:val="24"/>
        </w:rPr>
        <w:t>Extra</w:t>
      </w:r>
      <w:r w:rsidRPr="00713623">
        <w:rPr>
          <w:rFonts w:ascii="Times New Roman" w:eastAsia="Calibri" w:hAnsi="Times New Roman" w:cs="Times New Roman"/>
          <w:sz w:val="24"/>
          <w:szCs w:val="24"/>
        </w:rPr>
        <w:t xml:space="preserve">ordinaria del Concejo Municipal de la Ciudad de </w:t>
      </w:r>
      <w:proofErr w:type="spellStart"/>
      <w:r w:rsidRPr="00713623">
        <w:rPr>
          <w:rFonts w:ascii="Times New Roman" w:eastAsia="Calibri" w:hAnsi="Times New Roman" w:cs="Times New Roman"/>
          <w:sz w:val="24"/>
          <w:szCs w:val="24"/>
        </w:rPr>
        <w:t>Tonacatepeque</w:t>
      </w:r>
      <w:proofErr w:type="spellEnd"/>
      <w:r w:rsidRPr="00713623">
        <w:rPr>
          <w:rFonts w:ascii="Times New Roman" w:eastAsia="Calibri" w:hAnsi="Times New Roman" w:cs="Times New Roman"/>
          <w:sz w:val="24"/>
          <w:szCs w:val="24"/>
        </w:rPr>
        <w:t>, Departamento de San Salvador, celebrada en el salón del polideportivo de la municipalidad a las nueve</w:t>
      </w:r>
      <w:r>
        <w:rPr>
          <w:rFonts w:ascii="Times New Roman" w:eastAsia="Calibri" w:hAnsi="Times New Roman" w:cs="Times New Roman"/>
          <w:sz w:val="24"/>
          <w:szCs w:val="24"/>
        </w:rPr>
        <w:t xml:space="preserve"> </w:t>
      </w:r>
      <w:r w:rsidRPr="00713623">
        <w:rPr>
          <w:rFonts w:ascii="Times New Roman" w:eastAsia="Calibri" w:hAnsi="Times New Roman" w:cs="Times New Roman"/>
          <w:sz w:val="24"/>
          <w:szCs w:val="24"/>
        </w:rPr>
        <w:t>horas del día</w:t>
      </w:r>
      <w:r>
        <w:rPr>
          <w:rFonts w:ascii="Times New Roman" w:eastAsia="Calibri" w:hAnsi="Times New Roman" w:cs="Times New Roman"/>
          <w:b/>
          <w:sz w:val="24"/>
          <w:szCs w:val="24"/>
        </w:rPr>
        <w:t xml:space="preserve"> sábado veintitrés</w:t>
      </w:r>
      <w:r w:rsidRPr="00713623">
        <w:rPr>
          <w:rFonts w:ascii="Times New Roman" w:eastAsia="Calibri" w:hAnsi="Times New Roman" w:cs="Times New Roman"/>
          <w:b/>
          <w:sz w:val="24"/>
          <w:szCs w:val="24"/>
        </w:rPr>
        <w:t xml:space="preserve"> de noviembre de dos mil diecinueve</w:t>
      </w:r>
      <w:r w:rsidRPr="00713623">
        <w:rPr>
          <w:rFonts w:ascii="Times New Roman" w:eastAsia="Calibri" w:hAnsi="Times New Roman" w:cs="Times New Roman"/>
          <w:sz w:val="24"/>
          <w:szCs w:val="24"/>
        </w:rPr>
        <w:t xml:space="preserve">;  Convocada conforme a la Ley, y presidida por el </w:t>
      </w:r>
      <w:r>
        <w:rPr>
          <w:rFonts w:ascii="Times New Roman" w:eastAsia="Calibri" w:hAnsi="Times New Roman" w:cs="Times New Roman"/>
          <w:sz w:val="24"/>
          <w:szCs w:val="24"/>
        </w:rPr>
        <w:t xml:space="preserve">delegado </w:t>
      </w:r>
      <w:r w:rsidRPr="00713623">
        <w:rPr>
          <w:rFonts w:ascii="Times New Roman" w:eastAsia="Calibri" w:hAnsi="Times New Roman" w:cs="Times New Roman"/>
          <w:sz w:val="24"/>
          <w:szCs w:val="24"/>
        </w:rPr>
        <w:t xml:space="preserve">señor Síndico Municipal Licenciado Edgardo Martínez Campos con asistencia de los Regidores Propietarios señores: José Ismael </w:t>
      </w:r>
      <w:proofErr w:type="spellStart"/>
      <w:r w:rsidRPr="00713623">
        <w:rPr>
          <w:rFonts w:ascii="Times New Roman" w:eastAsia="Calibri" w:hAnsi="Times New Roman" w:cs="Times New Roman"/>
          <w:sz w:val="24"/>
          <w:szCs w:val="24"/>
        </w:rPr>
        <w:t>Doradea</w:t>
      </w:r>
      <w:proofErr w:type="spellEnd"/>
      <w:r w:rsidRPr="00713623">
        <w:rPr>
          <w:rFonts w:ascii="Times New Roman" w:eastAsia="Calibri" w:hAnsi="Times New Roman" w:cs="Times New Roman"/>
          <w:sz w:val="24"/>
          <w:szCs w:val="24"/>
        </w:rPr>
        <w:t xml:space="preserve"> Molina; Ana Carolina </w:t>
      </w:r>
      <w:proofErr w:type="spellStart"/>
      <w:r w:rsidRPr="00713623">
        <w:rPr>
          <w:rFonts w:ascii="Times New Roman" w:eastAsia="Calibri" w:hAnsi="Times New Roman" w:cs="Times New Roman"/>
          <w:sz w:val="24"/>
          <w:szCs w:val="24"/>
        </w:rPr>
        <w:t>Menjivar</w:t>
      </w:r>
      <w:proofErr w:type="spellEnd"/>
      <w:r w:rsidRPr="00713623">
        <w:rPr>
          <w:rFonts w:ascii="Times New Roman" w:eastAsia="Calibri" w:hAnsi="Times New Roman" w:cs="Times New Roman"/>
          <w:sz w:val="24"/>
          <w:szCs w:val="24"/>
        </w:rPr>
        <w:t xml:space="preserve"> de Ortega, Mario Ricardo Lemus, Oscar Armando Cantón López;  Edgardo Alejandro Torres </w:t>
      </w:r>
      <w:proofErr w:type="spellStart"/>
      <w:r w:rsidRPr="00713623">
        <w:rPr>
          <w:rFonts w:ascii="Times New Roman" w:eastAsia="Calibri" w:hAnsi="Times New Roman" w:cs="Times New Roman"/>
          <w:sz w:val="24"/>
          <w:szCs w:val="24"/>
        </w:rPr>
        <w:t>Menjivar</w:t>
      </w:r>
      <w:proofErr w:type="spellEnd"/>
      <w:r w:rsidRPr="00713623">
        <w:rPr>
          <w:rFonts w:ascii="Times New Roman" w:eastAsia="Calibri" w:hAnsi="Times New Roman" w:cs="Times New Roman"/>
          <w:sz w:val="24"/>
          <w:szCs w:val="24"/>
        </w:rPr>
        <w:t xml:space="preserve">, Omar Antonio Serrano Hernández, María Lina Castellanos Campos Reales, Cosme </w:t>
      </w:r>
      <w:proofErr w:type="spellStart"/>
      <w:r w:rsidRPr="00713623">
        <w:rPr>
          <w:rFonts w:ascii="Times New Roman" w:eastAsia="Calibri" w:hAnsi="Times New Roman" w:cs="Times New Roman"/>
          <w:sz w:val="24"/>
          <w:szCs w:val="24"/>
        </w:rPr>
        <w:t>Arquímides</w:t>
      </w:r>
      <w:proofErr w:type="spellEnd"/>
      <w:r w:rsidRPr="00713623">
        <w:rPr>
          <w:rFonts w:ascii="Times New Roman" w:eastAsia="Calibri" w:hAnsi="Times New Roman" w:cs="Times New Roman"/>
          <w:sz w:val="24"/>
          <w:szCs w:val="24"/>
        </w:rPr>
        <w:t xml:space="preserve"> Reyes Gómez, Carlos Ernesto Ulloa Salinas y Amanda de Jesús Quezada Sigüenza; Suplentes: Ángel Cuellar Guzmán, José David Romero Ruano</w:t>
      </w:r>
      <w:r>
        <w:rPr>
          <w:rFonts w:ascii="Times New Roman" w:eastAsia="Calibri" w:hAnsi="Times New Roman" w:cs="Times New Roman"/>
          <w:sz w:val="24"/>
          <w:szCs w:val="24"/>
        </w:rPr>
        <w:t>;</w:t>
      </w:r>
      <w:r w:rsidRPr="00D5656F">
        <w:rPr>
          <w:rFonts w:ascii="Times New Roman" w:eastAsia="Calibri" w:hAnsi="Times New Roman" w:cs="Times New Roman"/>
          <w:sz w:val="24"/>
          <w:szCs w:val="24"/>
        </w:rPr>
        <w:t xml:space="preserve"> </w:t>
      </w:r>
      <w:r w:rsidRPr="00713623">
        <w:rPr>
          <w:rFonts w:ascii="Times New Roman" w:eastAsia="Calibri" w:hAnsi="Times New Roman" w:cs="Times New Roman"/>
          <w:sz w:val="24"/>
          <w:szCs w:val="24"/>
        </w:rPr>
        <w:t>Secretaria Municipal María Antonieta González Alas</w:t>
      </w:r>
      <w:r>
        <w:rPr>
          <w:rFonts w:ascii="Times New Roman" w:eastAsia="Calibri" w:hAnsi="Times New Roman" w:cs="Times New Roman"/>
          <w:sz w:val="24"/>
          <w:szCs w:val="24"/>
        </w:rPr>
        <w:t xml:space="preserve">; </w:t>
      </w:r>
      <w:r w:rsidRPr="00C816AF">
        <w:rPr>
          <w:rFonts w:ascii="Times New Roman" w:eastAsia="Calibri" w:hAnsi="Times New Roman" w:cs="Times New Roman"/>
          <w:b/>
          <w:sz w:val="24"/>
          <w:szCs w:val="24"/>
        </w:rPr>
        <w:t>se hace constar</w:t>
      </w:r>
      <w:r>
        <w:rPr>
          <w:rFonts w:ascii="Times New Roman" w:eastAsia="Calibri" w:hAnsi="Times New Roman" w:cs="Times New Roman"/>
          <w:sz w:val="24"/>
          <w:szCs w:val="24"/>
        </w:rPr>
        <w:t xml:space="preserve"> que el </w:t>
      </w:r>
      <w:r w:rsidRPr="00D5656F">
        <w:rPr>
          <w:rFonts w:ascii="Times New Roman" w:eastAsia="Calibri" w:hAnsi="Times New Roman" w:cs="Times New Roman"/>
          <w:sz w:val="24"/>
          <w:szCs w:val="24"/>
        </w:rPr>
        <w:t>señor Alcalde Municipal</w:t>
      </w:r>
      <w:r>
        <w:rPr>
          <w:rFonts w:ascii="Times New Roman" w:eastAsia="Calibri" w:hAnsi="Times New Roman" w:cs="Times New Roman"/>
          <w:sz w:val="24"/>
          <w:szCs w:val="24"/>
        </w:rPr>
        <w:t xml:space="preserve"> Roberto Edgardo Herrera Díaz Canjura, </w:t>
      </w:r>
      <w:r w:rsidRPr="00D5656F">
        <w:rPr>
          <w:rFonts w:ascii="Times New Roman" w:eastAsia="Calibri" w:hAnsi="Times New Roman" w:cs="Times New Roman"/>
          <w:sz w:val="24"/>
          <w:szCs w:val="24"/>
        </w:rPr>
        <w:t xml:space="preserve"> no</w:t>
      </w:r>
      <w:r>
        <w:rPr>
          <w:rFonts w:ascii="Times New Roman" w:eastAsia="Calibri" w:hAnsi="Times New Roman" w:cs="Times New Roman"/>
          <w:sz w:val="24"/>
          <w:szCs w:val="24"/>
        </w:rPr>
        <w:t xml:space="preserve"> se presento a la Reunión de Concejo debido al fallecimiento de su madre; también no se presento a reunión de Concejo el Concejal suplente</w:t>
      </w:r>
      <w:r w:rsidRPr="00713623">
        <w:rPr>
          <w:rFonts w:ascii="Times New Roman" w:eastAsia="Calibri" w:hAnsi="Times New Roman" w:cs="Times New Roman"/>
          <w:sz w:val="24"/>
          <w:szCs w:val="24"/>
        </w:rPr>
        <w:t xml:space="preserve"> </w:t>
      </w:r>
      <w:r w:rsidRPr="00D5656F">
        <w:rPr>
          <w:rFonts w:ascii="Times New Roman" w:eastAsia="Calibri" w:hAnsi="Times New Roman" w:cs="Times New Roman"/>
          <w:sz w:val="24"/>
          <w:szCs w:val="24"/>
        </w:rPr>
        <w:t>José Rolando Vivas</w:t>
      </w:r>
      <w:r>
        <w:rPr>
          <w:rFonts w:ascii="Times New Roman" w:eastAsia="Calibri" w:hAnsi="Times New Roman" w:cs="Times New Roman"/>
          <w:sz w:val="24"/>
          <w:szCs w:val="24"/>
        </w:rPr>
        <w:t>, quien solicito permiso verbal para no asistir</w:t>
      </w:r>
      <w:r w:rsidRPr="00713623">
        <w:rPr>
          <w:rFonts w:ascii="Times New Roman" w:eastAsia="Calibri" w:hAnsi="Times New Roman" w:cs="Times New Roman"/>
          <w:sz w:val="24"/>
          <w:szCs w:val="24"/>
        </w:rPr>
        <w:t>. Comprobado el Quórum, el que preside dio por iniciada la reunión, sometiendo a consideración la aprobación de la</w:t>
      </w:r>
      <w:r>
        <w:rPr>
          <w:rFonts w:ascii="Times New Roman" w:eastAsia="Calibri" w:hAnsi="Times New Roman" w:cs="Times New Roman"/>
          <w:sz w:val="24"/>
          <w:szCs w:val="24"/>
        </w:rPr>
        <w:t xml:space="preserve"> Agenda. Se agregaros dos puntos: UACI remite ofertas para que se adjudiquen compras y contratación para el día de la no violencia contra la mujer; y también remite oferta para compra de abrazaderas que solicita la UDU para el alumbrado  público; se hace constar que no se vio el punto de informe de la comisión evaluadora de ofertas se verá para la próxima reunión.  </w:t>
      </w:r>
      <w:r w:rsidRPr="00D5656F">
        <w:rPr>
          <w:rFonts w:ascii="Times New Roman" w:eastAsia="Calibri" w:hAnsi="Times New Roman" w:cs="Times New Roman"/>
          <w:b/>
          <w:sz w:val="24"/>
          <w:szCs w:val="24"/>
        </w:rPr>
        <w:t>Participación  del señor Sindico Municipal</w:t>
      </w:r>
      <w:r w:rsidRPr="00D5656F">
        <w:rPr>
          <w:rFonts w:ascii="Times New Roman" w:eastAsia="Calibri" w:hAnsi="Times New Roman" w:cs="Times New Roman"/>
          <w:sz w:val="24"/>
          <w:szCs w:val="24"/>
        </w:rPr>
        <w:t xml:space="preserve"> donde expuso  parte de las 12 carpetas que contienen  la necesidades  que plasmaron las</w:t>
      </w:r>
      <w:r>
        <w:rPr>
          <w:rFonts w:ascii="Times New Roman" w:eastAsia="Calibri" w:hAnsi="Times New Roman" w:cs="Times New Roman"/>
          <w:b/>
          <w:sz w:val="24"/>
          <w:szCs w:val="24"/>
        </w:rPr>
        <w:t xml:space="preserve"> </w:t>
      </w:r>
      <w:r w:rsidRPr="00774959">
        <w:rPr>
          <w:rFonts w:ascii="Times New Roman" w:hAnsi="Times New Roman" w:cs="Times New Roman"/>
          <w:sz w:val="24"/>
          <w:szCs w:val="24"/>
        </w:rPr>
        <w:t xml:space="preserve">ADESCOS, Juntas Directiva y Comité de apoyo de todo el Municipio </w:t>
      </w:r>
      <w:r>
        <w:rPr>
          <w:rFonts w:ascii="Times New Roman" w:hAnsi="Times New Roman" w:cs="Times New Roman"/>
          <w:sz w:val="24"/>
          <w:szCs w:val="24"/>
        </w:rPr>
        <w:t xml:space="preserve">en la </w:t>
      </w:r>
      <w:r w:rsidRPr="00774959">
        <w:rPr>
          <w:rFonts w:ascii="Times New Roman" w:hAnsi="Times New Roman" w:cs="Times New Roman"/>
          <w:sz w:val="24"/>
          <w:szCs w:val="24"/>
        </w:rPr>
        <w:t xml:space="preserve">primera reunión de trabajo el día jueves 14 de noviembre del Presente año,  </w:t>
      </w:r>
      <w:r>
        <w:rPr>
          <w:rFonts w:ascii="Times New Roman" w:hAnsi="Times New Roman" w:cs="Times New Roman"/>
          <w:sz w:val="24"/>
          <w:szCs w:val="24"/>
        </w:rPr>
        <w:t>donde priorizaro</w:t>
      </w:r>
      <w:r w:rsidRPr="00774959">
        <w:rPr>
          <w:rFonts w:ascii="Times New Roman" w:hAnsi="Times New Roman" w:cs="Times New Roman"/>
          <w:sz w:val="24"/>
          <w:szCs w:val="24"/>
        </w:rPr>
        <w:t>n los proyectos que necesitaban en cuanto a: Desarrollo Humano, Infraestructuras, de recreación, legalización de inmuebles o adquisición de inmuebles para prevención de violencia y recreación, mejoramiento en la prestación de servicios municipales, mejoramiento en la recaudación de tributos municipales, proyectos de prevención de violencia, mejoramiento del medio ambiente, infraestructura municipal ahorro de servicios que recibe, apoyo a la  familia y a la mujer, proyectos de inversión (infraestructura retornable y Desarrollo Agrícola</w:t>
      </w:r>
      <w:r>
        <w:rPr>
          <w:rFonts w:ascii="Times New Roman" w:hAnsi="Times New Roman" w:cs="Times New Roman"/>
          <w:sz w:val="24"/>
          <w:szCs w:val="24"/>
        </w:rPr>
        <w:t xml:space="preserve">, y en vista que no alcanza el tiempo para seguir discutiendo toma a bien el concejo </w:t>
      </w:r>
      <w:r>
        <w:rPr>
          <w:rFonts w:ascii="Times New Roman" w:eastAsia="Calibri" w:hAnsi="Times New Roman" w:cs="Times New Roman"/>
          <w:sz w:val="24"/>
          <w:szCs w:val="24"/>
        </w:rPr>
        <w:t xml:space="preserve"> seguir</w:t>
      </w:r>
      <w:r w:rsidRPr="00D5656F">
        <w:rPr>
          <w:rFonts w:ascii="Times New Roman" w:eastAsia="Calibri" w:hAnsi="Times New Roman" w:cs="Times New Roman"/>
          <w:sz w:val="24"/>
          <w:szCs w:val="24"/>
        </w:rPr>
        <w:t xml:space="preserve"> el día martes 26 de noviembre para concluir y</w:t>
      </w:r>
      <w:r>
        <w:rPr>
          <w:rFonts w:ascii="Times New Roman" w:eastAsia="Calibri" w:hAnsi="Times New Roman" w:cs="Times New Roman"/>
          <w:sz w:val="24"/>
          <w:szCs w:val="24"/>
        </w:rPr>
        <w:t xml:space="preserve"> definir preliminarmente que proyectos se ejecutaran, y </w:t>
      </w:r>
      <w:r w:rsidRPr="00D5656F">
        <w:rPr>
          <w:rFonts w:ascii="Times New Roman" w:eastAsia="Calibri" w:hAnsi="Times New Roman" w:cs="Times New Roman"/>
          <w:sz w:val="24"/>
          <w:szCs w:val="24"/>
        </w:rPr>
        <w:t xml:space="preserve"> exponer</w:t>
      </w:r>
      <w:r>
        <w:rPr>
          <w:rFonts w:ascii="Times New Roman" w:eastAsia="Calibri" w:hAnsi="Times New Roman" w:cs="Times New Roman"/>
          <w:sz w:val="24"/>
          <w:szCs w:val="24"/>
        </w:rPr>
        <w:t xml:space="preserve">, someter </w:t>
      </w:r>
      <w:r w:rsidRPr="00D5656F">
        <w:rPr>
          <w:rFonts w:ascii="Times New Roman" w:eastAsia="Calibri" w:hAnsi="Times New Roman" w:cs="Times New Roman"/>
          <w:sz w:val="24"/>
          <w:szCs w:val="24"/>
        </w:rPr>
        <w:t xml:space="preserve"> </w:t>
      </w:r>
      <w:r>
        <w:rPr>
          <w:rFonts w:ascii="Times New Roman" w:eastAsia="Calibri" w:hAnsi="Times New Roman" w:cs="Times New Roman"/>
          <w:sz w:val="24"/>
          <w:szCs w:val="24"/>
        </w:rPr>
        <w:t>aprobación definitiva</w:t>
      </w:r>
      <w:r w:rsidRPr="00D5656F">
        <w:rPr>
          <w:rFonts w:ascii="Times New Roman" w:eastAsia="Calibri" w:hAnsi="Times New Roman" w:cs="Times New Roman"/>
          <w:sz w:val="24"/>
          <w:szCs w:val="24"/>
        </w:rPr>
        <w:t xml:space="preserve"> el jueves 28 de noviembre del presente año </w:t>
      </w:r>
      <w:r>
        <w:rPr>
          <w:rFonts w:ascii="Times New Roman" w:eastAsia="Calibri" w:hAnsi="Times New Roman" w:cs="Times New Roman"/>
          <w:sz w:val="24"/>
          <w:szCs w:val="24"/>
        </w:rPr>
        <w:t xml:space="preserve"> en reunión de Concejo Municipal abierto </w:t>
      </w:r>
      <w:r w:rsidRPr="00D5656F">
        <w:rPr>
          <w:rFonts w:ascii="Times New Roman" w:eastAsia="Calibri" w:hAnsi="Times New Roman" w:cs="Times New Roman"/>
          <w:sz w:val="24"/>
          <w:szCs w:val="24"/>
        </w:rPr>
        <w:t xml:space="preserve">ante </w:t>
      </w:r>
      <w:r>
        <w:rPr>
          <w:rFonts w:ascii="Times New Roman" w:eastAsia="Calibri" w:hAnsi="Times New Roman" w:cs="Times New Roman"/>
          <w:sz w:val="24"/>
          <w:szCs w:val="24"/>
        </w:rPr>
        <w:t>a</w:t>
      </w:r>
      <w:r w:rsidRPr="00D5656F">
        <w:rPr>
          <w:rFonts w:ascii="Times New Roman" w:eastAsia="Calibri" w:hAnsi="Times New Roman" w:cs="Times New Roman"/>
          <w:sz w:val="24"/>
          <w:szCs w:val="24"/>
        </w:rPr>
        <w:t xml:space="preserve"> las ADESCO</w:t>
      </w:r>
      <w:r>
        <w:rPr>
          <w:rFonts w:ascii="Times New Roman" w:eastAsia="Calibri" w:hAnsi="Times New Roman" w:cs="Times New Roman"/>
          <w:sz w:val="24"/>
          <w:szCs w:val="24"/>
        </w:rPr>
        <w:t xml:space="preserve">S, Juntas Directivas y Comités </w:t>
      </w:r>
      <w:r w:rsidRPr="00D5656F">
        <w:rPr>
          <w:rFonts w:ascii="Times New Roman" w:eastAsia="Calibri" w:hAnsi="Times New Roman" w:cs="Times New Roman"/>
          <w:sz w:val="24"/>
          <w:szCs w:val="24"/>
        </w:rPr>
        <w:t xml:space="preserve"> que se convocaran por segunda vez a reunión de  trabajo del presupuesto participativo 2020</w:t>
      </w:r>
      <w:r>
        <w:rPr>
          <w:rFonts w:ascii="Times New Roman" w:eastAsia="Calibri" w:hAnsi="Times New Roman" w:cs="Times New Roman"/>
          <w:sz w:val="24"/>
          <w:szCs w:val="24"/>
        </w:rPr>
        <w:t xml:space="preserve"> para los proyectos que se ejecutaran con fondo FODES 75% y 2 %</w:t>
      </w:r>
      <w:r w:rsidRPr="00D5656F">
        <w:rPr>
          <w:rFonts w:ascii="Times New Roman" w:eastAsia="Calibri" w:hAnsi="Times New Roman" w:cs="Times New Roman"/>
          <w:sz w:val="24"/>
          <w:szCs w:val="24"/>
        </w:rPr>
        <w:t>; a la vez se le pide al Gerente General solicite a la UACI 90 refrigerios para ese día.</w:t>
      </w:r>
      <w:r>
        <w:rPr>
          <w:rFonts w:ascii="Times New Roman" w:eastAsia="Calibri" w:hAnsi="Times New Roman" w:cs="Times New Roman"/>
          <w:b/>
          <w:sz w:val="24"/>
          <w:szCs w:val="24"/>
        </w:rPr>
        <w:t xml:space="preserve">  </w:t>
      </w:r>
      <w:r w:rsidRPr="00713623">
        <w:rPr>
          <w:rFonts w:ascii="Times New Roman" w:eastAsia="Calibri" w:hAnsi="Times New Roman" w:cs="Times New Roman"/>
          <w:sz w:val="24"/>
          <w:szCs w:val="24"/>
        </w:rPr>
        <w:t>Luego se Siguió deliberando los demás puntos de agenda plasmándose los siguientes acuerdos:</w:t>
      </w:r>
      <w:r w:rsidRPr="00C21755">
        <w:rPr>
          <w:rFonts w:ascii="Times New Roman" w:eastAsia="Arial Unicode MS" w:hAnsi="Times New Roman" w:cs="Times New Roman"/>
          <w:b/>
          <w:sz w:val="24"/>
          <w:szCs w:val="24"/>
          <w:u w:val="single"/>
        </w:rPr>
        <w:t xml:space="preserve"> </w:t>
      </w:r>
      <w:r>
        <w:rPr>
          <w:rFonts w:ascii="Times New Roman" w:eastAsia="Arial Unicode MS" w:hAnsi="Times New Roman" w:cs="Times New Roman"/>
          <w:b/>
          <w:sz w:val="24"/>
          <w:szCs w:val="24"/>
          <w:u w:val="single"/>
        </w:rPr>
        <w:t>ACUERDO NUMERO UNO</w:t>
      </w:r>
      <w:r w:rsidRPr="00EC59A8">
        <w:rPr>
          <w:rFonts w:ascii="Times New Roman" w:eastAsia="Arial Unicode MS" w:hAnsi="Times New Roman" w:cs="Times New Roman"/>
          <w:b/>
          <w:sz w:val="24"/>
          <w:szCs w:val="24"/>
          <w:u w:val="single"/>
        </w:rPr>
        <w:t>:</w:t>
      </w:r>
      <w:r w:rsidRPr="000E27EA">
        <w:rPr>
          <w:rFonts w:ascii="Times New Roman" w:hAnsi="Times New Roman" w:cs="Times New Roman"/>
          <w:sz w:val="24"/>
          <w:szCs w:val="24"/>
        </w:rPr>
        <w:t xml:space="preserve"> </w:t>
      </w:r>
      <w:r w:rsidRPr="00BD3662">
        <w:rPr>
          <w:rFonts w:ascii="Times New Roman" w:hAnsi="Times New Roman" w:cs="Times New Roman"/>
          <w:sz w:val="24"/>
          <w:szCs w:val="24"/>
        </w:rPr>
        <w:t>El Concejo Municipal en</w:t>
      </w:r>
      <w:r>
        <w:rPr>
          <w:rFonts w:ascii="Times New Roman" w:hAnsi="Times New Roman" w:cs="Times New Roman"/>
          <w:sz w:val="24"/>
          <w:szCs w:val="24"/>
        </w:rPr>
        <w:t xml:space="preserve"> vista del informe de Licenciado Edwin Romeo Pérez Jefe Jurídico,  quien hace saber que se ha recibido la notificaciones del Ministerio de Trabajo de las inspecciones que realizaron los días 09 y 11 de octubre del presente año, </w:t>
      </w:r>
      <w:r w:rsidRPr="00D354C4">
        <w:rPr>
          <w:rFonts w:ascii="Times New Roman" w:hAnsi="Times New Roman" w:cs="Times New Roman"/>
          <w:sz w:val="24"/>
          <w:szCs w:val="24"/>
        </w:rPr>
        <w:t>son seis en total viene una serie de r</w:t>
      </w:r>
      <w:r>
        <w:rPr>
          <w:rFonts w:ascii="Times New Roman" w:hAnsi="Times New Roman" w:cs="Times New Roman"/>
          <w:sz w:val="24"/>
          <w:szCs w:val="24"/>
        </w:rPr>
        <w:t>ecomendaciones, las cuales anexa</w:t>
      </w:r>
      <w:r w:rsidRPr="00D354C4">
        <w:rPr>
          <w:rFonts w:ascii="Times New Roman" w:hAnsi="Times New Roman" w:cs="Times New Roman"/>
          <w:sz w:val="24"/>
          <w:szCs w:val="24"/>
        </w:rPr>
        <w:t xml:space="preserve"> en fotocopia simple y en la Agencia Alta Vista como el polideportivo de </w:t>
      </w:r>
      <w:proofErr w:type="spellStart"/>
      <w:r w:rsidRPr="00D354C4">
        <w:rPr>
          <w:rFonts w:ascii="Times New Roman" w:hAnsi="Times New Roman" w:cs="Times New Roman"/>
          <w:sz w:val="24"/>
          <w:szCs w:val="24"/>
        </w:rPr>
        <w:t>Tonacatepeque</w:t>
      </w:r>
      <w:proofErr w:type="spellEnd"/>
      <w:r w:rsidRPr="00D354C4">
        <w:rPr>
          <w:rFonts w:ascii="Times New Roman" w:hAnsi="Times New Roman" w:cs="Times New Roman"/>
          <w:sz w:val="24"/>
          <w:szCs w:val="24"/>
        </w:rPr>
        <w:t xml:space="preserve"> Municipal nos dan 30 días hábiles para su cumplimiento; en el Plantel Municipal nos dan 60 días hábiles para cumplir y en la Alcaldía central nos dan 45 días hábiles para cumplirlo; En las hojas tamaño oficio vienen infracciones que se han constatado que se han cometido en la </w:t>
      </w:r>
      <w:r w:rsidRPr="00D354C4">
        <w:rPr>
          <w:rFonts w:ascii="Times New Roman" w:hAnsi="Times New Roman" w:cs="Times New Roman"/>
          <w:sz w:val="24"/>
          <w:szCs w:val="24"/>
        </w:rPr>
        <w:lastRenderedPageBreak/>
        <w:t xml:space="preserve">Municipalidad y son básicamente las mismas recomendaciones y acá nos dan  para realizar el programa de gestión de riesgo 20 días hábiles, para colocar señalización de rutas y salidas como puntos de encuentro, señales de alto voltaje, señales de extintores, gradas etc. Buena iluminación en las oficinas 15 días hábiles. Impermeabilidad de las paredes y techos como bodega y contabilidad 45 días hábiles esto en la alcaldía central  de </w:t>
      </w:r>
      <w:proofErr w:type="spellStart"/>
      <w:r w:rsidRPr="00D354C4">
        <w:rPr>
          <w:rFonts w:ascii="Times New Roman" w:hAnsi="Times New Roman" w:cs="Times New Roman"/>
          <w:sz w:val="24"/>
          <w:szCs w:val="24"/>
        </w:rPr>
        <w:t>Tonacatepeque</w:t>
      </w:r>
      <w:proofErr w:type="spellEnd"/>
      <w:r>
        <w:rPr>
          <w:rFonts w:ascii="Times New Roman" w:hAnsi="Times New Roman" w:cs="Times New Roman"/>
          <w:sz w:val="24"/>
          <w:szCs w:val="24"/>
        </w:rPr>
        <w:t>;  e</w:t>
      </w:r>
      <w:r w:rsidRPr="00D354C4">
        <w:rPr>
          <w:rFonts w:ascii="Times New Roman" w:hAnsi="Times New Roman" w:cs="Times New Roman"/>
          <w:sz w:val="24"/>
          <w:szCs w:val="24"/>
        </w:rPr>
        <w:t>n cuanto al plantel Municipal las infracciones (siempre hojas tamaño carta) están según Art. 79  Ley G</w:t>
      </w:r>
      <w:r>
        <w:rPr>
          <w:rFonts w:ascii="Times New Roman" w:hAnsi="Times New Roman" w:cs="Times New Roman"/>
          <w:sz w:val="24"/>
          <w:szCs w:val="24"/>
        </w:rPr>
        <w:t>eneral de Prevención de riesgo</w:t>
      </w:r>
      <w:r w:rsidRPr="00D354C4">
        <w:rPr>
          <w:rFonts w:ascii="Times New Roman" w:hAnsi="Times New Roman" w:cs="Times New Roman"/>
          <w:sz w:val="24"/>
          <w:szCs w:val="24"/>
        </w:rPr>
        <w:t>: No brindar capacitación a los trabajadores acerca de los riesgos del puesto de trabajo susceptibles de causar daños a su integridad y salud; No contar el lugar de trabajo con un plan de emergencia en casos de accidentes o desastres; La inexistencia de un Comité de Seguridad y Salud Ocupacional, en los casos exigidos en la presente ley; El incumplimiento de la obligación de formular y ejecutar el respectivo Programa de Gestión de Prevención de Riesgos Ocupacionales de la empresa. Nos dan veinte días hábiles para cumplirlo; Según el Art. 78 Ley de prevención de riesgos en los lugares de trabajo hay infracciones como: La falta de limpieza del lugar de trabajo que no implique un riesgo grave para la integridad y salud de los trabajadores y trabajadoras, No proporcionar el empleador a sus trabajadores, asientos de conformidad a la clase de labor que desempeñan, La ausencia de un espacio adecuado para que los trabajadores y trabajadoras tomen sus alimentos, cuando por la naturaleza del trabajo sea necesario que los ingieran dentro del establecimiento. Para el cumplimiento nos dan 15 días hábiles.</w:t>
      </w:r>
      <w:r>
        <w:rPr>
          <w:rFonts w:ascii="Times New Roman" w:hAnsi="Times New Roman" w:cs="Times New Roman"/>
          <w:sz w:val="24"/>
          <w:szCs w:val="24"/>
        </w:rPr>
        <w:t xml:space="preserve"> </w:t>
      </w:r>
      <w:r w:rsidRPr="00D354C4">
        <w:rPr>
          <w:rFonts w:ascii="Times New Roman" w:hAnsi="Times New Roman" w:cs="Times New Roman"/>
          <w:sz w:val="24"/>
          <w:szCs w:val="24"/>
        </w:rPr>
        <w:t>Según el Art. 79 Ley de prevención de riegos en los lugares de trabajo hay infracciones como: No resguardar de forma adecuada el equipo de protección personal, ropa de trabajo, herramientas especiales, y medios técnicos de protección colectiva de los trabajadores, No proporcionar el equipo de protección personal, herramientas, medios de protección colectiva o ropa de trabajo necesaria para la labor que los trabajadores y trabajadoras desempeñan conforme a la actividad que se realice, Carecer el lugar de trabajo de la iluminación suficiente para el buen desempeño de las labores.  Para su cumplimiento nos dan  treinta días hábiles. Y para cumplir el requerimiento de: Que las paredes y techos no sean impermeables ni posean la solidez y resistencia requerida, según el tipo de actividad que se desarrolle. Nos dan el plazo de 60 días hábiles.</w:t>
      </w:r>
      <w:r>
        <w:rPr>
          <w:rFonts w:ascii="Times New Roman" w:hAnsi="Times New Roman" w:cs="Times New Roman"/>
          <w:sz w:val="24"/>
          <w:szCs w:val="24"/>
        </w:rPr>
        <w:t xml:space="preserve"> Manifestando además que  Como Jurídico puede</w:t>
      </w:r>
      <w:r w:rsidRPr="00D354C4">
        <w:rPr>
          <w:rFonts w:ascii="Times New Roman" w:hAnsi="Times New Roman" w:cs="Times New Roman"/>
          <w:sz w:val="24"/>
          <w:szCs w:val="24"/>
        </w:rPr>
        <w:t xml:space="preserve"> solicitar más tiempo para el cumplimiento de estos y son únicamente  aquellos puntos en los cuales se necesitan hacer licitaciones o procesos en la UACI como por ejemplo la compra de sillas ergonómicas a todos los empleados o acomodar con condiciones bajo norma la bodega municipal pues según el Art. 367 Inc. 7 del Reglamento de prevención de riesgos nos da esa facultad  en algunas de las observaciones, pero para pedirlo debo de sustentarlo y el sustento jurídico sería un acuerdo Municipal en el cual se mandate el inicio del proceso de compra o del proyecto de remodelación </w:t>
      </w:r>
      <w:r>
        <w:rPr>
          <w:rFonts w:ascii="Times New Roman" w:hAnsi="Times New Roman" w:cs="Times New Roman"/>
          <w:sz w:val="24"/>
          <w:szCs w:val="24"/>
        </w:rPr>
        <w:t>en la bodega, por lo que sugiere</w:t>
      </w:r>
      <w:r w:rsidRPr="00D354C4">
        <w:rPr>
          <w:rFonts w:ascii="Times New Roman" w:hAnsi="Times New Roman" w:cs="Times New Roman"/>
          <w:sz w:val="24"/>
          <w:szCs w:val="24"/>
        </w:rPr>
        <w:t xml:space="preserve"> lo siguiente: se mandate a quien corresponda el cumplimiento de cada una de las recomendaciones hechas por el Ministerio de trabajo y que en el mismo acuerdo se manifieste que el comité de Seguridad Ocupacional será el encargado de velar dicho cumplimiento; así mismo por cada punto que se cumple se deberá fotografiar la acción y  levantar un acta la cual firmarán los miembros del comité y un miembro del sindicat</w:t>
      </w:r>
      <w:r>
        <w:rPr>
          <w:rFonts w:ascii="Times New Roman" w:hAnsi="Times New Roman" w:cs="Times New Roman"/>
          <w:sz w:val="24"/>
          <w:szCs w:val="24"/>
        </w:rPr>
        <w:t xml:space="preserve">o. El Concejo Municipal  Considera: </w:t>
      </w:r>
      <w:r w:rsidRPr="002272A5">
        <w:rPr>
          <w:rFonts w:ascii="Times New Roman" w:hAnsi="Times New Roman" w:cs="Times New Roman"/>
          <w:b/>
          <w:sz w:val="24"/>
          <w:szCs w:val="24"/>
        </w:rPr>
        <w:t>I)</w:t>
      </w:r>
      <w:r>
        <w:rPr>
          <w:rFonts w:ascii="Times New Roman" w:hAnsi="Times New Roman" w:cs="Times New Roman"/>
          <w:sz w:val="24"/>
          <w:szCs w:val="24"/>
        </w:rPr>
        <w:t xml:space="preserve"> Que  se debe tener un informe por parte de Gerencia General, y de tener las disponibilidad financiera que se cumplan las recomendaciones dadas por el Ministerio de Trabajo; por tanto en el uso de sus facultades legales se </w:t>
      </w:r>
      <w:r w:rsidRPr="00A03B54">
        <w:rPr>
          <w:rFonts w:ascii="Times New Roman" w:hAnsi="Times New Roman" w:cs="Times New Roman"/>
          <w:b/>
          <w:sz w:val="24"/>
          <w:szCs w:val="24"/>
        </w:rPr>
        <w:t>ACUERDA:</w:t>
      </w:r>
      <w:r>
        <w:rPr>
          <w:rFonts w:ascii="Times New Roman" w:hAnsi="Times New Roman" w:cs="Times New Roman"/>
          <w:sz w:val="24"/>
          <w:szCs w:val="24"/>
        </w:rPr>
        <w:t xml:space="preserve"> </w:t>
      </w:r>
      <w:r w:rsidRPr="00A03B54">
        <w:rPr>
          <w:rFonts w:ascii="Times New Roman" w:hAnsi="Times New Roman" w:cs="Times New Roman"/>
          <w:b/>
          <w:sz w:val="24"/>
          <w:szCs w:val="24"/>
        </w:rPr>
        <w:t>A)</w:t>
      </w:r>
      <w:r>
        <w:rPr>
          <w:rFonts w:ascii="Times New Roman" w:hAnsi="Times New Roman" w:cs="Times New Roman"/>
          <w:sz w:val="24"/>
          <w:szCs w:val="24"/>
        </w:rPr>
        <w:t xml:space="preserve"> se da por recibido el informe del Jefe Jurídico sobre  las notificaciones del Ministerio </w:t>
      </w:r>
      <w:r>
        <w:rPr>
          <w:rFonts w:ascii="Times New Roman" w:hAnsi="Times New Roman" w:cs="Times New Roman"/>
          <w:sz w:val="24"/>
          <w:szCs w:val="24"/>
        </w:rPr>
        <w:lastRenderedPageBreak/>
        <w:t xml:space="preserve">de Trabajo de inspecciones, infracciones y recomendaciones a cumplir.  </w:t>
      </w:r>
      <w:r w:rsidRPr="00A03B54">
        <w:rPr>
          <w:rFonts w:ascii="Times New Roman" w:hAnsi="Times New Roman" w:cs="Times New Roman"/>
          <w:b/>
          <w:sz w:val="24"/>
          <w:szCs w:val="24"/>
        </w:rPr>
        <w:t>B)</w:t>
      </w:r>
      <w:r>
        <w:rPr>
          <w:rFonts w:ascii="Times New Roman" w:hAnsi="Times New Roman" w:cs="Times New Roman"/>
          <w:sz w:val="24"/>
          <w:szCs w:val="24"/>
        </w:rPr>
        <w:t xml:space="preserve"> </w:t>
      </w:r>
      <w:r w:rsidRPr="00A03B54">
        <w:rPr>
          <w:rFonts w:ascii="Times New Roman" w:hAnsi="Times New Roman" w:cs="Times New Roman"/>
          <w:b/>
          <w:sz w:val="24"/>
          <w:szCs w:val="24"/>
        </w:rPr>
        <w:t>se Mandata al Gerente General Mario Rauda Quijano</w:t>
      </w:r>
      <w:r>
        <w:rPr>
          <w:rFonts w:ascii="Times New Roman" w:hAnsi="Times New Roman" w:cs="Times New Roman"/>
          <w:b/>
          <w:sz w:val="24"/>
          <w:szCs w:val="24"/>
        </w:rPr>
        <w:t>,</w:t>
      </w:r>
      <w:r>
        <w:rPr>
          <w:rFonts w:ascii="Times New Roman" w:hAnsi="Times New Roman" w:cs="Times New Roman"/>
          <w:sz w:val="24"/>
          <w:szCs w:val="24"/>
        </w:rPr>
        <w:t xml:space="preserve"> </w:t>
      </w:r>
      <w:r w:rsidRPr="003540D9">
        <w:rPr>
          <w:rFonts w:ascii="Times New Roman" w:hAnsi="Times New Roman" w:cs="Times New Roman"/>
          <w:b/>
          <w:sz w:val="24"/>
          <w:szCs w:val="24"/>
        </w:rPr>
        <w:t>para qué coordine con el  Comité de Seguridad y Salud Ocupacional de la Municipalidad, y las Unidades respectivas</w:t>
      </w:r>
      <w:r>
        <w:rPr>
          <w:rFonts w:ascii="Times New Roman" w:hAnsi="Times New Roman" w:cs="Times New Roman"/>
          <w:b/>
          <w:sz w:val="24"/>
          <w:szCs w:val="24"/>
        </w:rPr>
        <w:t>,</w:t>
      </w:r>
      <w:r w:rsidRPr="00A03B54">
        <w:rPr>
          <w:rFonts w:ascii="Times New Roman" w:hAnsi="Times New Roman" w:cs="Times New Roman"/>
          <w:sz w:val="24"/>
          <w:szCs w:val="24"/>
        </w:rPr>
        <w:t xml:space="preserve"> </w:t>
      </w:r>
      <w:r>
        <w:rPr>
          <w:rFonts w:ascii="Times New Roman" w:hAnsi="Times New Roman" w:cs="Times New Roman"/>
          <w:sz w:val="24"/>
          <w:szCs w:val="24"/>
        </w:rPr>
        <w:t xml:space="preserve">a la brevedad posible </w:t>
      </w:r>
      <w:r w:rsidRPr="00A03B54">
        <w:rPr>
          <w:rFonts w:ascii="Times New Roman" w:hAnsi="Times New Roman" w:cs="Times New Roman"/>
          <w:sz w:val="24"/>
          <w:szCs w:val="24"/>
        </w:rPr>
        <w:t>den seguimiento a todas las recomendaciones establecida</w:t>
      </w:r>
      <w:r>
        <w:rPr>
          <w:rFonts w:ascii="Times New Roman" w:hAnsi="Times New Roman" w:cs="Times New Roman"/>
          <w:sz w:val="24"/>
          <w:szCs w:val="24"/>
        </w:rPr>
        <w:t>s</w:t>
      </w:r>
      <w:r w:rsidRPr="00A03B54">
        <w:rPr>
          <w:rFonts w:ascii="Times New Roman" w:hAnsi="Times New Roman" w:cs="Times New Roman"/>
          <w:sz w:val="24"/>
          <w:szCs w:val="24"/>
        </w:rPr>
        <w:t xml:space="preserve"> por el Ministerio de Trabajo y Previsión Social </w:t>
      </w:r>
      <w:r w:rsidRPr="0088012A">
        <w:rPr>
          <w:rFonts w:ascii="Times New Roman" w:hAnsi="Times New Roman" w:cs="Times New Roman"/>
          <w:b/>
          <w:sz w:val="24"/>
          <w:szCs w:val="24"/>
        </w:rPr>
        <w:t>en el tiempo requerido</w:t>
      </w:r>
      <w:r>
        <w:rPr>
          <w:rFonts w:ascii="Times New Roman" w:hAnsi="Times New Roman" w:cs="Times New Roman"/>
          <w:sz w:val="24"/>
          <w:szCs w:val="24"/>
        </w:rPr>
        <w:t xml:space="preserve">, conforme  al informe y anexos remitidos por el Jefe jurídico;  </w:t>
      </w:r>
      <w:r w:rsidRPr="0088012A">
        <w:rPr>
          <w:rFonts w:ascii="Times New Roman" w:hAnsi="Times New Roman" w:cs="Times New Roman"/>
          <w:b/>
          <w:sz w:val="24"/>
          <w:szCs w:val="24"/>
        </w:rPr>
        <w:t>emita informe al Concejo Municipal</w:t>
      </w:r>
      <w:r>
        <w:rPr>
          <w:rFonts w:ascii="Times New Roman" w:hAnsi="Times New Roman" w:cs="Times New Roman"/>
          <w:sz w:val="24"/>
          <w:szCs w:val="24"/>
        </w:rPr>
        <w:t xml:space="preserve"> de las acciones que tomaron para cumplirlas( administrativas), </w:t>
      </w:r>
      <w:r w:rsidRPr="0088012A">
        <w:rPr>
          <w:rFonts w:ascii="Times New Roman" w:hAnsi="Times New Roman" w:cs="Times New Roman"/>
          <w:b/>
          <w:sz w:val="24"/>
          <w:szCs w:val="24"/>
        </w:rPr>
        <w:t xml:space="preserve">y las que se necesiten de erogaciones para cumplirse  informar </w:t>
      </w:r>
      <w:r>
        <w:rPr>
          <w:rFonts w:ascii="Times New Roman" w:hAnsi="Times New Roman" w:cs="Times New Roman"/>
          <w:b/>
          <w:sz w:val="24"/>
          <w:szCs w:val="24"/>
        </w:rPr>
        <w:t>al C</w:t>
      </w:r>
      <w:r w:rsidRPr="0088012A">
        <w:rPr>
          <w:rFonts w:ascii="Times New Roman" w:hAnsi="Times New Roman" w:cs="Times New Roman"/>
          <w:b/>
          <w:sz w:val="24"/>
          <w:szCs w:val="24"/>
        </w:rPr>
        <w:t xml:space="preserve">oncejo </w:t>
      </w:r>
      <w:r>
        <w:rPr>
          <w:rFonts w:ascii="Times New Roman" w:hAnsi="Times New Roman" w:cs="Times New Roman"/>
          <w:b/>
          <w:sz w:val="24"/>
          <w:szCs w:val="24"/>
        </w:rPr>
        <w:t xml:space="preserve"> Municipal </w:t>
      </w:r>
      <w:r w:rsidRPr="0088012A">
        <w:rPr>
          <w:rFonts w:ascii="Times New Roman" w:hAnsi="Times New Roman" w:cs="Times New Roman"/>
          <w:b/>
          <w:sz w:val="24"/>
          <w:szCs w:val="24"/>
        </w:rPr>
        <w:t xml:space="preserve">la disponibilidad financiera  </w:t>
      </w:r>
      <w:r>
        <w:rPr>
          <w:rFonts w:ascii="Times New Roman" w:hAnsi="Times New Roman" w:cs="Times New Roman"/>
          <w:sz w:val="24"/>
          <w:szCs w:val="24"/>
        </w:rPr>
        <w:t xml:space="preserve">con la que cuenta o no, con el fin de tomar una decisión  de dichos gastos. </w:t>
      </w:r>
      <w:r w:rsidRPr="00EC59A8">
        <w:rPr>
          <w:rFonts w:ascii="Times New Roman" w:eastAsia="Arial Unicode MS" w:hAnsi="Times New Roman" w:cs="Times New Roman"/>
          <w:b/>
          <w:sz w:val="24"/>
          <w:szCs w:val="24"/>
        </w:rPr>
        <w:t>CERTIFÍQUESE Y COMUNÍQUESE</w:t>
      </w:r>
      <w:r w:rsidRPr="00EC59A8">
        <w:rPr>
          <w:rFonts w:ascii="Times New Roman" w:eastAsia="Arial Unicode MS" w:hAnsi="Times New Roman" w:cs="Times New Roman"/>
          <w:sz w:val="24"/>
          <w:szCs w:val="24"/>
        </w:rPr>
        <w:t xml:space="preserve"> a: Sindicatura, Gerencia General, </w:t>
      </w:r>
      <w:r>
        <w:rPr>
          <w:rFonts w:ascii="Times New Roman" w:eastAsia="Arial Unicode MS" w:hAnsi="Times New Roman" w:cs="Times New Roman"/>
          <w:sz w:val="24"/>
          <w:szCs w:val="24"/>
        </w:rPr>
        <w:t xml:space="preserve"> </w:t>
      </w:r>
      <w:r w:rsidRPr="00EC59A8">
        <w:rPr>
          <w:rFonts w:ascii="Times New Roman" w:eastAsia="Arial Unicode MS" w:hAnsi="Times New Roman" w:cs="Times New Roman"/>
          <w:sz w:val="24"/>
          <w:szCs w:val="24"/>
        </w:rPr>
        <w:t>Despacho Municipal</w:t>
      </w:r>
      <w:r>
        <w:rPr>
          <w:rFonts w:ascii="Times New Roman" w:eastAsia="Arial Unicode MS" w:hAnsi="Times New Roman" w:cs="Times New Roman"/>
          <w:sz w:val="24"/>
          <w:szCs w:val="24"/>
        </w:rPr>
        <w:t>, Comité de Seguridad y Salud Ocupacional de la Municipalidad.</w:t>
      </w:r>
      <w:r w:rsidRPr="00D5656F">
        <w:rPr>
          <w:rFonts w:ascii="Times New Roman" w:eastAsia="Arial Unicode MS" w:hAnsi="Times New Roman" w:cs="Times New Roman"/>
          <w:b/>
          <w:sz w:val="24"/>
          <w:szCs w:val="24"/>
          <w:u w:val="single"/>
        </w:rPr>
        <w:t xml:space="preserve"> </w:t>
      </w:r>
      <w:r>
        <w:rPr>
          <w:rFonts w:ascii="Times New Roman" w:eastAsia="Arial Unicode MS" w:hAnsi="Times New Roman" w:cs="Times New Roman"/>
          <w:b/>
          <w:sz w:val="24"/>
          <w:szCs w:val="24"/>
          <w:u w:val="single"/>
        </w:rPr>
        <w:t xml:space="preserve">ACUERDO </w:t>
      </w:r>
      <w:proofErr w:type="gramStart"/>
      <w:r>
        <w:rPr>
          <w:rFonts w:ascii="Times New Roman" w:eastAsia="Arial Unicode MS" w:hAnsi="Times New Roman" w:cs="Times New Roman"/>
          <w:b/>
          <w:sz w:val="24"/>
          <w:szCs w:val="24"/>
          <w:u w:val="single"/>
        </w:rPr>
        <w:t>NUMERO</w:t>
      </w:r>
      <w:proofErr w:type="gramEnd"/>
      <w:r>
        <w:rPr>
          <w:rFonts w:ascii="Times New Roman" w:eastAsia="Arial Unicode MS" w:hAnsi="Times New Roman" w:cs="Times New Roman"/>
          <w:b/>
          <w:sz w:val="24"/>
          <w:szCs w:val="24"/>
          <w:u w:val="single"/>
        </w:rPr>
        <w:t xml:space="preserve"> DOS</w:t>
      </w:r>
      <w:r w:rsidRPr="00E74A26">
        <w:rPr>
          <w:rFonts w:ascii="Times New Roman" w:eastAsia="Arial Unicode MS" w:hAnsi="Times New Roman" w:cs="Times New Roman"/>
          <w:b/>
          <w:sz w:val="24"/>
          <w:szCs w:val="24"/>
          <w:u w:val="single"/>
        </w:rPr>
        <w:t>:</w:t>
      </w:r>
      <w:r w:rsidRPr="00E74A26">
        <w:rPr>
          <w:rFonts w:ascii="Times New Roman" w:hAnsi="Times New Roman" w:cs="Times New Roman"/>
          <w:sz w:val="24"/>
          <w:szCs w:val="24"/>
        </w:rPr>
        <w:t xml:space="preserve"> </w:t>
      </w:r>
      <w:r w:rsidRPr="003A15EB">
        <w:rPr>
          <w:rFonts w:ascii="Times New Roman" w:eastAsia="Calibri" w:hAnsi="Times New Roman" w:cs="Times New Roman"/>
          <w:sz w:val="24"/>
          <w:szCs w:val="24"/>
        </w:rPr>
        <w:t>El Concejo Municipal en vista que la Tesorera Municipal solicita autorización para realizar transferencia</w:t>
      </w:r>
      <w:r>
        <w:rPr>
          <w:rFonts w:ascii="Times New Roman" w:eastAsia="Calibri" w:hAnsi="Times New Roman" w:cs="Times New Roman"/>
          <w:sz w:val="24"/>
          <w:szCs w:val="24"/>
        </w:rPr>
        <w:t>s bancarias</w:t>
      </w:r>
      <w:r w:rsidRPr="003A15EB">
        <w:rPr>
          <w:rFonts w:ascii="Times New Roman" w:eastAsia="Calibri" w:hAnsi="Times New Roman" w:cs="Times New Roman"/>
          <w:sz w:val="24"/>
          <w:szCs w:val="24"/>
        </w:rPr>
        <w:t xml:space="preserve"> que remite; por tanto en el uso de sus facultades legales </w:t>
      </w:r>
      <w:r>
        <w:rPr>
          <w:rFonts w:ascii="Times New Roman" w:eastAsia="Calibri" w:hAnsi="Times New Roman" w:cs="Times New Roman"/>
          <w:sz w:val="24"/>
          <w:szCs w:val="24"/>
        </w:rPr>
        <w:t xml:space="preserve"> </w:t>
      </w:r>
      <w:r w:rsidRPr="003A15EB">
        <w:rPr>
          <w:rFonts w:ascii="Times New Roman" w:eastAsia="Calibri" w:hAnsi="Times New Roman" w:cs="Times New Roman"/>
          <w:sz w:val="24"/>
          <w:szCs w:val="24"/>
        </w:rPr>
        <w:t xml:space="preserve">se  </w:t>
      </w:r>
      <w:r w:rsidRPr="003A15EB">
        <w:rPr>
          <w:rFonts w:ascii="Times New Roman" w:eastAsia="Calibri" w:hAnsi="Times New Roman" w:cs="Times New Roman"/>
          <w:b/>
          <w:sz w:val="24"/>
          <w:szCs w:val="24"/>
        </w:rPr>
        <w:t>ACUERDA:</w:t>
      </w:r>
      <w:r w:rsidRPr="003A15EB">
        <w:rPr>
          <w:rFonts w:ascii="Times New Roman" w:eastAsia="Calibri" w:hAnsi="Times New Roman" w:cs="Times New Roman"/>
          <w:sz w:val="24"/>
          <w:szCs w:val="24"/>
        </w:rPr>
        <w:t xml:space="preserve"> se autoriza a la Tesorera Municipal</w:t>
      </w:r>
      <w:r>
        <w:rPr>
          <w:rFonts w:ascii="Times New Roman" w:eastAsia="Calibri" w:hAnsi="Times New Roman" w:cs="Times New Roman"/>
          <w:sz w:val="24"/>
          <w:szCs w:val="24"/>
        </w:rPr>
        <w:t xml:space="preserve"> para que realice la siguientes transferencias bancarias que  se detalla</w:t>
      </w:r>
      <w:r w:rsidRPr="003A15EB">
        <w:rPr>
          <w:rFonts w:ascii="Times New Roman" w:eastAsia="Calibri" w:hAnsi="Times New Roman" w:cs="Times New Roman"/>
          <w:sz w:val="24"/>
          <w:szCs w:val="24"/>
        </w:rPr>
        <w:t xml:space="preserve">: </w:t>
      </w:r>
      <w:r w:rsidRPr="00C70474">
        <w:rPr>
          <w:rFonts w:ascii="Times New Roman" w:hAnsi="Times New Roman" w:cs="Times New Roman"/>
          <w:sz w:val="24"/>
          <w:szCs w:val="24"/>
        </w:rPr>
        <w:t xml:space="preserve">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425"/>
        <w:gridCol w:w="1985"/>
        <w:gridCol w:w="1417"/>
        <w:gridCol w:w="993"/>
        <w:gridCol w:w="1701"/>
      </w:tblGrid>
      <w:tr w:rsidR="007C4A5F" w:rsidTr="00522E28">
        <w:trPr>
          <w:trHeight w:val="543"/>
        </w:trPr>
        <w:tc>
          <w:tcPr>
            <w:tcW w:w="518" w:type="dxa"/>
            <w:tcBorders>
              <w:top w:val="double" w:sz="4" w:space="0" w:color="6699FF"/>
              <w:left w:val="double" w:sz="4" w:space="0" w:color="6699FF"/>
              <w:bottom w:val="double" w:sz="4" w:space="0" w:color="6699FF"/>
              <w:right w:val="double" w:sz="4" w:space="0" w:color="6699FF"/>
            </w:tcBorders>
            <w:shd w:val="clear" w:color="auto" w:fill="FFFF00"/>
            <w:hideMark/>
          </w:tcPr>
          <w:p w:rsidR="007C4A5F" w:rsidRPr="00841ED8" w:rsidRDefault="007C4A5F" w:rsidP="00522E28">
            <w:pPr>
              <w:rPr>
                <w:rFonts w:asciiTheme="majorHAnsi" w:hAnsiTheme="majorHAnsi"/>
                <w:b/>
                <w:sz w:val="20"/>
                <w:szCs w:val="20"/>
              </w:rPr>
            </w:pPr>
            <w:r w:rsidRPr="00841ED8">
              <w:rPr>
                <w:rFonts w:asciiTheme="majorHAnsi" w:hAnsiTheme="majorHAnsi"/>
                <w:b/>
                <w:sz w:val="20"/>
                <w:szCs w:val="20"/>
              </w:rPr>
              <w:t>Nº</w:t>
            </w:r>
          </w:p>
        </w:tc>
        <w:tc>
          <w:tcPr>
            <w:tcW w:w="2425" w:type="dxa"/>
            <w:tcBorders>
              <w:top w:val="double" w:sz="4" w:space="0" w:color="6699FF"/>
              <w:left w:val="double" w:sz="4" w:space="0" w:color="6699FF"/>
              <w:bottom w:val="double" w:sz="4" w:space="0" w:color="6699FF"/>
              <w:right w:val="double" w:sz="4" w:space="0" w:color="6699FF"/>
            </w:tcBorders>
            <w:shd w:val="clear" w:color="auto" w:fill="FFFF00"/>
            <w:hideMark/>
          </w:tcPr>
          <w:p w:rsidR="007C4A5F" w:rsidRPr="00841ED8" w:rsidRDefault="007C4A5F" w:rsidP="00522E28">
            <w:pPr>
              <w:spacing w:before="240" w:line="360" w:lineRule="auto"/>
              <w:jc w:val="center"/>
              <w:rPr>
                <w:rFonts w:asciiTheme="majorHAnsi" w:hAnsiTheme="majorHAnsi" w:cs="Aparajita"/>
                <w:b/>
                <w:sz w:val="20"/>
                <w:szCs w:val="20"/>
              </w:rPr>
            </w:pPr>
            <w:r w:rsidRPr="00841ED8">
              <w:rPr>
                <w:rFonts w:asciiTheme="majorHAnsi" w:hAnsiTheme="majorHAnsi" w:cs="Aparajita"/>
                <w:b/>
                <w:sz w:val="20"/>
                <w:szCs w:val="20"/>
              </w:rPr>
              <w:t>TRANSFERIR FONDOS DE LA CUENTA</w:t>
            </w:r>
          </w:p>
        </w:tc>
        <w:tc>
          <w:tcPr>
            <w:tcW w:w="1985" w:type="dxa"/>
            <w:tcBorders>
              <w:top w:val="double" w:sz="4" w:space="0" w:color="6699FF"/>
              <w:left w:val="double" w:sz="4" w:space="0" w:color="6699FF"/>
              <w:bottom w:val="double" w:sz="4" w:space="0" w:color="6699FF"/>
              <w:right w:val="double" w:sz="4" w:space="0" w:color="6699FF"/>
            </w:tcBorders>
            <w:shd w:val="clear" w:color="auto" w:fill="FFFF00"/>
            <w:hideMark/>
          </w:tcPr>
          <w:p w:rsidR="007C4A5F" w:rsidRPr="00841ED8" w:rsidRDefault="007C4A5F" w:rsidP="00522E28">
            <w:pPr>
              <w:spacing w:before="240" w:line="360" w:lineRule="auto"/>
              <w:jc w:val="center"/>
              <w:rPr>
                <w:rFonts w:asciiTheme="majorHAnsi" w:hAnsiTheme="majorHAnsi" w:cs="Aparajita"/>
                <w:b/>
                <w:sz w:val="20"/>
                <w:szCs w:val="20"/>
              </w:rPr>
            </w:pPr>
            <w:r w:rsidRPr="00841ED8">
              <w:rPr>
                <w:rFonts w:asciiTheme="majorHAnsi" w:hAnsiTheme="majorHAnsi" w:cs="Aparajita"/>
                <w:b/>
                <w:sz w:val="20"/>
                <w:szCs w:val="20"/>
              </w:rPr>
              <w:t>A  LA CUENTA</w:t>
            </w:r>
          </w:p>
        </w:tc>
        <w:tc>
          <w:tcPr>
            <w:tcW w:w="1417" w:type="dxa"/>
            <w:tcBorders>
              <w:top w:val="double" w:sz="4" w:space="0" w:color="6699FF"/>
              <w:left w:val="double" w:sz="4" w:space="0" w:color="6699FF"/>
              <w:bottom w:val="double" w:sz="4" w:space="0" w:color="6699FF"/>
              <w:right w:val="double" w:sz="4" w:space="0" w:color="6699FF"/>
            </w:tcBorders>
            <w:shd w:val="clear" w:color="auto" w:fill="FFFF00"/>
            <w:hideMark/>
          </w:tcPr>
          <w:p w:rsidR="007C4A5F" w:rsidRPr="00841ED8" w:rsidRDefault="007C4A5F" w:rsidP="00522E28">
            <w:pPr>
              <w:spacing w:before="240" w:line="360" w:lineRule="auto"/>
              <w:rPr>
                <w:rFonts w:asciiTheme="majorHAnsi" w:hAnsiTheme="majorHAnsi" w:cs="Aparajita"/>
                <w:b/>
                <w:sz w:val="20"/>
                <w:szCs w:val="20"/>
              </w:rPr>
            </w:pPr>
            <w:r w:rsidRPr="00841ED8">
              <w:rPr>
                <w:rFonts w:asciiTheme="majorHAnsi" w:hAnsiTheme="majorHAnsi" w:cs="Aparajita"/>
                <w:b/>
                <w:sz w:val="20"/>
                <w:szCs w:val="20"/>
              </w:rPr>
              <w:t xml:space="preserve">        LA SUMA</w:t>
            </w:r>
          </w:p>
        </w:tc>
        <w:tc>
          <w:tcPr>
            <w:tcW w:w="993" w:type="dxa"/>
            <w:tcBorders>
              <w:top w:val="double" w:sz="4" w:space="0" w:color="6699FF"/>
              <w:left w:val="double" w:sz="4" w:space="0" w:color="6699FF"/>
              <w:bottom w:val="double" w:sz="4" w:space="0" w:color="6699FF"/>
              <w:right w:val="double" w:sz="4" w:space="0" w:color="6699FF"/>
            </w:tcBorders>
            <w:shd w:val="clear" w:color="auto" w:fill="FFFF00"/>
            <w:hideMark/>
          </w:tcPr>
          <w:p w:rsidR="007C4A5F" w:rsidRPr="00841ED8" w:rsidRDefault="007C4A5F" w:rsidP="00522E28">
            <w:pPr>
              <w:spacing w:before="240" w:line="360" w:lineRule="auto"/>
              <w:jc w:val="center"/>
              <w:rPr>
                <w:rFonts w:asciiTheme="majorHAnsi" w:hAnsiTheme="majorHAnsi" w:cs="Aparajita"/>
                <w:b/>
                <w:sz w:val="20"/>
                <w:szCs w:val="20"/>
              </w:rPr>
            </w:pPr>
            <w:r w:rsidRPr="00841ED8">
              <w:rPr>
                <w:rFonts w:asciiTheme="majorHAnsi" w:hAnsiTheme="majorHAnsi" w:cs="Aparajita"/>
                <w:b/>
                <w:sz w:val="20"/>
                <w:szCs w:val="20"/>
              </w:rPr>
              <w:t xml:space="preserve">LA SUMA </w:t>
            </w:r>
          </w:p>
        </w:tc>
        <w:tc>
          <w:tcPr>
            <w:tcW w:w="1701" w:type="dxa"/>
            <w:tcBorders>
              <w:top w:val="double" w:sz="4" w:space="0" w:color="6699FF"/>
              <w:left w:val="double" w:sz="4" w:space="0" w:color="6699FF"/>
              <w:bottom w:val="double" w:sz="4" w:space="0" w:color="6699FF"/>
              <w:right w:val="double" w:sz="4" w:space="0" w:color="6699FF"/>
            </w:tcBorders>
            <w:shd w:val="clear" w:color="auto" w:fill="FFFF00"/>
            <w:hideMark/>
          </w:tcPr>
          <w:p w:rsidR="007C4A5F" w:rsidRPr="00841ED8" w:rsidRDefault="007C4A5F" w:rsidP="00522E28">
            <w:pPr>
              <w:spacing w:before="240" w:line="360" w:lineRule="auto"/>
              <w:jc w:val="center"/>
              <w:rPr>
                <w:rFonts w:asciiTheme="majorHAnsi" w:hAnsiTheme="majorHAnsi" w:cs="Aparajita"/>
                <w:b/>
                <w:sz w:val="20"/>
                <w:szCs w:val="20"/>
              </w:rPr>
            </w:pPr>
            <w:r w:rsidRPr="00841ED8">
              <w:rPr>
                <w:rFonts w:asciiTheme="majorHAnsi" w:hAnsiTheme="majorHAnsi" w:cs="Aparajita"/>
                <w:b/>
                <w:sz w:val="20"/>
                <w:szCs w:val="20"/>
              </w:rPr>
              <w:t>EN CONCEPTO</w:t>
            </w:r>
          </w:p>
        </w:tc>
      </w:tr>
      <w:tr w:rsidR="007C4A5F" w:rsidTr="00522E28">
        <w:trPr>
          <w:trHeight w:val="543"/>
        </w:trPr>
        <w:tc>
          <w:tcPr>
            <w:tcW w:w="518"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sz w:val="20"/>
                <w:szCs w:val="20"/>
              </w:rPr>
            </w:pPr>
          </w:p>
        </w:tc>
        <w:tc>
          <w:tcPr>
            <w:tcW w:w="2425"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005-4000530-2</w:t>
            </w: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 xml:space="preserve">Fondo común municipalidad de </w:t>
            </w:r>
            <w:proofErr w:type="spellStart"/>
            <w:r w:rsidRPr="00841ED8">
              <w:rPr>
                <w:rFonts w:asciiTheme="majorHAnsi" w:hAnsiTheme="majorHAnsi" w:cs="Aparajita"/>
                <w:b/>
                <w:sz w:val="20"/>
                <w:szCs w:val="20"/>
              </w:rPr>
              <w:t>Tonacatepeque</w:t>
            </w:r>
            <w:proofErr w:type="spellEnd"/>
          </w:p>
          <w:p w:rsidR="007C4A5F" w:rsidRPr="00841ED8" w:rsidRDefault="007C4A5F" w:rsidP="00522E28">
            <w:pPr>
              <w:jc w:val="center"/>
              <w:rPr>
                <w:rFonts w:asciiTheme="majorHAnsi" w:hAnsiTheme="majorHAnsi" w:cs="Aparajita"/>
                <w:b/>
                <w:sz w:val="20"/>
                <w:szCs w:val="20"/>
              </w:rPr>
            </w:pPr>
          </w:p>
        </w:tc>
        <w:tc>
          <w:tcPr>
            <w:tcW w:w="1985"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00540008590</w:t>
            </w: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 xml:space="preserve">Apoyo al deporte en el municipio de </w:t>
            </w:r>
            <w:proofErr w:type="spellStart"/>
            <w:r w:rsidRPr="00841ED8">
              <w:rPr>
                <w:rFonts w:asciiTheme="majorHAnsi" w:hAnsiTheme="majorHAnsi" w:cs="Aparajita"/>
                <w:b/>
                <w:sz w:val="20"/>
                <w:szCs w:val="20"/>
              </w:rPr>
              <w:t>Tonacatepeque</w:t>
            </w:r>
            <w:proofErr w:type="spellEnd"/>
            <w:r w:rsidRPr="00841ED8">
              <w:rPr>
                <w:rFonts w:asciiTheme="majorHAnsi" w:hAnsiTheme="majorHAnsi" w:cs="Aparajita"/>
                <w:b/>
                <w:sz w:val="20"/>
                <w:szCs w:val="20"/>
              </w:rPr>
              <w:t xml:space="preserve"> año 2019 </w:t>
            </w:r>
          </w:p>
          <w:p w:rsidR="007C4A5F" w:rsidRPr="00841ED8" w:rsidRDefault="007C4A5F" w:rsidP="00522E28">
            <w:pPr>
              <w:jc w:val="center"/>
              <w:rPr>
                <w:rFonts w:asciiTheme="majorHAnsi" w:hAnsiTheme="majorHAnsi" w:cs="Aparajita"/>
                <w:b/>
                <w:sz w:val="20"/>
                <w:szCs w:val="20"/>
              </w:rPr>
            </w:pPr>
          </w:p>
        </w:tc>
        <w:tc>
          <w:tcPr>
            <w:tcW w:w="1417"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r w:rsidRPr="00841ED8">
              <w:rPr>
                <w:rFonts w:asciiTheme="majorHAnsi" w:hAnsiTheme="majorHAnsi" w:cs="Aparajita"/>
                <w:b/>
                <w:sz w:val="20"/>
                <w:szCs w:val="20"/>
              </w:rPr>
              <w:t xml:space="preserve">    $2.54 </w:t>
            </w:r>
          </w:p>
        </w:tc>
        <w:tc>
          <w:tcPr>
            <w:tcW w:w="993"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b/>
                <w:sz w:val="20"/>
                <w:szCs w:val="20"/>
              </w:rPr>
            </w:pPr>
          </w:p>
        </w:tc>
        <w:tc>
          <w:tcPr>
            <w:tcW w:w="1701" w:type="dxa"/>
            <w:tcBorders>
              <w:top w:val="double" w:sz="4" w:space="0" w:color="6699FF"/>
              <w:left w:val="double" w:sz="4" w:space="0" w:color="6699FF"/>
              <w:bottom w:val="double" w:sz="4" w:space="0" w:color="6699FF"/>
              <w:right w:val="double" w:sz="4" w:space="0" w:color="6699FF"/>
            </w:tcBorders>
            <w:hideMark/>
          </w:tcPr>
          <w:p w:rsidR="007C4A5F" w:rsidRPr="00841ED8" w:rsidRDefault="007C4A5F" w:rsidP="00522E28">
            <w:pPr>
              <w:rPr>
                <w:rFonts w:asciiTheme="majorHAnsi" w:hAnsiTheme="majorHAnsi"/>
                <w:b/>
                <w:sz w:val="20"/>
                <w:szCs w:val="20"/>
              </w:rPr>
            </w:pPr>
          </w:p>
          <w:p w:rsidR="007C4A5F" w:rsidRPr="00841ED8" w:rsidRDefault="007C4A5F" w:rsidP="00522E28">
            <w:pPr>
              <w:rPr>
                <w:rFonts w:asciiTheme="majorHAnsi" w:hAnsiTheme="majorHAnsi"/>
                <w:b/>
                <w:sz w:val="20"/>
                <w:szCs w:val="20"/>
              </w:rPr>
            </w:pPr>
            <w:r w:rsidRPr="00841ED8">
              <w:rPr>
                <w:rFonts w:asciiTheme="majorHAnsi" w:hAnsiTheme="majorHAnsi"/>
                <w:b/>
                <w:sz w:val="20"/>
                <w:szCs w:val="20"/>
              </w:rPr>
              <w:t>En concepto de compra de chequera</w:t>
            </w:r>
          </w:p>
        </w:tc>
      </w:tr>
      <w:tr w:rsidR="007C4A5F" w:rsidTr="00522E28">
        <w:trPr>
          <w:trHeight w:val="543"/>
        </w:trPr>
        <w:tc>
          <w:tcPr>
            <w:tcW w:w="518"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sz w:val="20"/>
                <w:szCs w:val="20"/>
              </w:rPr>
            </w:pPr>
          </w:p>
        </w:tc>
        <w:tc>
          <w:tcPr>
            <w:tcW w:w="2425"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00540008590</w:t>
            </w: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 xml:space="preserve">Apoyo al deporte en el municipio de </w:t>
            </w:r>
            <w:proofErr w:type="spellStart"/>
            <w:r w:rsidRPr="00841ED8">
              <w:rPr>
                <w:rFonts w:asciiTheme="majorHAnsi" w:hAnsiTheme="majorHAnsi" w:cs="Aparajita"/>
                <w:b/>
                <w:sz w:val="20"/>
                <w:szCs w:val="20"/>
              </w:rPr>
              <w:t>Tonacatepeque</w:t>
            </w:r>
            <w:proofErr w:type="spellEnd"/>
            <w:r w:rsidRPr="00841ED8">
              <w:rPr>
                <w:rFonts w:asciiTheme="majorHAnsi" w:hAnsiTheme="majorHAnsi" w:cs="Aparajita"/>
                <w:b/>
                <w:sz w:val="20"/>
                <w:szCs w:val="20"/>
              </w:rPr>
              <w:t xml:space="preserve"> año 2019 </w:t>
            </w:r>
          </w:p>
          <w:p w:rsidR="007C4A5F" w:rsidRPr="00841ED8" w:rsidRDefault="007C4A5F" w:rsidP="00522E28">
            <w:pPr>
              <w:jc w:val="center"/>
              <w:rPr>
                <w:rFonts w:asciiTheme="majorHAnsi" w:hAnsiTheme="majorHAnsi" w:cs="Aparajita"/>
                <w:b/>
                <w:sz w:val="20"/>
                <w:szCs w:val="20"/>
              </w:rPr>
            </w:pPr>
          </w:p>
        </w:tc>
        <w:tc>
          <w:tcPr>
            <w:tcW w:w="1985"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005-4000530-2</w:t>
            </w: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 xml:space="preserve">Fondo común municipalidad de </w:t>
            </w:r>
            <w:proofErr w:type="spellStart"/>
            <w:r w:rsidRPr="00841ED8">
              <w:rPr>
                <w:rFonts w:asciiTheme="majorHAnsi" w:hAnsiTheme="majorHAnsi" w:cs="Aparajita"/>
                <w:b/>
                <w:sz w:val="20"/>
                <w:szCs w:val="20"/>
              </w:rPr>
              <w:t>Tonacatepeque</w:t>
            </w:r>
            <w:proofErr w:type="spellEnd"/>
          </w:p>
          <w:p w:rsidR="007C4A5F" w:rsidRPr="00841ED8" w:rsidRDefault="007C4A5F" w:rsidP="00522E28">
            <w:pPr>
              <w:jc w:val="center"/>
              <w:rPr>
                <w:rFonts w:asciiTheme="majorHAnsi" w:hAnsiTheme="majorHAnsi" w:cs="Aparajita"/>
                <w:b/>
                <w:sz w:val="20"/>
                <w:szCs w:val="20"/>
              </w:rPr>
            </w:pPr>
          </w:p>
        </w:tc>
        <w:tc>
          <w:tcPr>
            <w:tcW w:w="1417"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r w:rsidRPr="00841ED8">
              <w:rPr>
                <w:rFonts w:asciiTheme="majorHAnsi" w:hAnsiTheme="majorHAnsi" w:cs="Aparajita"/>
                <w:b/>
                <w:sz w:val="20"/>
                <w:szCs w:val="20"/>
              </w:rPr>
              <w:t>$29.00</w:t>
            </w:r>
          </w:p>
        </w:tc>
        <w:tc>
          <w:tcPr>
            <w:tcW w:w="993"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b/>
                <w:sz w:val="20"/>
                <w:szCs w:val="20"/>
              </w:rPr>
            </w:pPr>
          </w:p>
        </w:tc>
        <w:tc>
          <w:tcPr>
            <w:tcW w:w="1701"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b/>
                <w:sz w:val="20"/>
                <w:szCs w:val="20"/>
              </w:rPr>
            </w:pPr>
          </w:p>
          <w:p w:rsidR="007C4A5F" w:rsidRPr="00841ED8" w:rsidRDefault="007C4A5F" w:rsidP="00522E28">
            <w:pPr>
              <w:rPr>
                <w:rFonts w:asciiTheme="majorHAnsi" w:hAnsiTheme="majorHAnsi"/>
                <w:b/>
                <w:sz w:val="20"/>
                <w:szCs w:val="20"/>
              </w:rPr>
            </w:pPr>
            <w:r w:rsidRPr="00841ED8">
              <w:rPr>
                <w:rFonts w:asciiTheme="majorHAnsi" w:hAnsiTheme="majorHAnsi"/>
                <w:b/>
                <w:sz w:val="20"/>
                <w:szCs w:val="20"/>
              </w:rPr>
              <w:t xml:space="preserve"> En concepto de devolución de renta del mes de mayo del </w:t>
            </w:r>
            <w:proofErr w:type="spellStart"/>
            <w:r w:rsidRPr="00841ED8">
              <w:rPr>
                <w:rFonts w:asciiTheme="majorHAnsi" w:hAnsiTheme="majorHAnsi"/>
                <w:b/>
                <w:sz w:val="20"/>
                <w:szCs w:val="20"/>
              </w:rPr>
              <w:t>sr.</w:t>
            </w:r>
            <w:proofErr w:type="spellEnd"/>
            <w:r w:rsidRPr="00841ED8">
              <w:rPr>
                <w:rFonts w:asciiTheme="majorHAnsi" w:hAnsiTheme="majorHAnsi"/>
                <w:b/>
                <w:sz w:val="20"/>
                <w:szCs w:val="20"/>
              </w:rPr>
              <w:t xml:space="preserve"> Francisco Guardado ya que por error involuntario se pagó de la cuenta del fondo común  por lo que se hace su respectiva devolución a su cuenta de origen</w:t>
            </w:r>
          </w:p>
          <w:p w:rsidR="007C4A5F" w:rsidRPr="00841ED8" w:rsidRDefault="007C4A5F" w:rsidP="00522E28">
            <w:pPr>
              <w:rPr>
                <w:rFonts w:asciiTheme="majorHAnsi" w:hAnsiTheme="majorHAnsi"/>
                <w:b/>
                <w:sz w:val="20"/>
                <w:szCs w:val="20"/>
              </w:rPr>
            </w:pPr>
          </w:p>
        </w:tc>
      </w:tr>
      <w:tr w:rsidR="007C4A5F" w:rsidTr="00522E28">
        <w:trPr>
          <w:trHeight w:val="543"/>
        </w:trPr>
        <w:tc>
          <w:tcPr>
            <w:tcW w:w="518"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b/>
                <w:sz w:val="20"/>
                <w:szCs w:val="20"/>
              </w:rPr>
            </w:pPr>
          </w:p>
        </w:tc>
        <w:tc>
          <w:tcPr>
            <w:tcW w:w="2425"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005-40005310</w:t>
            </w: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lastRenderedPageBreak/>
              <w:t xml:space="preserve">Alcaldía Municipal de </w:t>
            </w:r>
            <w:proofErr w:type="spellStart"/>
            <w:r w:rsidRPr="00841ED8">
              <w:rPr>
                <w:rFonts w:asciiTheme="majorHAnsi" w:hAnsiTheme="majorHAnsi" w:cs="Aparajita"/>
                <w:b/>
                <w:sz w:val="20"/>
                <w:szCs w:val="20"/>
              </w:rPr>
              <w:t>Tonacatepeque</w:t>
            </w:r>
            <w:proofErr w:type="spellEnd"/>
            <w:r w:rsidRPr="00841ED8">
              <w:rPr>
                <w:rFonts w:asciiTheme="majorHAnsi" w:hAnsiTheme="majorHAnsi" w:cs="Aparajita"/>
                <w:b/>
                <w:sz w:val="20"/>
                <w:szCs w:val="20"/>
              </w:rPr>
              <w:t>/ FODES/ISDEM 75%.</w:t>
            </w: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p>
        </w:tc>
        <w:tc>
          <w:tcPr>
            <w:tcW w:w="1985"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cs="Aparajita"/>
                <w:b/>
                <w:sz w:val="20"/>
                <w:szCs w:val="20"/>
              </w:rPr>
              <w:t>005-40008611</w:t>
            </w:r>
          </w:p>
          <w:p w:rsidR="007C4A5F" w:rsidRPr="00841ED8" w:rsidRDefault="007C4A5F" w:rsidP="00522E28">
            <w:pPr>
              <w:jc w:val="center"/>
              <w:rPr>
                <w:rFonts w:asciiTheme="majorHAnsi" w:hAnsiTheme="majorHAnsi" w:cs="Aparajita"/>
                <w:b/>
                <w:sz w:val="20"/>
                <w:szCs w:val="20"/>
              </w:rPr>
            </w:pPr>
          </w:p>
          <w:p w:rsidR="007C4A5F" w:rsidRPr="00841ED8" w:rsidRDefault="007C4A5F" w:rsidP="00522E28">
            <w:pPr>
              <w:jc w:val="center"/>
              <w:rPr>
                <w:rFonts w:asciiTheme="majorHAnsi" w:hAnsiTheme="majorHAnsi" w:cs="Aparajita"/>
                <w:b/>
                <w:sz w:val="20"/>
                <w:szCs w:val="20"/>
              </w:rPr>
            </w:pPr>
            <w:r w:rsidRPr="00841ED8">
              <w:rPr>
                <w:rFonts w:asciiTheme="majorHAnsi" w:hAnsiTheme="majorHAnsi"/>
                <w:b/>
                <w:sz w:val="20"/>
                <w:szCs w:val="20"/>
              </w:rPr>
              <w:lastRenderedPageBreak/>
              <w:t xml:space="preserve">Mantenimiento de caminos vecinales rurales del municipio de </w:t>
            </w:r>
            <w:proofErr w:type="spellStart"/>
            <w:r w:rsidRPr="00841ED8">
              <w:rPr>
                <w:rFonts w:asciiTheme="majorHAnsi" w:hAnsiTheme="majorHAnsi"/>
                <w:b/>
                <w:sz w:val="20"/>
                <w:szCs w:val="20"/>
              </w:rPr>
              <w:t>Tonacatepeque</w:t>
            </w:r>
            <w:proofErr w:type="spellEnd"/>
            <w:r w:rsidRPr="00841ED8">
              <w:rPr>
                <w:rFonts w:asciiTheme="majorHAnsi" w:hAnsiTheme="majorHAnsi"/>
                <w:b/>
                <w:sz w:val="20"/>
                <w:szCs w:val="20"/>
              </w:rPr>
              <w:t xml:space="preserve"> año 2019</w:t>
            </w:r>
          </w:p>
          <w:p w:rsidR="007C4A5F" w:rsidRPr="00841ED8" w:rsidRDefault="007C4A5F" w:rsidP="00522E28">
            <w:pPr>
              <w:jc w:val="center"/>
              <w:rPr>
                <w:rFonts w:asciiTheme="majorHAnsi" w:hAnsiTheme="majorHAnsi" w:cs="Aparajita"/>
                <w:b/>
                <w:sz w:val="20"/>
                <w:szCs w:val="20"/>
              </w:rPr>
            </w:pPr>
          </w:p>
        </w:tc>
        <w:tc>
          <w:tcPr>
            <w:tcW w:w="1417"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p>
          <w:p w:rsidR="007C4A5F" w:rsidRPr="00841ED8" w:rsidRDefault="007C4A5F" w:rsidP="00522E28">
            <w:pPr>
              <w:rPr>
                <w:rFonts w:asciiTheme="majorHAnsi" w:hAnsiTheme="majorHAnsi" w:cs="Aparajita"/>
                <w:b/>
                <w:sz w:val="20"/>
                <w:szCs w:val="20"/>
              </w:rPr>
            </w:pPr>
            <w:r w:rsidRPr="00841ED8">
              <w:rPr>
                <w:rFonts w:asciiTheme="majorHAnsi" w:hAnsiTheme="majorHAnsi" w:cs="Aparajita"/>
                <w:b/>
                <w:sz w:val="20"/>
                <w:szCs w:val="20"/>
              </w:rPr>
              <w:lastRenderedPageBreak/>
              <w:t xml:space="preserve">   $305.22</w:t>
            </w:r>
          </w:p>
        </w:tc>
        <w:tc>
          <w:tcPr>
            <w:tcW w:w="993"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b/>
                <w:sz w:val="20"/>
                <w:szCs w:val="20"/>
              </w:rPr>
            </w:pPr>
          </w:p>
        </w:tc>
        <w:tc>
          <w:tcPr>
            <w:tcW w:w="1701" w:type="dxa"/>
            <w:tcBorders>
              <w:top w:val="double" w:sz="4" w:space="0" w:color="6699FF"/>
              <w:left w:val="double" w:sz="4" w:space="0" w:color="6699FF"/>
              <w:bottom w:val="double" w:sz="4" w:space="0" w:color="6699FF"/>
              <w:right w:val="double" w:sz="4" w:space="0" w:color="6699FF"/>
            </w:tcBorders>
          </w:tcPr>
          <w:p w:rsidR="007C4A5F" w:rsidRPr="00841ED8" w:rsidRDefault="007C4A5F" w:rsidP="00522E28">
            <w:pPr>
              <w:rPr>
                <w:rFonts w:asciiTheme="majorHAnsi" w:hAnsiTheme="majorHAnsi"/>
                <w:b/>
                <w:sz w:val="20"/>
                <w:szCs w:val="20"/>
              </w:rPr>
            </w:pPr>
          </w:p>
          <w:p w:rsidR="007C4A5F" w:rsidRPr="00841ED8" w:rsidRDefault="007C4A5F" w:rsidP="00522E28">
            <w:pPr>
              <w:rPr>
                <w:rFonts w:asciiTheme="majorHAnsi" w:hAnsiTheme="majorHAnsi"/>
                <w:b/>
                <w:sz w:val="20"/>
                <w:szCs w:val="20"/>
              </w:rPr>
            </w:pPr>
            <w:r w:rsidRPr="00841ED8">
              <w:rPr>
                <w:rFonts w:asciiTheme="majorHAnsi" w:hAnsiTheme="majorHAnsi"/>
                <w:b/>
                <w:sz w:val="20"/>
                <w:szCs w:val="20"/>
              </w:rPr>
              <w:t xml:space="preserve">En concepto de pago de Combustible </w:t>
            </w:r>
            <w:r w:rsidRPr="00841ED8">
              <w:rPr>
                <w:rFonts w:asciiTheme="majorHAnsi" w:hAnsiTheme="majorHAnsi"/>
                <w:b/>
                <w:sz w:val="20"/>
                <w:szCs w:val="20"/>
              </w:rPr>
              <w:lastRenderedPageBreak/>
              <w:t>comprendido en el periodo del 11  al  15 de Noviembre 2019.</w:t>
            </w:r>
          </w:p>
          <w:p w:rsidR="007C4A5F" w:rsidRPr="00841ED8" w:rsidRDefault="007C4A5F" w:rsidP="00522E28">
            <w:pPr>
              <w:rPr>
                <w:rFonts w:asciiTheme="majorHAnsi" w:hAnsiTheme="majorHAnsi"/>
                <w:b/>
                <w:sz w:val="20"/>
                <w:szCs w:val="20"/>
              </w:rPr>
            </w:pPr>
          </w:p>
        </w:tc>
      </w:tr>
    </w:tbl>
    <w:p w:rsidR="007C4A5F" w:rsidRPr="005074CA" w:rsidRDefault="007C4A5F" w:rsidP="007C4A5F">
      <w:pPr>
        <w:spacing w:line="240" w:lineRule="auto"/>
        <w:jc w:val="both"/>
        <w:rPr>
          <w:rFonts w:ascii="Times New Roman" w:hAnsi="Times New Roman" w:cs="Times New Roman"/>
          <w:sz w:val="24"/>
          <w:szCs w:val="24"/>
        </w:rPr>
      </w:pPr>
      <w:r w:rsidRPr="009D0C55">
        <w:rPr>
          <w:rFonts w:ascii="Times New Roman" w:hAnsi="Times New Roman" w:cs="Times New Roman"/>
          <w:b/>
          <w:sz w:val="24"/>
          <w:szCs w:val="24"/>
        </w:rPr>
        <w:lastRenderedPageBreak/>
        <w:t>Se hace constar</w:t>
      </w:r>
      <w:r w:rsidRPr="009D0C55">
        <w:rPr>
          <w:rFonts w:ascii="Times New Roman" w:hAnsi="Times New Roman" w:cs="Times New Roman"/>
          <w:sz w:val="24"/>
          <w:szCs w:val="24"/>
        </w:rPr>
        <w:t xml:space="preserve"> que los siguientes concejales propietarios: Omar Antonio Serrano Hernández, María Lina Castellanos Campos Reales, Cosme </w:t>
      </w:r>
      <w:proofErr w:type="spellStart"/>
      <w:r w:rsidRPr="009D0C55">
        <w:rPr>
          <w:rFonts w:ascii="Times New Roman" w:hAnsi="Times New Roman" w:cs="Times New Roman"/>
          <w:sz w:val="24"/>
          <w:szCs w:val="24"/>
        </w:rPr>
        <w:t>Arquímides</w:t>
      </w:r>
      <w:proofErr w:type="spellEnd"/>
      <w:r w:rsidRPr="009D0C55">
        <w:rPr>
          <w:rFonts w:ascii="Times New Roman" w:hAnsi="Times New Roman" w:cs="Times New Roman"/>
          <w:sz w:val="24"/>
          <w:szCs w:val="24"/>
        </w:rPr>
        <w:t xml:space="preserve"> Reyes Gómez, y Carlos Ernesto Ulloa Salinas, solo votan por la primera transferencia bancaria; y no dan sus votos en las transferencias: del Apoyo al deporte en el municipio de </w:t>
      </w:r>
      <w:proofErr w:type="spellStart"/>
      <w:r w:rsidRPr="009D0C55">
        <w:rPr>
          <w:rFonts w:ascii="Times New Roman" w:hAnsi="Times New Roman" w:cs="Times New Roman"/>
          <w:sz w:val="24"/>
          <w:szCs w:val="24"/>
        </w:rPr>
        <w:t>Tonacatepeque</w:t>
      </w:r>
      <w:proofErr w:type="spellEnd"/>
      <w:r w:rsidRPr="009D0C55">
        <w:rPr>
          <w:rFonts w:ascii="Times New Roman" w:hAnsi="Times New Roman" w:cs="Times New Roman"/>
          <w:sz w:val="24"/>
          <w:szCs w:val="24"/>
        </w:rPr>
        <w:t xml:space="preserve"> año 2019  al  Fondo común; y del  Fondo FODES 75% a la Cuenta Mantenimiento de Caminos vecinales rurales del Municipio.</w:t>
      </w:r>
      <w:r w:rsidRPr="009D0C55">
        <w:rPr>
          <w:rFonts w:ascii="Times New Roman" w:hAnsi="Times New Roman" w:cs="Times New Roman"/>
          <w:b/>
          <w:sz w:val="24"/>
          <w:szCs w:val="24"/>
        </w:rPr>
        <w:t xml:space="preserve"> CERTIFÍQUESE Y COMUNÍQUESE</w:t>
      </w:r>
      <w:r w:rsidRPr="009D0C55">
        <w:rPr>
          <w:rFonts w:ascii="Times New Roman" w:hAnsi="Times New Roman" w:cs="Times New Roman"/>
          <w:sz w:val="24"/>
          <w:szCs w:val="24"/>
        </w:rPr>
        <w:t xml:space="preserve"> a: Sindicatura, Gerencia General, Presupuesto, Tesorería,  contabilidad y Despacho Municipal</w:t>
      </w:r>
      <w:r>
        <w:rPr>
          <w:rFonts w:ascii="Times New Roman" w:hAnsi="Times New Roman" w:cs="Times New Roman"/>
          <w:sz w:val="24"/>
          <w:szCs w:val="24"/>
        </w:rPr>
        <w:t xml:space="preserve">. </w:t>
      </w:r>
      <w:r w:rsidRPr="00533F1E">
        <w:rPr>
          <w:rFonts w:ascii="Times New Roman" w:eastAsia="Arial Unicode MS" w:hAnsi="Times New Roman" w:cs="Times New Roman"/>
          <w:b/>
          <w:sz w:val="24"/>
          <w:szCs w:val="24"/>
          <w:u w:val="single"/>
        </w:rPr>
        <w:t>ACUERDO NUMERO TRES:</w:t>
      </w:r>
      <w:r w:rsidRPr="00533F1E">
        <w:rPr>
          <w:rFonts w:ascii="Times New Roman" w:hAnsi="Times New Roman" w:cs="Times New Roman"/>
          <w:sz w:val="24"/>
          <w:szCs w:val="24"/>
        </w:rPr>
        <w:t xml:space="preserve"> El Concejo Municipal en vista de apoyar y dar un espacio de participación a las Organizaciones de Mujeres del Municipio en el Marco de las Fiestas patronales, toma a bien se </w:t>
      </w:r>
      <w:proofErr w:type="spellStart"/>
      <w:r w:rsidRPr="00533F1E">
        <w:rPr>
          <w:rFonts w:ascii="Times New Roman" w:hAnsi="Times New Roman" w:cs="Times New Roman"/>
          <w:sz w:val="24"/>
          <w:szCs w:val="24"/>
        </w:rPr>
        <w:t>aperturen</w:t>
      </w:r>
      <w:proofErr w:type="spellEnd"/>
      <w:r w:rsidRPr="00533F1E">
        <w:rPr>
          <w:rFonts w:ascii="Times New Roman" w:hAnsi="Times New Roman" w:cs="Times New Roman"/>
          <w:sz w:val="24"/>
          <w:szCs w:val="24"/>
        </w:rPr>
        <w:t xml:space="preserve"> conmemorando el  día de la NO VIOLENCIA CONTRA LA MUJER, a realizarse el 27 de noviembre  2019 de 8:00 am a 12: 00 mm en frente de la Alcaldía Municipal; Teniendo así de parte de la UACI las ofertas para que se adjudiquen compras y contrataciones conforme a las referencias dadas por la Encargada de la Unidad  Municipal de la Mujer</w:t>
      </w:r>
      <w:r>
        <w:rPr>
          <w:rFonts w:ascii="Times New Roman" w:hAnsi="Times New Roman" w:cs="Times New Roman"/>
          <w:sz w:val="24"/>
          <w:szCs w:val="24"/>
        </w:rPr>
        <w:t>,</w:t>
      </w:r>
      <w:r w:rsidRPr="00533F1E">
        <w:rPr>
          <w:rFonts w:ascii="Times New Roman" w:hAnsi="Times New Roman" w:cs="Times New Roman"/>
          <w:sz w:val="24"/>
          <w:szCs w:val="24"/>
        </w:rPr>
        <w:t xml:space="preserve"> y habiéndose analizado cada oferta por tanto en el uso de sus facultades legales de conformidad al artículo 30 numeral 9 del Código Municipal se </w:t>
      </w:r>
      <w:r w:rsidRPr="00533F1E">
        <w:rPr>
          <w:rFonts w:ascii="Times New Roman" w:hAnsi="Times New Roman" w:cs="Times New Roman"/>
          <w:b/>
          <w:sz w:val="24"/>
          <w:szCs w:val="24"/>
        </w:rPr>
        <w:t>ACUERDA:</w:t>
      </w:r>
      <w:r w:rsidRPr="00533F1E">
        <w:rPr>
          <w:rFonts w:ascii="Times New Roman" w:hAnsi="Times New Roman" w:cs="Times New Roman"/>
          <w:sz w:val="24"/>
          <w:szCs w:val="24"/>
        </w:rPr>
        <w:t xml:space="preserve"> </w:t>
      </w:r>
      <w:r w:rsidRPr="00533F1E">
        <w:rPr>
          <w:rFonts w:ascii="Times New Roman" w:hAnsi="Times New Roman" w:cs="Times New Roman"/>
          <w:b/>
          <w:sz w:val="24"/>
          <w:szCs w:val="24"/>
        </w:rPr>
        <w:t>a)</w:t>
      </w:r>
      <w:r w:rsidRPr="00533F1E">
        <w:rPr>
          <w:rFonts w:ascii="Times New Roman" w:hAnsi="Times New Roman" w:cs="Times New Roman"/>
          <w:sz w:val="24"/>
          <w:szCs w:val="24"/>
        </w:rPr>
        <w:t xml:space="preserve"> adjudicar las siguientes contrataciones  y compras para  conmemorar el   día de la NO VIOLENCIA CONTRA LA MUJER,</w:t>
      </w:r>
      <w:r w:rsidRPr="005074CA">
        <w:rPr>
          <w:rFonts w:ascii="Times New Roman" w:hAnsi="Times New Roman" w:cs="Times New Roman"/>
          <w:sz w:val="24"/>
          <w:szCs w:val="24"/>
        </w:rPr>
        <w:t xml:space="preserve"> </w:t>
      </w:r>
      <w:r w:rsidRPr="00533F1E">
        <w:rPr>
          <w:rFonts w:ascii="Times New Roman" w:hAnsi="Times New Roman" w:cs="Times New Roman"/>
          <w:sz w:val="24"/>
          <w:szCs w:val="24"/>
        </w:rPr>
        <w:t xml:space="preserve">a realizarse el 27 de noviembre  2019 de 8:00 am a 12: 00 mm en frente de la Alcaldía Municipal detallándose: </w:t>
      </w:r>
    </w:p>
    <w:tbl>
      <w:tblPr>
        <w:tblStyle w:val="Tablaconcuadrcula"/>
        <w:tblW w:w="9322" w:type="dxa"/>
        <w:tblLayout w:type="fixed"/>
        <w:tblLook w:val="04A0"/>
      </w:tblPr>
      <w:tblGrid>
        <w:gridCol w:w="534"/>
        <w:gridCol w:w="2347"/>
        <w:gridCol w:w="1622"/>
        <w:gridCol w:w="1275"/>
        <w:gridCol w:w="3544"/>
      </w:tblGrid>
      <w:tr w:rsidR="007C4A5F" w:rsidRPr="00533F1E" w:rsidTr="00522E28">
        <w:tc>
          <w:tcPr>
            <w:tcW w:w="534" w:type="dxa"/>
            <w:tcBorders>
              <w:right w:val="nil"/>
            </w:tcBorders>
          </w:tcPr>
          <w:p w:rsidR="007C4A5F" w:rsidRPr="00533F1E" w:rsidRDefault="007C4A5F" w:rsidP="00522E28">
            <w:pPr>
              <w:spacing w:line="276" w:lineRule="auto"/>
              <w:jc w:val="both"/>
              <w:rPr>
                <w:rFonts w:ascii="Times New Roman" w:hAnsi="Times New Roman" w:cs="Times New Roman"/>
                <w:sz w:val="24"/>
                <w:szCs w:val="24"/>
              </w:rPr>
            </w:pPr>
          </w:p>
        </w:tc>
        <w:tc>
          <w:tcPr>
            <w:tcW w:w="3969" w:type="dxa"/>
            <w:gridSpan w:val="2"/>
            <w:tcBorders>
              <w:left w:val="nil"/>
            </w:tcBorders>
          </w:tcPr>
          <w:p w:rsidR="007C4A5F" w:rsidRPr="00C816AF" w:rsidRDefault="007C4A5F" w:rsidP="00522E28">
            <w:pPr>
              <w:spacing w:line="276" w:lineRule="auto"/>
              <w:jc w:val="both"/>
              <w:rPr>
                <w:rFonts w:ascii="Times New Roman" w:hAnsi="Times New Roman" w:cs="Times New Roman"/>
                <w:b/>
              </w:rPr>
            </w:pPr>
            <w:r w:rsidRPr="00C816AF">
              <w:rPr>
                <w:rFonts w:ascii="Times New Roman" w:hAnsi="Times New Roman" w:cs="Times New Roman"/>
                <w:b/>
              </w:rPr>
              <w:t xml:space="preserve">CONTRATACION O COMPRA </w:t>
            </w:r>
          </w:p>
        </w:tc>
        <w:tc>
          <w:tcPr>
            <w:tcW w:w="1275" w:type="dxa"/>
          </w:tcPr>
          <w:p w:rsidR="007C4A5F" w:rsidRPr="00C816AF" w:rsidRDefault="007C4A5F" w:rsidP="00522E28">
            <w:pPr>
              <w:spacing w:line="276" w:lineRule="auto"/>
              <w:jc w:val="both"/>
              <w:rPr>
                <w:rFonts w:ascii="Times New Roman" w:hAnsi="Times New Roman" w:cs="Times New Roman"/>
                <w:b/>
              </w:rPr>
            </w:pPr>
            <w:r w:rsidRPr="00C816AF">
              <w:rPr>
                <w:rFonts w:ascii="Times New Roman" w:hAnsi="Times New Roman" w:cs="Times New Roman"/>
                <w:b/>
              </w:rPr>
              <w:t>PRECIO</w:t>
            </w:r>
          </w:p>
        </w:tc>
        <w:tc>
          <w:tcPr>
            <w:tcW w:w="3544" w:type="dxa"/>
          </w:tcPr>
          <w:p w:rsidR="007C4A5F" w:rsidRPr="00C816AF" w:rsidRDefault="007C4A5F" w:rsidP="00522E28">
            <w:pPr>
              <w:spacing w:line="276" w:lineRule="auto"/>
              <w:jc w:val="both"/>
              <w:rPr>
                <w:rFonts w:ascii="Times New Roman" w:hAnsi="Times New Roman" w:cs="Times New Roman"/>
                <w:b/>
              </w:rPr>
            </w:pPr>
            <w:r w:rsidRPr="00C816AF">
              <w:rPr>
                <w:rFonts w:ascii="Times New Roman" w:hAnsi="Times New Roman" w:cs="Times New Roman"/>
                <w:b/>
              </w:rPr>
              <w:t>PROVEEDOR</w:t>
            </w:r>
          </w:p>
        </w:tc>
      </w:tr>
      <w:tr w:rsidR="007C4A5F" w:rsidRPr="00533F1E" w:rsidTr="00522E28">
        <w:tc>
          <w:tcPr>
            <w:tcW w:w="2881" w:type="dxa"/>
            <w:gridSpan w:val="2"/>
            <w:tcBorders>
              <w:right w:val="nil"/>
            </w:tcBorders>
          </w:tcPr>
          <w:p w:rsidR="007C4A5F" w:rsidRPr="00C816AF" w:rsidRDefault="007C4A5F" w:rsidP="00522E28">
            <w:pPr>
              <w:jc w:val="center"/>
              <w:rPr>
                <w:rFonts w:ascii="Times New Roman" w:hAnsi="Times New Roman" w:cs="Times New Roman"/>
                <w:u w:val="single"/>
              </w:rPr>
            </w:pPr>
            <w:r w:rsidRPr="00C816AF">
              <w:rPr>
                <w:rFonts w:ascii="Times New Roman" w:hAnsi="Times New Roman" w:cs="Times New Roman"/>
                <w:u w:val="single"/>
              </w:rPr>
              <w:t xml:space="preserve">100 vejigas </w:t>
            </w:r>
          </w:p>
          <w:p w:rsidR="007C4A5F" w:rsidRPr="00C816AF" w:rsidRDefault="007C4A5F" w:rsidP="00522E28">
            <w:pPr>
              <w:jc w:val="center"/>
              <w:rPr>
                <w:rFonts w:ascii="Times New Roman" w:hAnsi="Times New Roman" w:cs="Times New Roman"/>
                <w:u w:val="single"/>
              </w:rPr>
            </w:pPr>
          </w:p>
          <w:p w:rsidR="007C4A5F" w:rsidRPr="00C816AF" w:rsidRDefault="007C4A5F" w:rsidP="00522E28">
            <w:pPr>
              <w:jc w:val="center"/>
              <w:rPr>
                <w:rFonts w:ascii="Times New Roman" w:hAnsi="Times New Roman" w:cs="Times New Roman"/>
                <w:u w:val="single"/>
              </w:rPr>
            </w:pPr>
            <w:r w:rsidRPr="00C816AF">
              <w:rPr>
                <w:rFonts w:ascii="Times New Roman" w:hAnsi="Times New Roman" w:cs="Times New Roman"/>
                <w:u w:val="single"/>
              </w:rPr>
              <w:t>1</w:t>
            </w:r>
          </w:p>
          <w:p w:rsidR="007C4A5F" w:rsidRPr="00C816AF" w:rsidRDefault="007C4A5F" w:rsidP="00522E28">
            <w:pPr>
              <w:jc w:val="center"/>
              <w:rPr>
                <w:rFonts w:ascii="Times New Roman" w:hAnsi="Times New Roman" w:cs="Times New Roman"/>
                <w:u w:val="single"/>
              </w:rPr>
            </w:pPr>
          </w:p>
        </w:tc>
        <w:tc>
          <w:tcPr>
            <w:tcW w:w="1622" w:type="dxa"/>
            <w:tcBorders>
              <w:left w:val="nil"/>
            </w:tcBorders>
          </w:tcPr>
          <w:p w:rsidR="007C4A5F" w:rsidRPr="00C816AF" w:rsidRDefault="007C4A5F" w:rsidP="00522E28">
            <w:pPr>
              <w:jc w:val="center"/>
              <w:rPr>
                <w:rFonts w:ascii="Times New Roman" w:hAnsi="Times New Roman" w:cs="Times New Roman"/>
              </w:rPr>
            </w:pPr>
            <w:r w:rsidRPr="00C816AF">
              <w:rPr>
                <w:rFonts w:ascii="Times New Roman" w:hAnsi="Times New Roman" w:cs="Times New Roman"/>
              </w:rPr>
              <w:t>Moradas y blancas</w:t>
            </w:r>
          </w:p>
          <w:p w:rsidR="007C4A5F" w:rsidRPr="00C816AF" w:rsidRDefault="007C4A5F" w:rsidP="00522E28">
            <w:pPr>
              <w:rPr>
                <w:rFonts w:ascii="Times New Roman" w:hAnsi="Times New Roman" w:cs="Times New Roman"/>
              </w:rPr>
            </w:pPr>
            <w:r w:rsidRPr="00C816AF">
              <w:rPr>
                <w:rFonts w:ascii="Times New Roman" w:hAnsi="Times New Roman" w:cs="Times New Roman"/>
              </w:rPr>
              <w:t>Arreglo Floral, (centro de mesa)</w:t>
            </w:r>
          </w:p>
        </w:tc>
        <w:tc>
          <w:tcPr>
            <w:tcW w:w="1275" w:type="dxa"/>
            <w:tcBorders>
              <w:top w:val="single" w:sz="4" w:space="0" w:color="auto"/>
              <w:bottom w:val="single" w:sz="4" w:space="0" w:color="auto"/>
              <w:right w:val="single" w:sz="4" w:space="0" w:color="auto"/>
            </w:tcBorders>
            <w:shd w:val="clear" w:color="auto" w:fill="auto"/>
          </w:tcPr>
          <w:p w:rsidR="007C4A5F" w:rsidRPr="00C816AF" w:rsidRDefault="007C4A5F" w:rsidP="00522E28">
            <w:pPr>
              <w:rPr>
                <w:rFonts w:ascii="Times New Roman" w:hAnsi="Times New Roman" w:cs="Times New Roman"/>
              </w:rPr>
            </w:pPr>
            <w:r w:rsidRPr="00C816AF">
              <w:rPr>
                <w:rFonts w:ascii="Times New Roman" w:hAnsi="Times New Roman" w:cs="Times New Roman"/>
              </w:rPr>
              <w:t>$22.00</w:t>
            </w:r>
          </w:p>
        </w:tc>
        <w:tc>
          <w:tcPr>
            <w:tcW w:w="3540" w:type="dxa"/>
            <w:tcBorders>
              <w:top w:val="single" w:sz="4" w:space="0" w:color="auto"/>
              <w:bottom w:val="single" w:sz="4" w:space="0" w:color="auto"/>
              <w:right w:val="single" w:sz="4" w:space="0" w:color="auto"/>
            </w:tcBorders>
            <w:shd w:val="clear" w:color="auto" w:fill="auto"/>
          </w:tcPr>
          <w:p w:rsidR="007C4A5F" w:rsidRPr="00C816AF" w:rsidRDefault="007C4A5F" w:rsidP="00522E28">
            <w:pPr>
              <w:rPr>
                <w:rFonts w:ascii="Times New Roman" w:hAnsi="Times New Roman" w:cs="Times New Roman"/>
              </w:rPr>
            </w:pPr>
            <w:r w:rsidRPr="00C816AF">
              <w:rPr>
                <w:rFonts w:ascii="Times New Roman" w:hAnsi="Times New Roman" w:cs="Times New Roman"/>
              </w:rPr>
              <w:t>SANDRA BEATRIZ HERNÁNDEZ DE LÓPEZ.</w:t>
            </w:r>
          </w:p>
        </w:tc>
      </w:tr>
      <w:tr w:rsidR="007C4A5F" w:rsidRPr="00533F1E" w:rsidTr="00522E28">
        <w:tc>
          <w:tcPr>
            <w:tcW w:w="2881" w:type="dxa"/>
            <w:gridSpan w:val="2"/>
            <w:tcBorders>
              <w:right w:val="nil"/>
            </w:tcBorders>
          </w:tcPr>
          <w:p w:rsidR="007C4A5F" w:rsidRPr="00C816AF" w:rsidRDefault="007C4A5F" w:rsidP="00522E28">
            <w:pPr>
              <w:jc w:val="center"/>
              <w:rPr>
                <w:rFonts w:ascii="Times New Roman" w:hAnsi="Times New Roman" w:cs="Times New Roman"/>
              </w:rPr>
            </w:pPr>
            <w:r w:rsidRPr="00C816AF">
              <w:rPr>
                <w:rFonts w:ascii="Times New Roman" w:hAnsi="Times New Roman" w:cs="Times New Roman"/>
              </w:rPr>
              <w:t>200</w:t>
            </w:r>
          </w:p>
          <w:p w:rsidR="007C4A5F" w:rsidRPr="00C816AF" w:rsidRDefault="007C4A5F" w:rsidP="00522E28">
            <w:pPr>
              <w:jc w:val="center"/>
              <w:rPr>
                <w:rFonts w:ascii="Times New Roman" w:hAnsi="Times New Roman" w:cs="Times New Roman"/>
              </w:rPr>
            </w:pPr>
          </w:p>
          <w:p w:rsidR="007C4A5F" w:rsidRPr="00C816AF" w:rsidRDefault="007C4A5F" w:rsidP="00522E28">
            <w:pPr>
              <w:jc w:val="center"/>
              <w:rPr>
                <w:rFonts w:ascii="Times New Roman" w:hAnsi="Times New Roman" w:cs="Times New Roman"/>
              </w:rPr>
            </w:pPr>
          </w:p>
          <w:p w:rsidR="007C4A5F" w:rsidRPr="00C816AF" w:rsidRDefault="007C4A5F" w:rsidP="00522E28">
            <w:pPr>
              <w:jc w:val="center"/>
              <w:rPr>
                <w:rFonts w:ascii="Times New Roman" w:hAnsi="Times New Roman" w:cs="Times New Roman"/>
              </w:rPr>
            </w:pPr>
            <w:r w:rsidRPr="00C816AF">
              <w:rPr>
                <w:rFonts w:ascii="Times New Roman" w:hAnsi="Times New Roman" w:cs="Times New Roman"/>
              </w:rPr>
              <w:t>200</w:t>
            </w:r>
          </w:p>
        </w:tc>
        <w:tc>
          <w:tcPr>
            <w:tcW w:w="1622" w:type="dxa"/>
            <w:tcBorders>
              <w:left w:val="nil"/>
            </w:tcBorders>
          </w:tcPr>
          <w:p w:rsidR="007C4A5F" w:rsidRPr="00C816AF" w:rsidRDefault="007C4A5F" w:rsidP="00522E28">
            <w:pPr>
              <w:jc w:val="both"/>
              <w:rPr>
                <w:rFonts w:ascii="Times New Roman" w:hAnsi="Times New Roman" w:cs="Times New Roman"/>
              </w:rPr>
            </w:pPr>
            <w:r w:rsidRPr="00C816AF">
              <w:rPr>
                <w:rFonts w:ascii="Times New Roman" w:hAnsi="Times New Roman" w:cs="Times New Roman"/>
              </w:rPr>
              <w:t>Panes medianos con pollo</w:t>
            </w:r>
          </w:p>
          <w:p w:rsidR="007C4A5F" w:rsidRPr="00C816AF" w:rsidRDefault="007C4A5F" w:rsidP="00522E28">
            <w:pPr>
              <w:jc w:val="both"/>
              <w:rPr>
                <w:rFonts w:ascii="Times New Roman" w:hAnsi="Times New Roman" w:cs="Times New Roman"/>
              </w:rPr>
            </w:pPr>
            <w:r w:rsidRPr="00C816AF">
              <w:rPr>
                <w:rFonts w:ascii="Times New Roman" w:hAnsi="Times New Roman" w:cs="Times New Roman"/>
              </w:rPr>
              <w:t>Refrescos Naturales</w:t>
            </w:r>
          </w:p>
        </w:tc>
        <w:tc>
          <w:tcPr>
            <w:tcW w:w="1275" w:type="dxa"/>
            <w:tcBorders>
              <w:top w:val="single" w:sz="4" w:space="0" w:color="auto"/>
              <w:bottom w:val="single" w:sz="4" w:space="0" w:color="auto"/>
              <w:right w:val="single" w:sz="4" w:space="0" w:color="auto"/>
            </w:tcBorders>
            <w:shd w:val="clear" w:color="auto" w:fill="auto"/>
          </w:tcPr>
          <w:p w:rsidR="007C4A5F" w:rsidRPr="00C816AF" w:rsidRDefault="007C4A5F" w:rsidP="00522E28">
            <w:pPr>
              <w:rPr>
                <w:rFonts w:ascii="Times New Roman" w:hAnsi="Times New Roman" w:cs="Times New Roman"/>
              </w:rPr>
            </w:pPr>
            <w:r w:rsidRPr="00C816AF">
              <w:rPr>
                <w:rFonts w:ascii="Times New Roman" w:hAnsi="Times New Roman" w:cs="Times New Roman"/>
              </w:rPr>
              <w:t>$300.00</w:t>
            </w:r>
          </w:p>
        </w:tc>
        <w:tc>
          <w:tcPr>
            <w:tcW w:w="3540" w:type="dxa"/>
            <w:tcBorders>
              <w:top w:val="single" w:sz="4" w:space="0" w:color="auto"/>
              <w:bottom w:val="single" w:sz="4" w:space="0" w:color="auto"/>
              <w:right w:val="single" w:sz="4" w:space="0" w:color="auto"/>
            </w:tcBorders>
            <w:shd w:val="clear" w:color="auto" w:fill="auto"/>
          </w:tcPr>
          <w:p w:rsidR="007C4A5F" w:rsidRPr="00C816AF" w:rsidRDefault="007C4A5F" w:rsidP="00522E28">
            <w:pPr>
              <w:rPr>
                <w:rFonts w:ascii="Times New Roman" w:hAnsi="Times New Roman" w:cs="Times New Roman"/>
              </w:rPr>
            </w:pPr>
            <w:r w:rsidRPr="00C816AF">
              <w:rPr>
                <w:rFonts w:ascii="Times New Roman" w:hAnsi="Times New Roman" w:cs="Times New Roman"/>
              </w:rPr>
              <w:t>ANA IRIS ANDRADE PAZ</w:t>
            </w:r>
          </w:p>
        </w:tc>
      </w:tr>
      <w:tr w:rsidR="007C4A5F" w:rsidRPr="00533F1E" w:rsidTr="00522E28">
        <w:tc>
          <w:tcPr>
            <w:tcW w:w="2881" w:type="dxa"/>
            <w:gridSpan w:val="2"/>
            <w:tcBorders>
              <w:right w:val="nil"/>
            </w:tcBorders>
          </w:tcPr>
          <w:p w:rsidR="007C4A5F" w:rsidRPr="00C816AF" w:rsidRDefault="007C4A5F" w:rsidP="00522E28">
            <w:pPr>
              <w:jc w:val="center"/>
              <w:rPr>
                <w:rFonts w:ascii="Times New Roman" w:hAnsi="Times New Roman" w:cs="Times New Roman"/>
              </w:rPr>
            </w:pPr>
            <w:r w:rsidRPr="00C816AF">
              <w:rPr>
                <w:rFonts w:ascii="Times New Roman" w:hAnsi="Times New Roman" w:cs="Times New Roman"/>
              </w:rPr>
              <w:t>25</w:t>
            </w:r>
          </w:p>
        </w:tc>
        <w:tc>
          <w:tcPr>
            <w:tcW w:w="1622" w:type="dxa"/>
            <w:tcBorders>
              <w:left w:val="nil"/>
            </w:tcBorders>
          </w:tcPr>
          <w:p w:rsidR="007C4A5F" w:rsidRPr="00C816AF" w:rsidRDefault="007C4A5F" w:rsidP="00522E28">
            <w:pPr>
              <w:jc w:val="center"/>
              <w:rPr>
                <w:rFonts w:ascii="Times New Roman" w:hAnsi="Times New Roman" w:cs="Times New Roman"/>
              </w:rPr>
            </w:pPr>
            <w:r w:rsidRPr="00C816AF">
              <w:rPr>
                <w:rFonts w:ascii="Times New Roman" w:hAnsi="Times New Roman" w:cs="Times New Roman"/>
              </w:rPr>
              <w:t>Regalos</w:t>
            </w:r>
          </w:p>
        </w:tc>
        <w:tc>
          <w:tcPr>
            <w:tcW w:w="1275" w:type="dxa"/>
            <w:tcBorders>
              <w:top w:val="single" w:sz="4" w:space="0" w:color="auto"/>
              <w:bottom w:val="single" w:sz="4" w:space="0" w:color="auto"/>
              <w:right w:val="single" w:sz="4" w:space="0" w:color="auto"/>
            </w:tcBorders>
            <w:shd w:val="clear" w:color="auto" w:fill="auto"/>
          </w:tcPr>
          <w:p w:rsidR="007C4A5F" w:rsidRPr="00C816AF" w:rsidRDefault="007C4A5F" w:rsidP="00522E28">
            <w:pPr>
              <w:rPr>
                <w:rFonts w:ascii="Times New Roman" w:hAnsi="Times New Roman" w:cs="Times New Roman"/>
              </w:rPr>
            </w:pPr>
            <w:r w:rsidRPr="00C816AF">
              <w:rPr>
                <w:rFonts w:ascii="Times New Roman" w:hAnsi="Times New Roman" w:cs="Times New Roman"/>
              </w:rPr>
              <w:t>$60.00</w:t>
            </w:r>
          </w:p>
        </w:tc>
        <w:tc>
          <w:tcPr>
            <w:tcW w:w="3540" w:type="dxa"/>
            <w:tcBorders>
              <w:top w:val="single" w:sz="4" w:space="0" w:color="auto"/>
              <w:bottom w:val="single" w:sz="4" w:space="0" w:color="auto"/>
              <w:right w:val="single" w:sz="4" w:space="0" w:color="auto"/>
            </w:tcBorders>
            <w:shd w:val="clear" w:color="auto" w:fill="auto"/>
          </w:tcPr>
          <w:p w:rsidR="007C4A5F" w:rsidRPr="00C816AF" w:rsidRDefault="007C4A5F" w:rsidP="00522E28">
            <w:pPr>
              <w:rPr>
                <w:rFonts w:ascii="Times New Roman" w:hAnsi="Times New Roman" w:cs="Times New Roman"/>
              </w:rPr>
            </w:pPr>
            <w:r w:rsidRPr="00C816AF">
              <w:rPr>
                <w:rFonts w:ascii="Times New Roman" w:hAnsi="Times New Roman" w:cs="Times New Roman"/>
              </w:rPr>
              <w:t>SANDRA BEATRIZ HERNÁNDEZ DE LÓPEZ</w:t>
            </w:r>
          </w:p>
          <w:p w:rsidR="007C4A5F" w:rsidRPr="00C816AF" w:rsidRDefault="007C4A5F" w:rsidP="00522E28">
            <w:pPr>
              <w:rPr>
                <w:rFonts w:ascii="Times New Roman" w:hAnsi="Times New Roman" w:cs="Times New Roman"/>
              </w:rPr>
            </w:pPr>
            <w:r w:rsidRPr="00C816AF">
              <w:rPr>
                <w:rFonts w:ascii="Times New Roman" w:hAnsi="Times New Roman" w:cs="Times New Roman"/>
              </w:rPr>
              <w:t xml:space="preserve">( regalos de uso personal, 7 cremas, 10 </w:t>
            </w:r>
            <w:proofErr w:type="spellStart"/>
            <w:r w:rsidRPr="00C816AF">
              <w:rPr>
                <w:rFonts w:ascii="Times New Roman" w:hAnsi="Times New Roman" w:cs="Times New Roman"/>
              </w:rPr>
              <w:t>rolon</w:t>
            </w:r>
            <w:proofErr w:type="spellEnd"/>
            <w:r w:rsidRPr="00C816AF">
              <w:rPr>
                <w:rFonts w:ascii="Times New Roman" w:hAnsi="Times New Roman" w:cs="Times New Roman"/>
              </w:rPr>
              <w:t>, 2 polvo compacto, 75 splash,1 peine con espejo)</w:t>
            </w:r>
          </w:p>
        </w:tc>
      </w:tr>
      <w:tr w:rsidR="007C4A5F" w:rsidRPr="00533F1E" w:rsidTr="00522E28">
        <w:tc>
          <w:tcPr>
            <w:tcW w:w="2881" w:type="dxa"/>
            <w:gridSpan w:val="2"/>
            <w:tcBorders>
              <w:right w:val="nil"/>
            </w:tcBorders>
          </w:tcPr>
          <w:p w:rsidR="007C4A5F" w:rsidRPr="00C816AF" w:rsidRDefault="007C4A5F" w:rsidP="00522E28">
            <w:pPr>
              <w:jc w:val="center"/>
              <w:rPr>
                <w:rFonts w:ascii="Times New Roman" w:hAnsi="Times New Roman" w:cs="Times New Roman"/>
              </w:rPr>
            </w:pPr>
            <w:r w:rsidRPr="00C816AF">
              <w:rPr>
                <w:rFonts w:ascii="Times New Roman" w:hAnsi="Times New Roman" w:cs="Times New Roman"/>
              </w:rPr>
              <w:t>Transporte</w:t>
            </w:r>
          </w:p>
          <w:p w:rsidR="007C4A5F" w:rsidRPr="00C816AF" w:rsidRDefault="007C4A5F" w:rsidP="00522E28">
            <w:pPr>
              <w:jc w:val="center"/>
              <w:rPr>
                <w:rFonts w:ascii="Times New Roman" w:hAnsi="Times New Roman" w:cs="Times New Roman"/>
              </w:rPr>
            </w:pPr>
            <w:r w:rsidRPr="00C816AF">
              <w:rPr>
                <w:rFonts w:ascii="Times New Roman" w:hAnsi="Times New Roman" w:cs="Times New Roman"/>
              </w:rPr>
              <w:t xml:space="preserve"> Recorridos Para trasladar 150 mujeres  de los diferentes cantones, y colonias: 1 recorrido de: </w:t>
            </w:r>
            <w:proofErr w:type="spellStart"/>
            <w:r w:rsidRPr="00C816AF">
              <w:rPr>
                <w:rFonts w:ascii="Times New Roman" w:hAnsi="Times New Roman" w:cs="Times New Roman"/>
              </w:rPr>
              <w:t>Altavista</w:t>
            </w:r>
            <w:proofErr w:type="spellEnd"/>
            <w:r w:rsidRPr="00C816AF">
              <w:rPr>
                <w:rFonts w:ascii="Times New Roman" w:hAnsi="Times New Roman" w:cs="Times New Roman"/>
              </w:rPr>
              <w:t xml:space="preserve">, Cantón La Fuente, </w:t>
            </w:r>
            <w:proofErr w:type="spellStart"/>
            <w:r w:rsidRPr="00C816AF">
              <w:rPr>
                <w:rFonts w:ascii="Times New Roman" w:hAnsi="Times New Roman" w:cs="Times New Roman"/>
              </w:rPr>
              <w:t>Zacamil</w:t>
            </w:r>
            <w:proofErr w:type="spellEnd"/>
            <w:r w:rsidRPr="00C816AF">
              <w:rPr>
                <w:rFonts w:ascii="Times New Roman" w:hAnsi="Times New Roman" w:cs="Times New Roman"/>
              </w:rPr>
              <w:t xml:space="preserve">, </w:t>
            </w:r>
            <w:proofErr w:type="spellStart"/>
            <w:r w:rsidRPr="00C816AF">
              <w:rPr>
                <w:rFonts w:ascii="Times New Roman" w:hAnsi="Times New Roman" w:cs="Times New Roman"/>
              </w:rPr>
              <w:t>Malacoff</w:t>
            </w:r>
            <w:proofErr w:type="spellEnd"/>
            <w:r w:rsidRPr="00C816AF">
              <w:rPr>
                <w:rFonts w:ascii="Times New Roman" w:hAnsi="Times New Roman" w:cs="Times New Roman"/>
              </w:rPr>
              <w:t xml:space="preserve"> El Sauce, y segundo </w:t>
            </w:r>
            <w:r w:rsidRPr="00C816AF">
              <w:rPr>
                <w:rFonts w:ascii="Times New Roman" w:hAnsi="Times New Roman" w:cs="Times New Roman"/>
              </w:rPr>
              <w:lastRenderedPageBreak/>
              <w:t xml:space="preserve">recorrido </w:t>
            </w:r>
            <w:proofErr w:type="gramStart"/>
            <w:r w:rsidRPr="00C816AF">
              <w:rPr>
                <w:rFonts w:ascii="Times New Roman" w:hAnsi="Times New Roman" w:cs="Times New Roman"/>
              </w:rPr>
              <w:t>de :</w:t>
            </w:r>
            <w:proofErr w:type="gramEnd"/>
            <w:r w:rsidRPr="00C816AF">
              <w:rPr>
                <w:rFonts w:ascii="Times New Roman" w:hAnsi="Times New Roman" w:cs="Times New Roman"/>
              </w:rPr>
              <w:t xml:space="preserve"> Distrito Italia , Col. Las Flores, Cantón Las Flores y  Comunidad los Héroes .</w:t>
            </w:r>
          </w:p>
        </w:tc>
        <w:tc>
          <w:tcPr>
            <w:tcW w:w="1622" w:type="dxa"/>
            <w:tcBorders>
              <w:left w:val="nil"/>
            </w:tcBorders>
          </w:tcPr>
          <w:p w:rsidR="007C4A5F" w:rsidRPr="00C816AF" w:rsidRDefault="007C4A5F" w:rsidP="00522E28">
            <w:pPr>
              <w:jc w:val="both"/>
              <w:rPr>
                <w:rFonts w:ascii="Times New Roman" w:hAnsi="Times New Roman" w:cs="Times New Roman"/>
              </w:rPr>
            </w:pPr>
            <w:r w:rsidRPr="00C816AF">
              <w:rPr>
                <w:rFonts w:ascii="Times New Roman" w:hAnsi="Times New Roman" w:cs="Times New Roman"/>
              </w:rPr>
              <w:lastRenderedPageBreak/>
              <w:t>.</w:t>
            </w:r>
          </w:p>
        </w:tc>
        <w:tc>
          <w:tcPr>
            <w:tcW w:w="1275" w:type="dxa"/>
            <w:tcBorders>
              <w:top w:val="single" w:sz="4" w:space="0" w:color="auto"/>
              <w:bottom w:val="single" w:sz="4" w:space="0" w:color="auto"/>
              <w:right w:val="single" w:sz="4" w:space="0" w:color="auto"/>
            </w:tcBorders>
            <w:shd w:val="clear" w:color="auto" w:fill="auto"/>
          </w:tcPr>
          <w:p w:rsidR="007C4A5F" w:rsidRPr="00C816AF" w:rsidRDefault="007C4A5F" w:rsidP="00522E28">
            <w:pPr>
              <w:rPr>
                <w:rFonts w:ascii="Times New Roman" w:hAnsi="Times New Roman" w:cs="Times New Roman"/>
              </w:rPr>
            </w:pPr>
            <w:r w:rsidRPr="00C816AF">
              <w:rPr>
                <w:rFonts w:ascii="Times New Roman" w:hAnsi="Times New Roman" w:cs="Times New Roman"/>
              </w:rPr>
              <w:t>$155.55</w:t>
            </w:r>
          </w:p>
        </w:tc>
        <w:tc>
          <w:tcPr>
            <w:tcW w:w="3540" w:type="dxa"/>
            <w:tcBorders>
              <w:top w:val="single" w:sz="4" w:space="0" w:color="auto"/>
              <w:bottom w:val="single" w:sz="4" w:space="0" w:color="auto"/>
              <w:right w:val="single" w:sz="4" w:space="0" w:color="auto"/>
            </w:tcBorders>
            <w:shd w:val="clear" w:color="auto" w:fill="auto"/>
          </w:tcPr>
          <w:p w:rsidR="007C4A5F" w:rsidRPr="00C816AF" w:rsidRDefault="007C4A5F" w:rsidP="00522E28">
            <w:pPr>
              <w:rPr>
                <w:rFonts w:ascii="Times New Roman" w:hAnsi="Times New Roman" w:cs="Times New Roman"/>
              </w:rPr>
            </w:pPr>
            <w:r w:rsidRPr="00C816AF">
              <w:rPr>
                <w:rFonts w:ascii="Times New Roman" w:hAnsi="Times New Roman" w:cs="Times New Roman"/>
              </w:rPr>
              <w:t>JOSUE ALEXANDER CORDOVA FLORES</w:t>
            </w:r>
          </w:p>
        </w:tc>
      </w:tr>
    </w:tbl>
    <w:p w:rsidR="007C4A5F" w:rsidRPr="00C816AF" w:rsidRDefault="007C4A5F" w:rsidP="007C4A5F">
      <w:pPr>
        <w:spacing w:line="240" w:lineRule="auto"/>
        <w:jc w:val="both"/>
        <w:rPr>
          <w:rFonts w:ascii="Times New Roman" w:eastAsia="Times New Roman" w:hAnsi="Times New Roman" w:cs="Times New Roman"/>
          <w:sz w:val="24"/>
          <w:szCs w:val="24"/>
        </w:rPr>
      </w:pPr>
      <w:r w:rsidRPr="00C816AF">
        <w:rPr>
          <w:rFonts w:ascii="Times New Roman" w:hAnsi="Times New Roman" w:cs="Times New Roman"/>
          <w:b/>
          <w:sz w:val="24"/>
          <w:szCs w:val="24"/>
        </w:rPr>
        <w:lastRenderedPageBreak/>
        <w:t xml:space="preserve">b) </w:t>
      </w:r>
      <w:r w:rsidRPr="00C816AF">
        <w:rPr>
          <w:rFonts w:ascii="Times New Roman" w:hAnsi="Times New Roman" w:cs="Times New Roman"/>
          <w:sz w:val="24"/>
          <w:szCs w:val="24"/>
        </w:rPr>
        <w:t xml:space="preserve">Se Mandata a la Unidad Jurídica la elaboración del contrato correspondiente si aplica, y  se autoriza al Alcalde para que los firme; </w:t>
      </w:r>
      <w:r w:rsidRPr="00C816AF">
        <w:rPr>
          <w:rFonts w:ascii="Times New Roman" w:hAnsi="Times New Roman" w:cs="Times New Roman"/>
          <w:b/>
          <w:sz w:val="24"/>
          <w:szCs w:val="24"/>
        </w:rPr>
        <w:t>c</w:t>
      </w:r>
      <w:r w:rsidRPr="00C816AF">
        <w:rPr>
          <w:rFonts w:ascii="Times New Roman" w:hAnsi="Times New Roman" w:cs="Times New Roman"/>
          <w:sz w:val="24"/>
          <w:szCs w:val="24"/>
        </w:rPr>
        <w:t xml:space="preserve">) se autoriza a la Tesorera municipal realice las erogaciones aprobadas, realice el descuento de renta si les aplica conforme a la ley y emita los cheques a nombre de los proveedores; y en por considerarse en el marco de las fiestas patronales del municipio tómese  de los imprevistos del presupuesto aprobado para las fiesta Patronales del Municipio, cuenta </w:t>
      </w:r>
      <w:r w:rsidRPr="00C816AF">
        <w:rPr>
          <w:rFonts w:ascii="Times New Roman" w:hAnsi="Times New Roman" w:cs="Times New Roman"/>
          <w:b/>
          <w:sz w:val="24"/>
          <w:szCs w:val="24"/>
        </w:rPr>
        <w:t>00540005353 7%</w:t>
      </w:r>
      <w:r w:rsidRPr="00C816AF">
        <w:rPr>
          <w:rFonts w:ascii="Times New Roman" w:hAnsi="Times New Roman" w:cs="Times New Roman"/>
          <w:sz w:val="24"/>
          <w:szCs w:val="24"/>
        </w:rPr>
        <w:t xml:space="preserve"> Fiestas Patronales. </w:t>
      </w:r>
      <w:r w:rsidRPr="00C816AF">
        <w:rPr>
          <w:rFonts w:ascii="Times New Roman" w:hAnsi="Times New Roman" w:cs="Times New Roman"/>
          <w:b/>
          <w:sz w:val="24"/>
          <w:szCs w:val="24"/>
        </w:rPr>
        <w:t>CERTIFÍQUESE Y COMUNÍQUESE</w:t>
      </w:r>
      <w:r w:rsidRPr="00C816AF">
        <w:rPr>
          <w:rFonts w:ascii="Times New Roman" w:hAnsi="Times New Roman" w:cs="Times New Roman"/>
          <w:sz w:val="24"/>
          <w:szCs w:val="24"/>
        </w:rPr>
        <w:t xml:space="preserve"> a: Sindicatura, Gerencia General, UACI, Presupuesto, Tesorería,  contabilidad, Unidad Jurídica y Despacho Municipal. </w:t>
      </w:r>
      <w:r w:rsidRPr="00C816AF">
        <w:rPr>
          <w:rFonts w:ascii="Times New Roman" w:eastAsia="Arial Unicode MS" w:hAnsi="Times New Roman" w:cs="Times New Roman"/>
          <w:b/>
          <w:sz w:val="24"/>
          <w:szCs w:val="24"/>
          <w:u w:val="single"/>
        </w:rPr>
        <w:t>ACUERDO NUMERO CUATRO:</w:t>
      </w:r>
      <w:r w:rsidRPr="00C816AF">
        <w:rPr>
          <w:rFonts w:ascii="Times New Roman" w:hAnsi="Times New Roman" w:cs="Times New Roman"/>
          <w:sz w:val="24"/>
          <w:szCs w:val="24"/>
        </w:rPr>
        <w:t xml:space="preserve"> El Concejo Municipal en vista de las cotizaciones  presentadas por la UACI para la compra de  2 par de abrazaderas para poste primario  de 9”  con perno  6”;  4 par de abrazadera para poste secundario de 7” con perno 6 “ y 12 conectores YPC2A8U, que solicita la UDU para el alumbrado público;  presentando a los que ofertaron  por </w:t>
      </w:r>
      <w:proofErr w:type="spellStart"/>
      <w:r w:rsidRPr="00C816AF">
        <w:rPr>
          <w:rFonts w:ascii="Times New Roman" w:hAnsi="Times New Roman" w:cs="Times New Roman"/>
          <w:sz w:val="24"/>
          <w:szCs w:val="24"/>
        </w:rPr>
        <w:t>Comprasal</w:t>
      </w:r>
      <w:proofErr w:type="spellEnd"/>
      <w:r w:rsidRPr="00C816AF">
        <w:rPr>
          <w:rFonts w:ascii="Times New Roman" w:hAnsi="Times New Roman" w:cs="Times New Roman"/>
          <w:sz w:val="24"/>
          <w:szCs w:val="24"/>
        </w:rPr>
        <w:t xml:space="preserve">: CENDIFE S.A DE C.V por un monto de $72.32   y SUMINSTRO COMERCIAL S.A DE C.V por un monto de $93.30; por tanto de conformidad al artículo 30 numeral 9 del código Municipal  en el uso de sus facultades legales se </w:t>
      </w:r>
      <w:r w:rsidRPr="00C816AF">
        <w:rPr>
          <w:rFonts w:ascii="Times New Roman" w:hAnsi="Times New Roman" w:cs="Times New Roman"/>
          <w:b/>
          <w:sz w:val="24"/>
          <w:szCs w:val="24"/>
        </w:rPr>
        <w:t xml:space="preserve">ACUERDA: a) </w:t>
      </w:r>
      <w:r w:rsidRPr="00C816AF">
        <w:rPr>
          <w:rFonts w:ascii="Times New Roman" w:hAnsi="Times New Roman" w:cs="Times New Roman"/>
          <w:sz w:val="24"/>
          <w:szCs w:val="24"/>
        </w:rPr>
        <w:t>adjudicar  la  compra de  2 par de abrazaderas para poste primario  de 9”  con perno  6”;  4 par de abrazadera para poste secundario de 7” con perno 6 “ y 12 conectores YPC2A8U a</w:t>
      </w:r>
      <w:r w:rsidRPr="00C816AF">
        <w:rPr>
          <w:rFonts w:ascii="Times New Roman" w:hAnsi="Times New Roman" w:cs="Times New Roman"/>
          <w:b/>
          <w:sz w:val="24"/>
          <w:szCs w:val="24"/>
        </w:rPr>
        <w:t xml:space="preserve"> CENDIFE S.A DE C.V</w:t>
      </w:r>
      <w:r w:rsidRPr="00C816AF">
        <w:rPr>
          <w:rFonts w:ascii="Times New Roman" w:hAnsi="Times New Roman" w:cs="Times New Roman"/>
          <w:sz w:val="24"/>
          <w:szCs w:val="24"/>
        </w:rPr>
        <w:t xml:space="preserve"> por un monto de </w:t>
      </w:r>
      <w:r w:rsidRPr="00C816AF">
        <w:rPr>
          <w:rFonts w:ascii="Times New Roman" w:hAnsi="Times New Roman" w:cs="Times New Roman"/>
          <w:b/>
          <w:sz w:val="24"/>
          <w:szCs w:val="24"/>
        </w:rPr>
        <w:t>$72.32</w:t>
      </w:r>
      <w:r w:rsidRPr="00C816AF">
        <w:rPr>
          <w:rFonts w:ascii="Times New Roman" w:hAnsi="Times New Roman" w:cs="Times New Roman"/>
          <w:sz w:val="24"/>
          <w:szCs w:val="24"/>
        </w:rPr>
        <w:t xml:space="preserve">; </w:t>
      </w:r>
      <w:r w:rsidRPr="00C816AF">
        <w:rPr>
          <w:rFonts w:ascii="Times New Roman" w:hAnsi="Times New Roman" w:cs="Times New Roman"/>
          <w:b/>
          <w:sz w:val="24"/>
          <w:szCs w:val="24"/>
        </w:rPr>
        <w:t>b)</w:t>
      </w:r>
      <w:r w:rsidRPr="00C816AF">
        <w:rPr>
          <w:rFonts w:ascii="Times New Roman" w:hAnsi="Times New Roman" w:cs="Times New Roman"/>
          <w:sz w:val="24"/>
          <w:szCs w:val="24"/>
        </w:rPr>
        <w:t xml:space="preserve"> se Autoriza a la Tesorera Municipal haga la  erogación, de la cuenta 005-40005310 fondo FODES 75%, y emita  cheque a favor de</w:t>
      </w:r>
      <w:r w:rsidRPr="00C816AF">
        <w:rPr>
          <w:rFonts w:ascii="Times New Roman" w:hAnsi="Times New Roman" w:cs="Times New Roman"/>
          <w:b/>
          <w:sz w:val="24"/>
          <w:szCs w:val="24"/>
        </w:rPr>
        <w:t xml:space="preserve"> </w:t>
      </w:r>
      <w:r w:rsidRPr="00C816AF">
        <w:rPr>
          <w:rFonts w:ascii="Times New Roman" w:hAnsi="Times New Roman" w:cs="Times New Roman"/>
          <w:sz w:val="24"/>
          <w:szCs w:val="24"/>
        </w:rPr>
        <w:t xml:space="preserve">la empresa. </w:t>
      </w:r>
      <w:r w:rsidRPr="00C816AF">
        <w:rPr>
          <w:rFonts w:ascii="Times New Roman" w:hAnsi="Times New Roman" w:cs="Times New Roman"/>
          <w:b/>
          <w:sz w:val="24"/>
          <w:szCs w:val="24"/>
        </w:rPr>
        <w:t>CERTIFÍQUESE Y COMUNÍQUESE</w:t>
      </w:r>
      <w:r w:rsidRPr="00C816AF">
        <w:rPr>
          <w:rFonts w:ascii="Times New Roman" w:hAnsi="Times New Roman" w:cs="Times New Roman"/>
          <w:sz w:val="24"/>
          <w:szCs w:val="24"/>
        </w:rPr>
        <w:t xml:space="preserve"> a: Sindicatura, Gerencia General, UACI, Presupuesto, Tesorería,  contabilidad y Despacho Municipal. Se hace constar que los siguientes concejales propietarios </w:t>
      </w:r>
      <w:r w:rsidRPr="00C816AF">
        <w:rPr>
          <w:rFonts w:ascii="Times New Roman" w:eastAsia="Calibri" w:hAnsi="Times New Roman" w:cs="Times New Roman"/>
          <w:sz w:val="24"/>
          <w:szCs w:val="24"/>
        </w:rPr>
        <w:t>Omar Antonio Serrano Hernández, María Lina Castellanos Campos Reales,</w:t>
      </w:r>
      <w:r>
        <w:rPr>
          <w:rFonts w:ascii="Times New Roman" w:eastAsia="Calibri" w:hAnsi="Times New Roman" w:cs="Times New Roman"/>
          <w:sz w:val="24"/>
          <w:szCs w:val="24"/>
        </w:rPr>
        <w:t xml:space="preserve"> y</w:t>
      </w:r>
      <w:r w:rsidRPr="00C816AF">
        <w:rPr>
          <w:rFonts w:ascii="Times New Roman" w:eastAsia="Calibri" w:hAnsi="Times New Roman" w:cs="Times New Roman"/>
          <w:sz w:val="24"/>
          <w:szCs w:val="24"/>
        </w:rPr>
        <w:t xml:space="preserve"> Cosme </w:t>
      </w:r>
      <w:proofErr w:type="spellStart"/>
      <w:r w:rsidRPr="00C816AF">
        <w:rPr>
          <w:rFonts w:ascii="Times New Roman" w:eastAsia="Calibri" w:hAnsi="Times New Roman" w:cs="Times New Roman"/>
          <w:sz w:val="24"/>
          <w:szCs w:val="24"/>
        </w:rPr>
        <w:t>Arquímides</w:t>
      </w:r>
      <w:proofErr w:type="spellEnd"/>
      <w:r w:rsidRPr="00C816AF">
        <w:rPr>
          <w:rFonts w:ascii="Times New Roman" w:eastAsia="Calibri" w:hAnsi="Times New Roman" w:cs="Times New Roman"/>
          <w:sz w:val="24"/>
          <w:szCs w:val="24"/>
        </w:rPr>
        <w:t xml:space="preserve"> Reyes Gómez, salvan sus votos en el </w:t>
      </w:r>
      <w:r w:rsidRPr="00C816AF">
        <w:rPr>
          <w:rFonts w:ascii="Times New Roman" w:eastAsia="Calibri" w:hAnsi="Times New Roman" w:cs="Times New Roman"/>
          <w:b/>
          <w:sz w:val="24"/>
          <w:szCs w:val="24"/>
        </w:rPr>
        <w:t xml:space="preserve">Acuerdo 2 </w:t>
      </w:r>
      <w:r w:rsidRPr="00C816AF">
        <w:rPr>
          <w:rFonts w:ascii="Times New Roman" w:hAnsi="Times New Roman" w:cs="Times New Roman"/>
          <w:sz w:val="24"/>
          <w:szCs w:val="24"/>
          <w:lang w:val="es-SV"/>
        </w:rPr>
        <w:t xml:space="preserve">Salvamos nuestros votos en las siguientes transferencias bancarias: -De la cuenta 00540008590Apoyo al deporte en el municipio de </w:t>
      </w:r>
      <w:proofErr w:type="spellStart"/>
      <w:r w:rsidRPr="00C816AF">
        <w:rPr>
          <w:rFonts w:ascii="Times New Roman" w:hAnsi="Times New Roman" w:cs="Times New Roman"/>
          <w:sz w:val="24"/>
          <w:szCs w:val="24"/>
          <w:lang w:val="es-SV"/>
        </w:rPr>
        <w:t>Tonacatepeque</w:t>
      </w:r>
      <w:proofErr w:type="spellEnd"/>
      <w:r w:rsidRPr="00C816AF">
        <w:rPr>
          <w:rFonts w:ascii="Times New Roman" w:hAnsi="Times New Roman" w:cs="Times New Roman"/>
          <w:sz w:val="24"/>
          <w:szCs w:val="24"/>
          <w:lang w:val="es-SV"/>
        </w:rPr>
        <w:t xml:space="preserve"> a la cuenta 005-4000530-2Fondo común municipalidad de </w:t>
      </w:r>
      <w:proofErr w:type="spellStart"/>
      <w:r w:rsidRPr="00C816AF">
        <w:rPr>
          <w:rFonts w:ascii="Times New Roman" w:hAnsi="Times New Roman" w:cs="Times New Roman"/>
          <w:sz w:val="24"/>
          <w:szCs w:val="24"/>
          <w:lang w:val="es-SV"/>
        </w:rPr>
        <w:t>Tonacatepeque</w:t>
      </w:r>
      <w:proofErr w:type="spellEnd"/>
      <w:r w:rsidRPr="00C816AF">
        <w:rPr>
          <w:rFonts w:ascii="Times New Roman" w:hAnsi="Times New Roman" w:cs="Times New Roman"/>
          <w:sz w:val="24"/>
          <w:szCs w:val="24"/>
          <w:lang w:val="es-SV"/>
        </w:rPr>
        <w:t xml:space="preserve">, la cantidad de $29.00, en concepto de devolución de rente del mes de mayo del </w:t>
      </w:r>
      <w:proofErr w:type="spellStart"/>
      <w:r w:rsidRPr="00C816AF">
        <w:rPr>
          <w:rFonts w:ascii="Times New Roman" w:hAnsi="Times New Roman" w:cs="Times New Roman"/>
          <w:sz w:val="24"/>
          <w:szCs w:val="24"/>
          <w:lang w:val="es-SV"/>
        </w:rPr>
        <w:t>sr.</w:t>
      </w:r>
      <w:proofErr w:type="spellEnd"/>
      <w:r w:rsidRPr="00C816AF">
        <w:rPr>
          <w:rFonts w:ascii="Times New Roman" w:hAnsi="Times New Roman" w:cs="Times New Roman"/>
          <w:sz w:val="24"/>
          <w:szCs w:val="24"/>
          <w:lang w:val="es-SV"/>
        </w:rPr>
        <w:t xml:space="preserve"> Francisco Guardado, ya que por error involuntario se pagó de la cuenta del fondo común. - De la cuenta 005-40005310 Alcaldía Municipal de </w:t>
      </w:r>
      <w:proofErr w:type="spellStart"/>
      <w:r w:rsidRPr="00C816AF">
        <w:rPr>
          <w:rFonts w:ascii="Times New Roman" w:hAnsi="Times New Roman" w:cs="Times New Roman"/>
          <w:sz w:val="24"/>
          <w:szCs w:val="24"/>
          <w:lang w:val="es-SV"/>
        </w:rPr>
        <w:t>Tonacatepeque</w:t>
      </w:r>
      <w:proofErr w:type="spellEnd"/>
      <w:r w:rsidRPr="00C816AF">
        <w:rPr>
          <w:rFonts w:ascii="Times New Roman" w:hAnsi="Times New Roman" w:cs="Times New Roman"/>
          <w:sz w:val="24"/>
          <w:szCs w:val="24"/>
          <w:lang w:val="es-SV"/>
        </w:rPr>
        <w:t xml:space="preserve">/FODES/ISDEM 75% a la cuenta 005-40008611mantenimiento caminos vecinales rurales del municipio de </w:t>
      </w:r>
      <w:proofErr w:type="spellStart"/>
      <w:r w:rsidRPr="00C816AF">
        <w:rPr>
          <w:rFonts w:ascii="Times New Roman" w:hAnsi="Times New Roman" w:cs="Times New Roman"/>
          <w:sz w:val="24"/>
          <w:szCs w:val="24"/>
          <w:lang w:val="es-SV"/>
        </w:rPr>
        <w:t>Tonacatepeque</w:t>
      </w:r>
      <w:proofErr w:type="spellEnd"/>
      <w:r w:rsidRPr="00C816AF">
        <w:rPr>
          <w:rFonts w:ascii="Times New Roman" w:hAnsi="Times New Roman" w:cs="Times New Roman"/>
          <w:sz w:val="24"/>
          <w:szCs w:val="24"/>
          <w:lang w:val="es-SV"/>
        </w:rPr>
        <w:t xml:space="preserve"> año 2019, la cantidad de $305.22, en concepto de pago de combustible comprendido en el período del 11 al 15 de noviembre de 2019. Razonamos lo siguiente: Consideramos que es necesario alimentar las diferentes cuentas financieras para cubrir con las obligaciones municipales, pero salvamos nuestros votos en las transferencias antes mencionadas por las razones siguientes: -Al momento de solicitar las transferencias bancarias no se presenta al concejo, de forma oportuna, la información física necesaria para verificar que dichas transferencias hacia las diferentes cuentas se hagan de los fondo del cual han sido presupuestadas, de lo contario, este concejo estaría tomando decisiones arbitrarias. -Existe una deuda interna entre diferentes cuentas bancarias, las cuales violentan procesos de ley, sin que las unidades pertinentes presenten a este concejo un informe en físico actualizado y detallado para subsanar estas deficiencias financieras, tal como lo manda</w:t>
      </w:r>
      <w:bookmarkStart w:id="0" w:name="_GoBack"/>
      <w:bookmarkEnd w:id="0"/>
      <w:r w:rsidRPr="00C816AF">
        <w:rPr>
          <w:rFonts w:ascii="Times New Roman" w:hAnsi="Times New Roman" w:cs="Times New Roman"/>
          <w:sz w:val="24"/>
          <w:szCs w:val="24"/>
          <w:lang w:val="es-SV"/>
        </w:rPr>
        <w:t xml:space="preserve"> le ley. -No se ha presentado a este concejo un informe en </w:t>
      </w:r>
      <w:r w:rsidRPr="00C816AF">
        <w:rPr>
          <w:rFonts w:ascii="Times New Roman" w:hAnsi="Times New Roman" w:cs="Times New Roman"/>
          <w:sz w:val="24"/>
          <w:szCs w:val="24"/>
          <w:lang w:val="es-SV"/>
        </w:rPr>
        <w:lastRenderedPageBreak/>
        <w:t>físico de la Unidad de desarrollo urbano sobre el mantenimiento de los caminos vecinales rurales y que comunidades se están interviniendo, el plan de mantenimiento, así como la respectiva programación.</w:t>
      </w:r>
      <w:r w:rsidRPr="00C816AF">
        <w:rPr>
          <w:rFonts w:ascii="Times New Roman" w:eastAsia="Times New Roman" w:hAnsi="Times New Roman" w:cs="Times New Roman"/>
          <w:sz w:val="24"/>
          <w:szCs w:val="24"/>
        </w:rPr>
        <w:t xml:space="preserve"> Y no Habiendo más de que hacer constar se da por terminada la presente acta que firmamos.</w:t>
      </w:r>
    </w:p>
    <w:p w:rsidR="007C4A5F" w:rsidRPr="00C816AF" w:rsidRDefault="007C4A5F" w:rsidP="007C4A5F">
      <w:pPr>
        <w:spacing w:after="0" w:line="240" w:lineRule="auto"/>
        <w:jc w:val="both"/>
        <w:rPr>
          <w:rFonts w:ascii="Times New Roman" w:hAnsi="Times New Roman" w:cs="Times New Roman"/>
          <w:sz w:val="24"/>
          <w:szCs w:val="24"/>
        </w:rPr>
      </w:pPr>
    </w:p>
    <w:p w:rsidR="007C4A5F" w:rsidRDefault="007C4A5F" w:rsidP="007C4A5F">
      <w:pPr>
        <w:spacing w:after="0"/>
        <w:jc w:val="both"/>
        <w:rPr>
          <w:rFonts w:ascii="Times New Roman" w:hAnsi="Times New Roman" w:cs="Times New Roman"/>
          <w:sz w:val="24"/>
          <w:szCs w:val="24"/>
        </w:rPr>
      </w:pPr>
    </w:p>
    <w:p w:rsidR="007C4A5F" w:rsidRDefault="007C4A5F" w:rsidP="007C4A5F">
      <w:pPr>
        <w:spacing w:after="0"/>
        <w:jc w:val="both"/>
        <w:rPr>
          <w:rFonts w:ascii="Times New Roman" w:hAnsi="Times New Roman" w:cs="Times New Roman"/>
          <w:sz w:val="24"/>
          <w:szCs w:val="24"/>
        </w:rPr>
      </w:pPr>
    </w:p>
    <w:p w:rsidR="0083378A" w:rsidRDefault="007C4A5F"/>
    <w:sectPr w:rsidR="0083378A" w:rsidSect="0095265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A5F" w:rsidRDefault="007C4A5F" w:rsidP="007C4A5F">
      <w:pPr>
        <w:spacing w:after="0" w:line="240" w:lineRule="auto"/>
      </w:pPr>
      <w:r>
        <w:separator/>
      </w:r>
    </w:p>
  </w:endnote>
  <w:endnote w:type="continuationSeparator" w:id="1">
    <w:p w:rsidR="007C4A5F" w:rsidRDefault="007C4A5F" w:rsidP="007C4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A5F" w:rsidRDefault="007C4A5F" w:rsidP="007C4A5F">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C4A5F" w:rsidRDefault="007C4A5F" w:rsidP="007C4A5F">
    <w:pPr>
      <w:pStyle w:val="Piedepgina"/>
    </w:pPr>
  </w:p>
  <w:p w:rsidR="007C4A5F" w:rsidRDefault="007C4A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A5F" w:rsidRDefault="007C4A5F" w:rsidP="007C4A5F">
      <w:pPr>
        <w:spacing w:after="0" w:line="240" w:lineRule="auto"/>
      </w:pPr>
      <w:r>
        <w:separator/>
      </w:r>
    </w:p>
  </w:footnote>
  <w:footnote w:type="continuationSeparator" w:id="1">
    <w:p w:rsidR="007C4A5F" w:rsidRDefault="007C4A5F" w:rsidP="007C4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C4A5F"/>
    <w:rsid w:val="0072033B"/>
    <w:rsid w:val="007C4A5F"/>
    <w:rsid w:val="00952655"/>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5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4A5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7C4A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C4A5F"/>
  </w:style>
  <w:style w:type="paragraph" w:styleId="Piedepgina">
    <w:name w:val="footer"/>
    <w:basedOn w:val="Normal"/>
    <w:link w:val="PiedepginaCar"/>
    <w:uiPriority w:val="99"/>
    <w:semiHidden/>
    <w:unhideWhenUsed/>
    <w:rsid w:val="007C4A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C4A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2464</Words>
  <Characters>13553</Characters>
  <Application>Microsoft Office Word</Application>
  <DocSecurity>0</DocSecurity>
  <Lines>112</Lines>
  <Paragraphs>31</Paragraphs>
  <ScaleCrop>false</ScaleCrop>
  <Company/>
  <LinksUpToDate>false</LinksUpToDate>
  <CharactersWithSpaces>15986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2020-08-27T13:37:00Z</dcterms:created>
  <dcterms:modified xsi:type="dcterms:W3CDTF">2020-08-27T13:39:00Z</dcterms:modified>
</cp:coreProperties>
</file>