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2DF" w:rsidRPr="00BA6123" w:rsidRDefault="00D862DF" w:rsidP="00D862D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bdr w:val="none" w:sz="0" w:space="0" w:color="auto" w:frame="1"/>
        </w:rPr>
      </w:pPr>
      <w:r w:rsidRPr="00BA6123">
        <w:rPr>
          <w:b/>
          <w:sz w:val="22"/>
          <w:szCs w:val="22"/>
          <w:bdr w:val="none" w:sz="0" w:space="0" w:color="auto" w:frame="1"/>
        </w:rPr>
        <w:t xml:space="preserve">Cantidad de reuniones que ha habido con el grupo de trabajo interinstitucional contra la corrupción (GTIAC) desde la firma </w:t>
      </w:r>
      <w:r w:rsidR="00282330" w:rsidRPr="00BA6123">
        <w:rPr>
          <w:b/>
          <w:sz w:val="22"/>
          <w:szCs w:val="22"/>
          <w:bdr w:val="none" w:sz="0" w:space="0" w:color="auto" w:frame="1"/>
        </w:rPr>
        <w:t>de la Carta de Entendimiento en diciembre 2018 hasta el 30 de junio de 2019. (sic)</w:t>
      </w:r>
    </w:p>
    <w:p w:rsidR="00282330" w:rsidRPr="00BA6123" w:rsidRDefault="00282330" w:rsidP="00282330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  <w:bdr w:val="none" w:sz="0" w:space="0" w:color="auto" w:frame="1"/>
        </w:rPr>
      </w:pPr>
    </w:p>
    <w:p w:rsidR="00007526" w:rsidRPr="00282330" w:rsidRDefault="00282330" w:rsidP="00007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1F1E"/>
          <w:sz w:val="20"/>
          <w:shd w:val="clear" w:color="auto" w:fill="FFFFFF"/>
          <w:lang w:eastAsia="es-SV"/>
        </w:rPr>
      </w:pPr>
      <w:r w:rsidRPr="00BA6123">
        <w:rPr>
          <w:rFonts w:ascii="Times New Roman" w:eastAsia="Times New Roman" w:hAnsi="Times New Roman" w:cs="Times New Roman"/>
          <w:bCs/>
          <w:sz w:val="20"/>
          <w:bdr w:val="none" w:sz="0" w:space="0" w:color="auto" w:frame="1"/>
          <w:shd w:val="clear" w:color="auto" w:fill="FFFFFF"/>
          <w:lang w:val="es-ES" w:eastAsia="es-SV"/>
        </w:rPr>
        <w:t xml:space="preserve">El GTIAC ha realizado </w:t>
      </w:r>
      <w:r w:rsidRPr="00282330">
        <w:rPr>
          <w:rFonts w:ascii="Times New Roman" w:eastAsia="Times New Roman" w:hAnsi="Times New Roman" w:cs="Times New Roman"/>
          <w:bCs/>
          <w:sz w:val="20"/>
          <w:bdr w:val="none" w:sz="0" w:space="0" w:color="auto" w:frame="1"/>
          <w:shd w:val="clear" w:color="auto" w:fill="FFFFFF"/>
          <w:lang w:val="es-ES" w:eastAsia="es-SV"/>
        </w:rPr>
        <w:t>seis sesiones</w:t>
      </w:r>
      <w:r w:rsidRPr="00BA6123">
        <w:rPr>
          <w:rFonts w:ascii="Times New Roman" w:eastAsia="Times New Roman" w:hAnsi="Times New Roman" w:cs="Times New Roman"/>
          <w:bCs/>
          <w:sz w:val="20"/>
          <w:bdr w:val="none" w:sz="0" w:space="0" w:color="auto" w:frame="1"/>
          <w:shd w:val="clear" w:color="auto" w:fill="FFFFFF"/>
          <w:lang w:val="es-ES" w:eastAsia="es-SV"/>
        </w:rPr>
        <w:t xml:space="preserve"> durante el período especificado en la consulta</w:t>
      </w:r>
      <w:r w:rsidR="007A19FD" w:rsidRPr="00BA6123">
        <w:rPr>
          <w:rFonts w:ascii="Times New Roman" w:eastAsia="Times New Roman" w:hAnsi="Times New Roman" w:cs="Times New Roman"/>
          <w:bCs/>
          <w:sz w:val="20"/>
          <w:bdr w:val="none" w:sz="0" w:space="0" w:color="auto" w:frame="1"/>
          <w:shd w:val="clear" w:color="auto" w:fill="FFFFFF"/>
          <w:lang w:val="es-ES" w:eastAsia="es-SV"/>
        </w:rPr>
        <w:t xml:space="preserve">, en las fechas siguientes: </w:t>
      </w:r>
      <w:r w:rsidRPr="00282330">
        <w:rPr>
          <w:rFonts w:ascii="Times New Roman" w:eastAsia="Times New Roman" w:hAnsi="Times New Roman" w:cs="Times New Roman"/>
          <w:bCs/>
          <w:sz w:val="20"/>
          <w:bdr w:val="none" w:sz="0" w:space="0" w:color="auto" w:frame="1"/>
          <w:shd w:val="clear" w:color="auto" w:fill="FFFFFF"/>
          <w:lang w:val="es-ES" w:eastAsia="es-SV"/>
        </w:rPr>
        <w:t> 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</w:tblGrid>
      <w:tr w:rsidR="00282330" w:rsidRPr="00282330" w:rsidTr="00282330">
        <w:trPr>
          <w:jc w:val="center"/>
        </w:trPr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330" w:rsidRPr="00282330" w:rsidRDefault="00282330" w:rsidP="0028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  <w:r w:rsidRPr="00282330">
              <w:rPr>
                <w:rFonts w:ascii="Times New Roman" w:eastAsia="Times New Roman" w:hAnsi="Times New Roman" w:cs="Times New Roman"/>
                <w:color w:val="222222"/>
                <w:sz w:val="20"/>
                <w:bdr w:val="none" w:sz="0" w:space="0" w:color="auto" w:frame="1"/>
                <w:lang w:eastAsia="es-SV"/>
              </w:rPr>
              <w:t>14 de enero de 2019</w:t>
            </w:r>
          </w:p>
        </w:tc>
      </w:tr>
      <w:tr w:rsidR="00282330" w:rsidRPr="00282330" w:rsidTr="00282330">
        <w:trPr>
          <w:jc w:val="center"/>
        </w:trPr>
        <w:tc>
          <w:tcPr>
            <w:tcW w:w="2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330" w:rsidRPr="00282330" w:rsidRDefault="00282330" w:rsidP="0028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  <w:r w:rsidRPr="00282330">
              <w:rPr>
                <w:rFonts w:ascii="Times New Roman" w:eastAsia="Times New Roman" w:hAnsi="Times New Roman" w:cs="Times New Roman"/>
                <w:color w:val="222222"/>
                <w:sz w:val="20"/>
                <w:bdr w:val="none" w:sz="0" w:space="0" w:color="auto" w:frame="1"/>
                <w:lang w:eastAsia="es-SV"/>
              </w:rPr>
              <w:t>19 de febrero de 2019</w:t>
            </w:r>
          </w:p>
        </w:tc>
      </w:tr>
      <w:tr w:rsidR="00282330" w:rsidRPr="00282330" w:rsidTr="00282330">
        <w:trPr>
          <w:jc w:val="center"/>
        </w:trPr>
        <w:tc>
          <w:tcPr>
            <w:tcW w:w="2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330" w:rsidRPr="00282330" w:rsidRDefault="00282330" w:rsidP="0028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  <w:r w:rsidRPr="00282330">
              <w:rPr>
                <w:rFonts w:ascii="Times New Roman" w:eastAsia="Times New Roman" w:hAnsi="Times New Roman" w:cs="Times New Roman"/>
                <w:color w:val="222222"/>
                <w:sz w:val="20"/>
                <w:bdr w:val="none" w:sz="0" w:space="0" w:color="auto" w:frame="1"/>
                <w:lang w:eastAsia="es-SV"/>
              </w:rPr>
              <w:t>29 de marzo de 2019</w:t>
            </w:r>
          </w:p>
        </w:tc>
      </w:tr>
      <w:tr w:rsidR="00282330" w:rsidRPr="00282330" w:rsidTr="00282330">
        <w:trPr>
          <w:jc w:val="center"/>
        </w:trPr>
        <w:tc>
          <w:tcPr>
            <w:tcW w:w="2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330" w:rsidRPr="00282330" w:rsidRDefault="00282330" w:rsidP="0028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  <w:r w:rsidRPr="00282330">
              <w:rPr>
                <w:rFonts w:ascii="Times New Roman" w:eastAsia="Times New Roman" w:hAnsi="Times New Roman" w:cs="Times New Roman"/>
                <w:color w:val="222222"/>
                <w:sz w:val="20"/>
                <w:bdr w:val="none" w:sz="0" w:space="0" w:color="auto" w:frame="1"/>
                <w:lang w:eastAsia="es-SV"/>
              </w:rPr>
              <w:t>8 de abril de 2019</w:t>
            </w:r>
          </w:p>
        </w:tc>
      </w:tr>
      <w:tr w:rsidR="00282330" w:rsidRPr="00282330" w:rsidTr="007A19FD">
        <w:trPr>
          <w:jc w:val="center"/>
        </w:trPr>
        <w:tc>
          <w:tcPr>
            <w:tcW w:w="2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330" w:rsidRPr="00282330" w:rsidRDefault="00282330" w:rsidP="0028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  <w:r w:rsidRPr="00282330">
              <w:rPr>
                <w:rFonts w:ascii="Times New Roman" w:eastAsia="Times New Roman" w:hAnsi="Times New Roman" w:cs="Times New Roman"/>
                <w:color w:val="222222"/>
                <w:sz w:val="20"/>
                <w:bdr w:val="none" w:sz="0" w:space="0" w:color="auto" w:frame="1"/>
                <w:lang w:eastAsia="es-SV"/>
              </w:rPr>
              <w:t>6 de mayo de 2019</w:t>
            </w:r>
          </w:p>
        </w:tc>
      </w:tr>
      <w:tr w:rsidR="00282330" w:rsidRPr="00282330" w:rsidTr="007A19FD">
        <w:trPr>
          <w:jc w:val="center"/>
        </w:trPr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330" w:rsidRPr="00282330" w:rsidRDefault="00282330" w:rsidP="0028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s-SV"/>
              </w:rPr>
            </w:pPr>
            <w:r w:rsidRPr="00282330">
              <w:rPr>
                <w:rFonts w:ascii="Times New Roman" w:eastAsia="Times New Roman" w:hAnsi="Times New Roman" w:cs="Times New Roman"/>
                <w:color w:val="222222"/>
                <w:sz w:val="20"/>
                <w:bdr w:val="none" w:sz="0" w:space="0" w:color="auto" w:frame="1"/>
                <w:lang w:eastAsia="es-SV"/>
              </w:rPr>
              <w:t>3 de junio de 2019</w:t>
            </w:r>
          </w:p>
        </w:tc>
      </w:tr>
    </w:tbl>
    <w:p w:rsidR="00282330" w:rsidRPr="00BA6123" w:rsidRDefault="00282330" w:rsidP="00282330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  <w:bdr w:val="none" w:sz="0" w:space="0" w:color="auto" w:frame="1"/>
        </w:rPr>
      </w:pPr>
    </w:p>
    <w:p w:rsidR="00282330" w:rsidRPr="00BA6123" w:rsidRDefault="001F7E47" w:rsidP="00D862D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  <w:bdr w:val="none" w:sz="0" w:space="0" w:color="auto" w:frame="1"/>
        </w:rPr>
      </w:pPr>
      <w:r w:rsidRPr="00BA6123">
        <w:rPr>
          <w:b/>
          <w:sz w:val="22"/>
          <w:szCs w:val="22"/>
          <w:bdr w:val="none" w:sz="0" w:space="0" w:color="auto" w:frame="1"/>
        </w:rPr>
        <w:t>Cantidad y tipo de protocolos o reglamentos que se están preparando o ya se concluyeron en los que el TEG participa a título individual o c</w:t>
      </w:r>
      <w:r w:rsidR="003E6397" w:rsidRPr="00BA6123">
        <w:rPr>
          <w:b/>
          <w:sz w:val="22"/>
          <w:szCs w:val="22"/>
          <w:bdr w:val="none" w:sz="0" w:space="0" w:color="auto" w:frame="1"/>
        </w:rPr>
        <w:t>o</w:t>
      </w:r>
      <w:r w:rsidRPr="00BA6123">
        <w:rPr>
          <w:b/>
          <w:sz w:val="22"/>
          <w:szCs w:val="22"/>
          <w:bdr w:val="none" w:sz="0" w:space="0" w:color="auto" w:frame="1"/>
        </w:rPr>
        <w:t>n el GTIAC o cualquiera de sus instituciones. (sic)</w:t>
      </w:r>
    </w:p>
    <w:p w:rsidR="001F7E47" w:rsidRPr="00BA6123" w:rsidRDefault="001F7E47" w:rsidP="001F7E47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rStyle w:val="normaltextrun"/>
          <w:bCs/>
          <w:color w:val="000000"/>
          <w:sz w:val="22"/>
          <w:shd w:val="clear" w:color="auto" w:fill="FFFFFF"/>
        </w:rPr>
      </w:pPr>
      <w:r w:rsidRPr="00BA6123">
        <w:rPr>
          <w:sz w:val="22"/>
          <w:szCs w:val="22"/>
          <w:bdr w:val="none" w:sz="0" w:space="0" w:color="auto" w:frame="1"/>
        </w:rPr>
        <w:t>El TEG está en proceso de elaboración de un instrumento denominado: “</w:t>
      </w:r>
      <w:r w:rsidRPr="00BA6123">
        <w:rPr>
          <w:rStyle w:val="normaltextrun"/>
          <w:bCs/>
          <w:color w:val="000000"/>
          <w:sz w:val="22"/>
          <w:shd w:val="clear" w:color="auto" w:fill="FFFFFF"/>
        </w:rPr>
        <w:t xml:space="preserve">Protocolo de actuación para la atención de quejas y denuncias y para la protección de denunciantes, testigos y otros intervinientes en los procedimientos administrativos del tribunal de ética gubernamental”. </w:t>
      </w:r>
    </w:p>
    <w:p w:rsidR="001F7E47" w:rsidRPr="00BA6123" w:rsidRDefault="001F7E47" w:rsidP="001F7E47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rStyle w:val="normaltextrun"/>
          <w:bCs/>
          <w:color w:val="000000"/>
          <w:sz w:val="22"/>
          <w:shd w:val="clear" w:color="auto" w:fill="FFFFFF"/>
        </w:rPr>
      </w:pPr>
    </w:p>
    <w:p w:rsidR="001F7E47" w:rsidRPr="00BA6123" w:rsidRDefault="00C17092" w:rsidP="001F7E47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  <w:bdr w:val="none" w:sz="0" w:space="0" w:color="auto" w:frame="1"/>
        </w:rPr>
      </w:pPr>
      <w:r w:rsidRPr="00BA6123">
        <w:rPr>
          <w:rStyle w:val="eop"/>
          <w:b/>
          <w:color w:val="000000"/>
          <w:sz w:val="22"/>
          <w:shd w:val="clear" w:color="auto" w:fill="FFFFFF"/>
        </w:rPr>
        <w:t xml:space="preserve">Cantidad y tipo de capacitaciones ya realizadas </w:t>
      </w:r>
      <w:r w:rsidR="00DC13AB" w:rsidRPr="00BA6123">
        <w:rPr>
          <w:rStyle w:val="eop"/>
          <w:b/>
          <w:color w:val="000000"/>
          <w:sz w:val="22"/>
          <w:shd w:val="clear" w:color="auto" w:fill="FFFFFF"/>
        </w:rPr>
        <w:t>o que se estén organizando e las que el TEG participa a título individual o con el GTIAC. (sic)</w:t>
      </w:r>
      <w:r w:rsidR="001F7E47" w:rsidRPr="00BA6123">
        <w:rPr>
          <w:rStyle w:val="eop"/>
          <w:color w:val="000000"/>
          <w:sz w:val="22"/>
          <w:shd w:val="clear" w:color="auto" w:fill="FFFFFF"/>
        </w:rPr>
        <w:t> </w:t>
      </w:r>
    </w:p>
    <w:p w:rsidR="008266EC" w:rsidRPr="00BA6123" w:rsidRDefault="003E6397" w:rsidP="00DC13AB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3"/>
        </w:rPr>
      </w:pPr>
      <w:r w:rsidRPr="00BA6123">
        <w:rPr>
          <w:sz w:val="22"/>
          <w:szCs w:val="22"/>
          <w:bdr w:val="none" w:sz="0" w:space="0" w:color="auto" w:frame="1"/>
        </w:rPr>
        <w:t>Como GTIAC, a la fecha, no se han impartido capacitaciones. Se encuentra en proceso de creación un Plan de Formación Interinstitucional denominado “</w:t>
      </w:r>
      <w:r w:rsidR="008266EC" w:rsidRPr="00BA6123">
        <w:rPr>
          <w:sz w:val="22"/>
          <w:szCs w:val="22"/>
          <w:bdr w:val="none" w:sz="0" w:space="0" w:color="auto" w:frame="1"/>
        </w:rPr>
        <w:t>Diplomado en Prevención y Combate Sistémico de la Corrupción en El Salvador</w:t>
      </w:r>
      <w:r w:rsidRPr="00BA6123">
        <w:rPr>
          <w:sz w:val="22"/>
          <w:szCs w:val="22"/>
          <w:bdr w:val="none" w:sz="0" w:space="0" w:color="auto" w:frame="1"/>
        </w:rPr>
        <w:t>”, el cual se integra tentativamente de cinco módulos a saber</w:t>
      </w:r>
      <w:r w:rsidR="008266EC" w:rsidRPr="00BA6123">
        <w:rPr>
          <w:sz w:val="22"/>
          <w:szCs w:val="22"/>
          <w:bdr w:val="none" w:sz="0" w:space="0" w:color="auto" w:frame="1"/>
        </w:rPr>
        <w:t>:</w:t>
      </w:r>
    </w:p>
    <w:p w:rsidR="008266EC" w:rsidRPr="00BA6123" w:rsidRDefault="008266EC" w:rsidP="008266EC">
      <w:pPr>
        <w:pStyle w:val="xmsonormal"/>
        <w:shd w:val="clear" w:color="auto" w:fill="FFFFFF"/>
        <w:spacing w:before="0" w:beforeAutospacing="0" w:after="0" w:afterAutospacing="0"/>
        <w:jc w:val="both"/>
        <w:rPr>
          <w:sz w:val="22"/>
          <w:szCs w:val="23"/>
        </w:rPr>
      </w:pPr>
      <w:r w:rsidRPr="00BA6123">
        <w:rPr>
          <w:sz w:val="22"/>
          <w:szCs w:val="22"/>
          <w:bdr w:val="none" w:sz="0" w:space="0" w:color="auto" w:frame="1"/>
        </w:rPr>
        <w:t> </w:t>
      </w:r>
    </w:p>
    <w:p w:rsidR="008266EC" w:rsidRPr="00BA6123" w:rsidRDefault="008266EC" w:rsidP="008266EC">
      <w:pPr>
        <w:pStyle w:val="xmsonormal"/>
        <w:shd w:val="clear" w:color="auto" w:fill="FFFFFF"/>
        <w:spacing w:before="0" w:beforeAutospacing="0" w:after="0" w:afterAutospacing="0"/>
        <w:jc w:val="both"/>
        <w:rPr>
          <w:sz w:val="22"/>
          <w:szCs w:val="23"/>
        </w:rPr>
      </w:pPr>
      <w:r w:rsidRPr="00BA6123">
        <w:rPr>
          <w:sz w:val="22"/>
          <w:szCs w:val="22"/>
          <w:bdr w:val="none" w:sz="0" w:space="0" w:color="auto" w:frame="1"/>
        </w:rPr>
        <w:t>Módulo I</w:t>
      </w:r>
      <w:r w:rsidR="003E6397" w:rsidRPr="00BA6123">
        <w:rPr>
          <w:sz w:val="22"/>
          <w:szCs w:val="22"/>
          <w:bdr w:val="none" w:sz="0" w:space="0" w:color="auto" w:frame="1"/>
        </w:rPr>
        <w:t>:</w:t>
      </w:r>
      <w:r w:rsidRPr="00BA6123">
        <w:rPr>
          <w:sz w:val="22"/>
          <w:szCs w:val="22"/>
          <w:bdr w:val="none" w:sz="0" w:space="0" w:color="auto" w:frame="1"/>
        </w:rPr>
        <w:t xml:space="preserve"> “Hacia la construcción de una cultura de prevención y combate sistémico de la corrupción en El Salvador”;</w:t>
      </w:r>
    </w:p>
    <w:p w:rsidR="008266EC" w:rsidRPr="00BA6123" w:rsidRDefault="003E6397" w:rsidP="008266EC">
      <w:pPr>
        <w:pStyle w:val="xmsonormal"/>
        <w:shd w:val="clear" w:color="auto" w:fill="FFFFFF"/>
        <w:spacing w:before="0" w:beforeAutospacing="0" w:after="0" w:afterAutospacing="0"/>
        <w:jc w:val="both"/>
        <w:rPr>
          <w:sz w:val="22"/>
          <w:szCs w:val="23"/>
        </w:rPr>
      </w:pPr>
      <w:r w:rsidRPr="00BA6123">
        <w:rPr>
          <w:sz w:val="22"/>
          <w:szCs w:val="22"/>
          <w:bdr w:val="none" w:sz="0" w:space="0" w:color="auto" w:frame="1"/>
        </w:rPr>
        <w:t>M</w:t>
      </w:r>
      <w:r w:rsidR="008266EC" w:rsidRPr="00BA6123">
        <w:rPr>
          <w:sz w:val="22"/>
          <w:szCs w:val="22"/>
          <w:bdr w:val="none" w:sz="0" w:space="0" w:color="auto" w:frame="1"/>
        </w:rPr>
        <w:t>ódulo II</w:t>
      </w:r>
      <w:r w:rsidRPr="00BA6123">
        <w:rPr>
          <w:sz w:val="22"/>
          <w:szCs w:val="22"/>
          <w:bdr w:val="none" w:sz="0" w:space="0" w:color="auto" w:frame="1"/>
        </w:rPr>
        <w:t>:</w:t>
      </w:r>
      <w:r w:rsidR="008266EC" w:rsidRPr="00BA6123">
        <w:rPr>
          <w:sz w:val="22"/>
          <w:szCs w:val="22"/>
          <w:bdr w:val="none" w:sz="0" w:space="0" w:color="auto" w:frame="1"/>
        </w:rPr>
        <w:t xml:space="preserve"> “Procesos y procedimientos </w:t>
      </w:r>
      <w:proofErr w:type="spellStart"/>
      <w:r w:rsidR="008266EC" w:rsidRPr="00BA6123">
        <w:rPr>
          <w:sz w:val="22"/>
          <w:szCs w:val="22"/>
          <w:bdr w:val="none" w:sz="0" w:space="0" w:color="auto" w:frame="1"/>
        </w:rPr>
        <w:t>intra</w:t>
      </w:r>
      <w:proofErr w:type="spellEnd"/>
      <w:r w:rsidR="008266EC" w:rsidRPr="00BA6123">
        <w:rPr>
          <w:sz w:val="22"/>
          <w:szCs w:val="22"/>
          <w:bdr w:val="none" w:sz="0" w:space="0" w:color="auto" w:frame="1"/>
        </w:rPr>
        <w:t xml:space="preserve"> e interinstitucionales en materia anticorrupción”;</w:t>
      </w:r>
    </w:p>
    <w:p w:rsidR="003E6397" w:rsidRPr="00BA6123" w:rsidRDefault="008266EC" w:rsidP="003E6397">
      <w:pPr>
        <w:pStyle w:val="xmsonormal"/>
        <w:shd w:val="clear" w:color="auto" w:fill="FFFFFF"/>
        <w:spacing w:before="0" w:beforeAutospacing="0" w:after="0" w:afterAutospacing="0"/>
        <w:jc w:val="both"/>
        <w:rPr>
          <w:sz w:val="22"/>
          <w:szCs w:val="22"/>
          <w:bdr w:val="none" w:sz="0" w:space="0" w:color="auto" w:frame="1"/>
        </w:rPr>
      </w:pPr>
      <w:r w:rsidRPr="00BA6123">
        <w:rPr>
          <w:sz w:val="22"/>
          <w:szCs w:val="22"/>
          <w:bdr w:val="none" w:sz="0" w:space="0" w:color="auto" w:frame="1"/>
        </w:rPr>
        <w:t>Módulo III</w:t>
      </w:r>
      <w:r w:rsidR="003E6397" w:rsidRPr="00BA6123">
        <w:rPr>
          <w:sz w:val="22"/>
          <w:szCs w:val="22"/>
          <w:bdr w:val="none" w:sz="0" w:space="0" w:color="auto" w:frame="1"/>
        </w:rPr>
        <w:t>:</w:t>
      </w:r>
      <w:r w:rsidRPr="00BA6123">
        <w:rPr>
          <w:sz w:val="22"/>
          <w:szCs w:val="22"/>
          <w:bdr w:val="none" w:sz="0" w:space="0" w:color="auto" w:frame="1"/>
        </w:rPr>
        <w:t xml:space="preserve"> </w:t>
      </w:r>
      <w:r w:rsidR="003E6397" w:rsidRPr="00BA6123">
        <w:rPr>
          <w:sz w:val="22"/>
          <w:szCs w:val="22"/>
          <w:bdr w:val="none" w:sz="0" w:space="0" w:color="auto" w:frame="1"/>
        </w:rPr>
        <w:t>“Procesos, procedimientos y pericias financiero contables en la prevención y combate de la corrupción”;</w:t>
      </w:r>
    </w:p>
    <w:p w:rsidR="003E6397" w:rsidRPr="00BA6123" w:rsidRDefault="008266EC" w:rsidP="003E6397">
      <w:pPr>
        <w:pStyle w:val="xmsonormal"/>
        <w:shd w:val="clear" w:color="auto" w:fill="FFFFFF"/>
        <w:spacing w:before="0" w:beforeAutospacing="0" w:after="0" w:afterAutospacing="0"/>
        <w:jc w:val="both"/>
        <w:rPr>
          <w:sz w:val="22"/>
          <w:szCs w:val="23"/>
        </w:rPr>
      </w:pPr>
      <w:r w:rsidRPr="00BA6123">
        <w:rPr>
          <w:sz w:val="22"/>
          <w:szCs w:val="22"/>
          <w:bdr w:val="none" w:sz="0" w:space="0" w:color="auto" w:frame="1"/>
        </w:rPr>
        <w:t>Módulo IV</w:t>
      </w:r>
      <w:r w:rsidR="003E6397" w:rsidRPr="00BA6123">
        <w:rPr>
          <w:sz w:val="22"/>
          <w:szCs w:val="22"/>
          <w:bdr w:val="none" w:sz="0" w:space="0" w:color="auto" w:frame="1"/>
        </w:rPr>
        <w:t>:</w:t>
      </w:r>
      <w:r w:rsidRPr="00BA6123">
        <w:rPr>
          <w:sz w:val="22"/>
          <w:szCs w:val="22"/>
          <w:bdr w:val="none" w:sz="0" w:space="0" w:color="auto" w:frame="1"/>
        </w:rPr>
        <w:t xml:space="preserve"> </w:t>
      </w:r>
      <w:r w:rsidR="003E6397" w:rsidRPr="00BA6123">
        <w:rPr>
          <w:sz w:val="22"/>
          <w:szCs w:val="22"/>
          <w:bdr w:val="none" w:sz="0" w:space="0" w:color="auto" w:frame="1"/>
        </w:rPr>
        <w:t>“Estrategias probatorias especializadas en materia anticorrupción”</w:t>
      </w:r>
      <w:r w:rsidR="003E6397" w:rsidRPr="00BA6123">
        <w:rPr>
          <w:sz w:val="22"/>
          <w:szCs w:val="22"/>
          <w:bdr w:val="none" w:sz="0" w:space="0" w:color="auto" w:frame="1"/>
        </w:rPr>
        <w:t>;</w:t>
      </w:r>
    </w:p>
    <w:p w:rsidR="008266EC" w:rsidRPr="00BA6123" w:rsidRDefault="008266EC" w:rsidP="008266EC">
      <w:pPr>
        <w:pStyle w:val="xmsonormal"/>
        <w:shd w:val="clear" w:color="auto" w:fill="FFFFFF"/>
        <w:spacing w:before="0" w:beforeAutospacing="0" w:after="0" w:afterAutospacing="0"/>
        <w:jc w:val="both"/>
        <w:rPr>
          <w:sz w:val="22"/>
          <w:szCs w:val="22"/>
          <w:bdr w:val="none" w:sz="0" w:space="0" w:color="auto" w:frame="1"/>
        </w:rPr>
      </w:pPr>
      <w:r w:rsidRPr="00BA6123">
        <w:rPr>
          <w:sz w:val="22"/>
          <w:szCs w:val="22"/>
          <w:bdr w:val="none" w:sz="0" w:space="0" w:color="auto" w:frame="1"/>
        </w:rPr>
        <w:t>Módulo V</w:t>
      </w:r>
      <w:r w:rsidR="003E6397" w:rsidRPr="00BA6123">
        <w:rPr>
          <w:sz w:val="22"/>
          <w:szCs w:val="22"/>
          <w:bdr w:val="none" w:sz="0" w:space="0" w:color="auto" w:frame="1"/>
        </w:rPr>
        <w:t>:</w:t>
      </w:r>
      <w:r w:rsidRPr="00BA6123">
        <w:rPr>
          <w:sz w:val="22"/>
          <w:szCs w:val="22"/>
          <w:bdr w:val="none" w:sz="0" w:space="0" w:color="auto" w:frame="1"/>
        </w:rPr>
        <w:t xml:space="preserve"> “Estrategias especializadas para prevención y combate sistémico de la corrupción”. </w:t>
      </w:r>
    </w:p>
    <w:p w:rsidR="00DC13AB" w:rsidRPr="00BA6123" w:rsidRDefault="00DC13AB" w:rsidP="008266EC">
      <w:pPr>
        <w:pStyle w:val="xmsonormal"/>
        <w:shd w:val="clear" w:color="auto" w:fill="FFFFFF"/>
        <w:spacing w:before="0" w:beforeAutospacing="0" w:after="0" w:afterAutospacing="0"/>
        <w:jc w:val="both"/>
        <w:rPr>
          <w:sz w:val="22"/>
          <w:szCs w:val="22"/>
          <w:bdr w:val="none" w:sz="0" w:space="0" w:color="auto" w:frame="1"/>
        </w:rPr>
      </w:pPr>
    </w:p>
    <w:p w:rsidR="00DC13AB" w:rsidRPr="00BA6123" w:rsidRDefault="00DC13AB" w:rsidP="00DC13AB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3"/>
        </w:rPr>
      </w:pPr>
      <w:r w:rsidRPr="00BA6123">
        <w:rPr>
          <w:b/>
          <w:sz w:val="22"/>
          <w:szCs w:val="22"/>
          <w:bdr w:val="none" w:sz="0" w:space="0" w:color="auto" w:frame="1"/>
        </w:rPr>
        <w:t>Cualquier actividad que se haya llevado a cabo o se esté organizando en el marco de la Carta de Entendimiento suscrita por el GTIAC e las que el TEG esté participando a título individual o con el GTIAC o alguna de sus instituciones. (sic)</w:t>
      </w:r>
    </w:p>
    <w:p w:rsidR="00DC13AB" w:rsidRPr="00BA6123" w:rsidRDefault="00DC13AB" w:rsidP="00DC13AB">
      <w:pPr>
        <w:pStyle w:val="xmsonormal"/>
        <w:shd w:val="clear" w:color="auto" w:fill="FFFFFF"/>
        <w:spacing w:after="0"/>
        <w:ind w:firstLine="708"/>
        <w:jc w:val="both"/>
        <w:rPr>
          <w:sz w:val="22"/>
          <w:szCs w:val="23"/>
        </w:rPr>
      </w:pPr>
      <w:r w:rsidRPr="00BA6123">
        <w:rPr>
          <w:sz w:val="22"/>
          <w:szCs w:val="23"/>
        </w:rPr>
        <w:t xml:space="preserve">Como ya se señaló, dentro de las actividades en ejecución por parte de las instituciones que integran el GTIAC están los </w:t>
      </w:r>
      <w:r w:rsidRPr="00BA6123">
        <w:rPr>
          <w:sz w:val="22"/>
          <w:szCs w:val="23"/>
        </w:rPr>
        <w:t xml:space="preserve">Protocolos de </w:t>
      </w:r>
      <w:r w:rsidRPr="00BA6123">
        <w:rPr>
          <w:sz w:val="22"/>
          <w:szCs w:val="23"/>
        </w:rPr>
        <w:t xml:space="preserve">atención quejas y denuncias y de protección a denunciantes y testigos, que se adecuan a los marcos normativos de cada institución. </w:t>
      </w:r>
    </w:p>
    <w:p w:rsidR="00DC13AB" w:rsidRPr="00BA6123" w:rsidRDefault="00DC13AB" w:rsidP="00BA6123">
      <w:pPr>
        <w:pStyle w:val="xmsonormal"/>
        <w:shd w:val="clear" w:color="auto" w:fill="FFFFFF"/>
        <w:spacing w:after="0"/>
        <w:ind w:firstLine="708"/>
        <w:jc w:val="both"/>
        <w:rPr>
          <w:sz w:val="22"/>
          <w:szCs w:val="23"/>
        </w:rPr>
      </w:pPr>
      <w:r w:rsidRPr="00BA6123">
        <w:rPr>
          <w:sz w:val="22"/>
          <w:szCs w:val="23"/>
        </w:rPr>
        <w:t xml:space="preserve">Se ha identificado la importancia de apoyar a la Corte Suprema de Justicia en </w:t>
      </w:r>
      <w:r w:rsidR="00BA6123" w:rsidRPr="00BA6123">
        <w:rPr>
          <w:sz w:val="22"/>
          <w:szCs w:val="23"/>
        </w:rPr>
        <w:t>el seguimiento y verificación de cumplimiento, por parte de</w:t>
      </w:r>
      <w:r w:rsidR="00AD167C" w:rsidRPr="00BA6123">
        <w:rPr>
          <w:sz w:val="22"/>
          <w:szCs w:val="23"/>
        </w:rPr>
        <w:t xml:space="preserve"> funcionarios y empleados</w:t>
      </w:r>
      <w:r w:rsidR="00BA6123" w:rsidRPr="00BA6123">
        <w:rPr>
          <w:sz w:val="22"/>
          <w:szCs w:val="23"/>
        </w:rPr>
        <w:t xml:space="preserve"> de las instituciones que integran el GTIAC</w:t>
      </w:r>
      <w:r w:rsidR="00AD167C" w:rsidRPr="00BA6123">
        <w:rPr>
          <w:sz w:val="22"/>
          <w:szCs w:val="23"/>
        </w:rPr>
        <w:t>, de la obligación de</w:t>
      </w:r>
      <w:r w:rsidR="00BA6123" w:rsidRPr="00BA6123">
        <w:rPr>
          <w:sz w:val="22"/>
          <w:szCs w:val="23"/>
        </w:rPr>
        <w:t xml:space="preserve"> declarar</w:t>
      </w:r>
      <w:r w:rsidR="00AD167C" w:rsidRPr="00BA6123">
        <w:rPr>
          <w:sz w:val="22"/>
          <w:szCs w:val="23"/>
        </w:rPr>
        <w:t xml:space="preserve"> conforme lo establecido</w:t>
      </w:r>
      <w:r w:rsidR="00BA6123" w:rsidRPr="00BA6123">
        <w:rPr>
          <w:sz w:val="22"/>
          <w:szCs w:val="23"/>
        </w:rPr>
        <w:t xml:space="preserve"> en la Ley sobre el enriquecimiento ilícito de funcionarios y empleados públicos; como un mecanismo preventivo y efectivo en el combate a la corrupción.</w:t>
      </w:r>
    </w:p>
    <w:p w:rsidR="00DC13AB" w:rsidRPr="00BA6123" w:rsidRDefault="00BA6123" w:rsidP="00BA6123">
      <w:pPr>
        <w:pStyle w:val="xmsonormal"/>
        <w:shd w:val="clear" w:color="auto" w:fill="FFFFFF"/>
        <w:spacing w:after="0"/>
        <w:jc w:val="both"/>
        <w:rPr>
          <w:sz w:val="22"/>
          <w:szCs w:val="23"/>
        </w:rPr>
      </w:pPr>
      <w:r w:rsidRPr="00BA6123">
        <w:rPr>
          <w:sz w:val="22"/>
          <w:szCs w:val="23"/>
        </w:rPr>
        <w:tab/>
        <w:t>Por último, se reitera la apuesta por un plan formativo que prepare a personal clave, en el abordaje sistémico de la corrupción.</w:t>
      </w:r>
      <w:bookmarkStart w:id="0" w:name="_GoBack"/>
      <w:bookmarkEnd w:id="0"/>
    </w:p>
    <w:sectPr w:rsidR="00DC13AB" w:rsidRPr="00BA61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0131C"/>
    <w:multiLevelType w:val="hybridMultilevel"/>
    <w:tmpl w:val="6E9AA26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EC"/>
    <w:rsid w:val="00007526"/>
    <w:rsid w:val="001F7E47"/>
    <w:rsid w:val="00282330"/>
    <w:rsid w:val="003E6397"/>
    <w:rsid w:val="00726DDC"/>
    <w:rsid w:val="007A19FD"/>
    <w:rsid w:val="008266EC"/>
    <w:rsid w:val="00AD167C"/>
    <w:rsid w:val="00BA6123"/>
    <w:rsid w:val="00C17092"/>
    <w:rsid w:val="00D862DF"/>
    <w:rsid w:val="00DC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F44D5-8991-4E74-9003-FB4D52DF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26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28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1F7E47"/>
  </w:style>
  <w:style w:type="character" w:customStyle="1" w:styleId="eop">
    <w:name w:val="eop"/>
    <w:basedOn w:val="Fuentedeprrafopredeter"/>
    <w:rsid w:val="001F7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Rosa de Cornejo</dc:creator>
  <cp:keywords/>
  <dc:description/>
  <cp:lastModifiedBy>Marina Rosa de Cornejo</cp:lastModifiedBy>
  <cp:revision>1</cp:revision>
  <dcterms:created xsi:type="dcterms:W3CDTF">2019-08-19T21:29:00Z</dcterms:created>
  <dcterms:modified xsi:type="dcterms:W3CDTF">2019-08-20T00:36:00Z</dcterms:modified>
</cp:coreProperties>
</file>