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47DF7" w14:textId="0DD95885" w:rsidR="00456A71" w:rsidRDefault="00456A71" w:rsidP="003F263B">
      <w:pPr>
        <w:pStyle w:val="Prrafodelista"/>
        <w:spacing w:line="276" w:lineRule="auto"/>
        <w:ind w:left="0"/>
        <w:jc w:val="center"/>
        <w:rPr>
          <w:rFonts w:ascii="Britannic Bold" w:hAnsi="Britannic Bold"/>
          <w:color w:val="0070C0"/>
          <w:sz w:val="24"/>
          <w:szCs w:val="24"/>
          <w:u w:val="single"/>
        </w:rPr>
      </w:pPr>
      <w:r w:rsidRPr="006C49FC">
        <w:rPr>
          <w:rFonts w:ascii="Britannic Bold" w:hAnsi="Britannic Bold"/>
          <w:color w:val="0070C0"/>
          <w:sz w:val="24"/>
          <w:szCs w:val="24"/>
          <w:u w:val="single"/>
        </w:rPr>
        <w:t xml:space="preserve">GESTIÓN DE ACCESO A LA INFORMACIÓN PÚBLICA </w:t>
      </w:r>
      <w:r w:rsidR="006C49FC" w:rsidRPr="006C49FC">
        <w:rPr>
          <w:rFonts w:ascii="Britannic Bold" w:hAnsi="Britannic Bold"/>
          <w:color w:val="0070C0"/>
          <w:sz w:val="24"/>
          <w:szCs w:val="24"/>
          <w:u w:val="single"/>
        </w:rPr>
        <w:t xml:space="preserve">EN EL TRIBUNAL DE ÉTICA GUBERNAMENTAL </w:t>
      </w:r>
      <w:r w:rsidR="00851DD1" w:rsidRPr="006C49FC">
        <w:rPr>
          <w:rFonts w:ascii="Britannic Bold" w:hAnsi="Britannic Bold"/>
          <w:color w:val="0070C0"/>
          <w:sz w:val="24"/>
          <w:szCs w:val="24"/>
          <w:u w:val="single"/>
        </w:rPr>
        <w:t xml:space="preserve">(PERÍODO DEL 1 DE </w:t>
      </w:r>
      <w:r w:rsidR="00677AB2">
        <w:rPr>
          <w:rFonts w:ascii="Britannic Bold" w:hAnsi="Britannic Bold"/>
          <w:color w:val="0070C0"/>
          <w:sz w:val="24"/>
          <w:szCs w:val="24"/>
          <w:u w:val="single"/>
        </w:rPr>
        <w:t>SEPTIEMBRE</w:t>
      </w:r>
      <w:r w:rsidR="00851DD1" w:rsidRPr="006C49FC">
        <w:rPr>
          <w:rFonts w:ascii="Britannic Bold" w:hAnsi="Britannic Bold"/>
          <w:color w:val="0070C0"/>
          <w:sz w:val="24"/>
          <w:szCs w:val="24"/>
          <w:u w:val="single"/>
        </w:rPr>
        <w:t xml:space="preserve"> 2019 AL 31 DE </w:t>
      </w:r>
      <w:r w:rsidR="0018459C" w:rsidRPr="006C49FC">
        <w:rPr>
          <w:rFonts w:ascii="Britannic Bold" w:hAnsi="Britannic Bold"/>
          <w:color w:val="0070C0"/>
          <w:sz w:val="24"/>
          <w:szCs w:val="24"/>
          <w:u w:val="single"/>
        </w:rPr>
        <w:t>AGOSTO</w:t>
      </w:r>
      <w:r w:rsidR="00851DD1" w:rsidRPr="006C49FC">
        <w:rPr>
          <w:rFonts w:ascii="Britannic Bold" w:hAnsi="Britannic Bold"/>
          <w:color w:val="0070C0"/>
          <w:sz w:val="24"/>
          <w:szCs w:val="24"/>
          <w:u w:val="single"/>
        </w:rPr>
        <w:t xml:space="preserve"> DE 2020)</w:t>
      </w:r>
    </w:p>
    <w:p w14:paraId="3B0FDC5F" w14:textId="77777777" w:rsidR="0057767C" w:rsidRPr="006C49FC" w:rsidRDefault="0057767C" w:rsidP="003F263B">
      <w:pPr>
        <w:pStyle w:val="Prrafodelista"/>
        <w:spacing w:line="276" w:lineRule="auto"/>
        <w:ind w:left="0"/>
        <w:jc w:val="center"/>
        <w:rPr>
          <w:rFonts w:ascii="Britannic Bold" w:hAnsi="Britannic Bold"/>
          <w:color w:val="0070C0"/>
          <w:sz w:val="24"/>
          <w:szCs w:val="24"/>
          <w:u w:val="single"/>
        </w:rPr>
      </w:pPr>
    </w:p>
    <w:p w14:paraId="74B16151" w14:textId="77777777" w:rsidR="00456A71" w:rsidRPr="006C49FC" w:rsidRDefault="00456A71" w:rsidP="006C49FC">
      <w:pPr>
        <w:spacing w:after="0" w:line="360" w:lineRule="auto"/>
        <w:jc w:val="both"/>
        <w:rPr>
          <w:rFonts w:ascii="Arial" w:hAnsi="Arial" w:cs="Arial"/>
        </w:rPr>
      </w:pPr>
      <w:r w:rsidRPr="006C49FC">
        <w:rPr>
          <w:rFonts w:ascii="Arial" w:hAnsi="Arial" w:cs="Arial"/>
        </w:rPr>
        <w:t>La Ley de Acceso a la Información Pública, busca garantizar que las personas en general puedan acceder y conocer cómo se administra el Estado. Este mecanismo robustece la participación ciudadana, el debate democrático, las políticas públicas, la gestión pública y por ende la gobernabilidad. Circunstancias, que permiten a las instituciones de gobierno ser transparentes y permeables en sus gestiones.</w:t>
      </w:r>
    </w:p>
    <w:p w14:paraId="53EF528A" w14:textId="77777777" w:rsidR="00456A71" w:rsidRPr="006C49FC" w:rsidRDefault="00456A71" w:rsidP="006C49FC">
      <w:pPr>
        <w:spacing w:after="0" w:line="360" w:lineRule="auto"/>
        <w:jc w:val="both"/>
        <w:rPr>
          <w:rFonts w:ascii="Arial" w:hAnsi="Arial" w:cs="Arial"/>
        </w:rPr>
      </w:pPr>
    </w:p>
    <w:p w14:paraId="1F3E6A8D" w14:textId="747E9792" w:rsidR="00456A71" w:rsidRPr="006C49FC" w:rsidRDefault="00456A71" w:rsidP="006C49FC">
      <w:pPr>
        <w:spacing w:after="0" w:line="360" w:lineRule="auto"/>
        <w:jc w:val="both"/>
        <w:rPr>
          <w:rFonts w:ascii="Arial" w:hAnsi="Arial" w:cs="Arial"/>
        </w:rPr>
      </w:pPr>
      <w:r w:rsidRPr="006C49FC">
        <w:rPr>
          <w:rFonts w:ascii="Arial" w:hAnsi="Arial" w:cs="Arial"/>
        </w:rPr>
        <w:t xml:space="preserve">Así las cosas, por medio de la </w:t>
      </w:r>
      <w:r w:rsidR="00697B63" w:rsidRPr="006C49FC">
        <w:rPr>
          <w:rFonts w:ascii="Arial" w:hAnsi="Arial" w:cs="Arial"/>
        </w:rPr>
        <w:t>Unidad de</w:t>
      </w:r>
      <w:r w:rsidRPr="006C49FC">
        <w:rPr>
          <w:rFonts w:ascii="Arial" w:hAnsi="Arial" w:cs="Arial"/>
        </w:rPr>
        <w:t xml:space="preserve"> Acceso a la Información pública del TEG, se tramitaron y respondieron </w:t>
      </w:r>
      <w:r w:rsidR="0057767C">
        <w:rPr>
          <w:rFonts w:ascii="Arial" w:hAnsi="Arial" w:cs="Arial"/>
          <w:b/>
        </w:rPr>
        <w:t>45</w:t>
      </w:r>
      <w:r w:rsidRPr="006C49FC">
        <w:rPr>
          <w:rFonts w:ascii="Arial" w:hAnsi="Arial" w:cs="Arial"/>
          <w:b/>
        </w:rPr>
        <w:t xml:space="preserve"> </w:t>
      </w:r>
      <w:r w:rsidRPr="006C49FC">
        <w:rPr>
          <w:rFonts w:ascii="Arial" w:hAnsi="Arial" w:cs="Arial"/>
        </w:rPr>
        <w:t xml:space="preserve">solicitudes de información, totalizando la cantidad de </w:t>
      </w:r>
      <w:r w:rsidR="0057767C">
        <w:rPr>
          <w:rFonts w:ascii="Arial" w:hAnsi="Arial" w:cs="Arial"/>
          <w:b/>
        </w:rPr>
        <w:t>213</w:t>
      </w:r>
      <w:r w:rsidRPr="006C49FC">
        <w:rPr>
          <w:rFonts w:ascii="Arial" w:hAnsi="Arial" w:cs="Arial"/>
          <w:b/>
        </w:rPr>
        <w:t xml:space="preserve"> </w:t>
      </w:r>
      <w:r w:rsidRPr="006C49FC">
        <w:rPr>
          <w:rFonts w:ascii="Arial" w:hAnsi="Arial" w:cs="Arial"/>
        </w:rPr>
        <w:t>requerimientos atendidos.</w:t>
      </w:r>
    </w:p>
    <w:p w14:paraId="388A64B6" w14:textId="77777777" w:rsidR="00456A71" w:rsidRPr="006C49FC" w:rsidRDefault="00456A71" w:rsidP="00456A71">
      <w:pPr>
        <w:spacing w:after="0" w:line="276" w:lineRule="auto"/>
        <w:ind w:left="36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="-730" w:tblpY="47"/>
        <w:tblW w:w="108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134"/>
        <w:gridCol w:w="1276"/>
        <w:gridCol w:w="1276"/>
        <w:gridCol w:w="1129"/>
        <w:gridCol w:w="997"/>
        <w:gridCol w:w="1028"/>
        <w:gridCol w:w="1346"/>
        <w:gridCol w:w="1534"/>
      </w:tblGrid>
      <w:tr w:rsidR="0018056E" w:rsidRPr="00F96946" w14:paraId="18711FF9" w14:textId="77777777" w:rsidTr="0018459C">
        <w:trPr>
          <w:trHeight w:hRule="exact" w:val="39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3EE16D96" w14:textId="77777777" w:rsidR="0018056E" w:rsidRPr="00F96946" w:rsidRDefault="0018056E" w:rsidP="0018459C">
            <w:pPr>
              <w:spacing w:line="276" w:lineRule="auto"/>
              <w:ind w:left="360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0466A84" w14:textId="633C51E1" w:rsidR="0018056E" w:rsidRPr="00F96946" w:rsidRDefault="0018056E" w:rsidP="0018459C">
            <w:pPr>
              <w:spacing w:line="276" w:lineRule="auto"/>
              <w:ind w:left="360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Año 2019</w:t>
            </w:r>
          </w:p>
        </w:tc>
      </w:tr>
      <w:tr w:rsidR="0018056E" w:rsidRPr="00F96946" w14:paraId="3ACC9A8D" w14:textId="77777777" w:rsidTr="0018459C">
        <w:trPr>
          <w:trHeight w:hRule="exact" w:val="95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6E45B03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1846DD6" w14:textId="77777777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Solicitudes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54015182" w14:textId="1AF1E1BA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Solicitud de datos personales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10768C3A" w14:textId="6935E78F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Requerimientos Tramitados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EEE4C9C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Información Oficiosa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6FDD7B7" w14:textId="77777777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Información Pública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3492F31" w14:textId="77777777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Entrega parcial/ Versión pública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9A44EFB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Requerimientos Entregados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6F76C767" w14:textId="7F4DFF3E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s-SV"/>
              </w:rPr>
            </w:pPr>
            <w:r w:rsidRPr="00F96946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Requerimientos no entregados</w:t>
            </w:r>
            <w:r w:rsidR="00E73BF9"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</w:rPr>
              <w:t>/Inexistentes</w:t>
            </w:r>
          </w:p>
        </w:tc>
      </w:tr>
      <w:tr w:rsidR="0018056E" w:rsidRPr="00F96946" w14:paraId="3E16C08B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2AA13F0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Septiembre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1CBC01F" w14:textId="2E7FA50E" w:rsidR="0018056E" w:rsidRPr="00F96946" w:rsidRDefault="0057767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fldChar w:fldCharType="begin"/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instrText xml:space="preserve"> + </w:instrTex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fldChar w:fldCharType="end"/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fldChar w:fldCharType="begin"/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instrText xml:space="preserve"> + </w:instrTex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fldChar w:fldCharType="end"/>
            </w:r>
            <w:r w:rsidR="00C44C3D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68A82E92" w14:textId="6D87C88A" w:rsidR="0018056E" w:rsidRPr="00F96946" w:rsidRDefault="00771CE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00962854" w14:textId="566F033B" w:rsidR="0018056E" w:rsidRPr="00F96946" w:rsidRDefault="00C44C3D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B95C170" w14:textId="7DA9701F" w:rsidR="0018056E" w:rsidRPr="00F96946" w:rsidRDefault="00244EA7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B2AA286" w14:textId="7BE5F273" w:rsidR="0018056E" w:rsidRPr="00F96946" w:rsidRDefault="00244EA7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DA9C843" w14:textId="60E9A61C" w:rsidR="0018056E" w:rsidRPr="00F96946" w:rsidRDefault="00244EA7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5745867" w14:textId="525883E0" w:rsidR="0018056E" w:rsidRPr="00F96946" w:rsidRDefault="00F80E98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16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1B704BC0" w14:textId="53C51EA9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8056E" w:rsidRPr="00F96946" w14:paraId="08E741A4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9E56C64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Octubre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17BEE47" w14:textId="263C09C6" w:rsidR="0018056E" w:rsidRPr="00F96946" w:rsidRDefault="001A3C1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4A836A35" w14:textId="6957E598" w:rsidR="0018056E" w:rsidRPr="00F96946" w:rsidRDefault="00771CE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A70EB3D" w14:textId="6A130608" w:rsidR="0018056E" w:rsidRPr="00F96946" w:rsidRDefault="00430144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8FD6E01" w14:textId="0314A4D9" w:rsidR="0018056E" w:rsidRPr="00F96946" w:rsidRDefault="00430144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D721D50" w14:textId="30BE8EEB" w:rsidR="0018056E" w:rsidRPr="00F96946" w:rsidRDefault="00430144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DDB770D" w14:textId="38AC71E0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67732AA0" w14:textId="658646ED" w:rsidR="0018056E" w:rsidRPr="00F96946" w:rsidRDefault="00430144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8373489" w14:textId="4C3627B0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8056E" w:rsidRPr="00F96946" w14:paraId="5A957C85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2ACDEA33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Noviembre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89E7427" w14:textId="33D065D5" w:rsidR="0018056E" w:rsidRPr="00F96946" w:rsidRDefault="002E7117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22EB9202" w14:textId="6C0FE875" w:rsidR="0018056E" w:rsidRPr="00F96946" w:rsidRDefault="00771CE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1DADCE7" w14:textId="5A42F932" w:rsidR="0018056E" w:rsidRPr="00F96946" w:rsidRDefault="002E7117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4595080" w14:textId="339D95B4" w:rsidR="0018056E" w:rsidRPr="00F96946" w:rsidRDefault="00430144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1721C62" w14:textId="3C0EF699" w:rsidR="0018056E" w:rsidRPr="00F96946" w:rsidRDefault="00783EDC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1B7CC4A" w14:textId="4023CE41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3253A48" w14:textId="4AAA9857" w:rsidR="0018056E" w:rsidRPr="00F96946" w:rsidRDefault="00783EDC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6399853" w14:textId="18FC195E" w:rsidR="0018056E" w:rsidRPr="00F96946" w:rsidRDefault="00815B6E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8</w:t>
            </w:r>
          </w:p>
        </w:tc>
      </w:tr>
      <w:tr w:rsidR="0018056E" w:rsidRPr="00F96946" w14:paraId="170A4EFF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3D6E863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Diciembre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69DF149" w14:textId="525C1ED2" w:rsidR="0018056E" w:rsidRPr="00F96946" w:rsidRDefault="00771CE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21481629" w14:textId="3955D474" w:rsidR="0018056E" w:rsidRPr="00F96946" w:rsidRDefault="00771CE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043E56C3" w14:textId="43364798" w:rsidR="0018056E" w:rsidRPr="00F96946" w:rsidRDefault="00EE626F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66933720" w14:textId="084F1B29" w:rsidR="0018056E" w:rsidRPr="00F96946" w:rsidRDefault="00EE626F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8B6C0FC" w14:textId="6B25D069" w:rsidR="0018056E" w:rsidRPr="00F96946" w:rsidRDefault="00EE626F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6164EC6" w14:textId="12A78847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0D8E9DB" w14:textId="5DA49750" w:rsidR="0018056E" w:rsidRPr="00F96946" w:rsidRDefault="00080EB2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37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0C904DEE" w14:textId="3757DF23" w:rsidR="0018056E" w:rsidRPr="00F96946" w:rsidRDefault="00080EB2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8056E" w:rsidRPr="00F96946" w14:paraId="269ADD10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1855492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730A26E6" w14:textId="43C83041" w:rsidR="0018056E" w:rsidRPr="00F96946" w:rsidRDefault="0057767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00E36BCD" w14:textId="71F00A86" w:rsidR="0018056E" w:rsidRPr="00F96946" w:rsidRDefault="0057767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678338CB" w14:textId="20D09983" w:rsidR="0018056E" w:rsidRPr="00F96946" w:rsidRDefault="0057767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026B710" w14:textId="7D9E008A" w:rsidR="0018056E" w:rsidRPr="00F96946" w:rsidRDefault="0057767C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849A931" w14:textId="3187B90D" w:rsidR="0018056E" w:rsidRPr="00F96946" w:rsidRDefault="0057767C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70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CECA87A" w14:textId="3ED2F892" w:rsidR="0018056E" w:rsidRPr="00F96946" w:rsidRDefault="0057767C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E080479" w14:textId="3E96D281" w:rsidR="0018056E" w:rsidRPr="00F96946" w:rsidRDefault="0057767C" w:rsidP="0018459C">
            <w:pPr>
              <w:spacing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93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54A0599E" w14:textId="3B16740F" w:rsidR="0018056E" w:rsidRPr="00F96946" w:rsidRDefault="0057767C" w:rsidP="0018459C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8</w:t>
            </w:r>
          </w:p>
        </w:tc>
      </w:tr>
      <w:tr w:rsidR="0018056E" w:rsidRPr="00F96946" w14:paraId="398E0E91" w14:textId="77777777" w:rsidTr="0018459C">
        <w:trPr>
          <w:trHeight w:hRule="exact" w:val="43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</w:tcPr>
          <w:p w14:paraId="577B9410" w14:textId="77777777" w:rsidR="0018056E" w:rsidRPr="00F96946" w:rsidRDefault="0018056E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9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1E1F8069" w14:textId="140575BD" w:rsidR="0018056E" w:rsidRPr="00F96946" w:rsidRDefault="00463CF3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Año 2020</w:t>
            </w:r>
          </w:p>
        </w:tc>
      </w:tr>
      <w:tr w:rsidR="0018056E" w:rsidRPr="00F96946" w14:paraId="6625B7FE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19D1A306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Enero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1A67E88F" w14:textId="3C03857B" w:rsidR="0018056E" w:rsidRPr="005E1518" w:rsidRDefault="004979E7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0F1C33CA" w14:textId="4E422BE9" w:rsidR="0018056E" w:rsidRPr="005E1518" w:rsidRDefault="004979E7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1F518573" w14:textId="2524852A" w:rsidR="0018056E" w:rsidRPr="005E1518" w:rsidRDefault="00EE626F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42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15795BE8" w14:textId="5FF3201D" w:rsidR="0018056E" w:rsidRPr="005E1518" w:rsidRDefault="00EE626F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6BC77F90" w14:textId="415C9EAA" w:rsidR="0018056E" w:rsidRPr="005E1518" w:rsidRDefault="00EE626F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F759E90" w14:textId="0516597F" w:rsidR="0018056E" w:rsidRPr="005E1518" w:rsidRDefault="00EE626F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3E50DFD7" w14:textId="1F63FCAB" w:rsidR="0018056E" w:rsidRPr="005E1518" w:rsidRDefault="00EE626F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40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2EED7171" w14:textId="0FEFA425" w:rsidR="0018056E" w:rsidRPr="005E1518" w:rsidRDefault="00EE626F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8056E" w:rsidRPr="00F96946" w14:paraId="051BC386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010711A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Febrero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21CFC684" w14:textId="17002338" w:rsidR="0018056E" w:rsidRPr="005E1518" w:rsidRDefault="00137DE3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14F4FD26" w14:textId="3CBA32F8" w:rsidR="0018056E" w:rsidRPr="005E1518" w:rsidRDefault="004979E7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3AFF8826" w14:textId="5A37B431" w:rsidR="0018056E" w:rsidRPr="005E1518" w:rsidRDefault="00137DE3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816FD9B" w14:textId="29E98CBC" w:rsidR="0018056E" w:rsidRPr="005E1518" w:rsidRDefault="00080EB2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250C216A" w14:textId="08F5E80C" w:rsidR="0018056E" w:rsidRPr="005E1518" w:rsidRDefault="00080EB2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D6AADF5" w14:textId="339DB806" w:rsidR="0018056E" w:rsidRPr="005E1518" w:rsidRDefault="00137DE3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60A070A9" w14:textId="3A36BE1C" w:rsidR="0018056E" w:rsidRPr="005E1518" w:rsidRDefault="00137DE3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060EE960" w14:textId="5B9A8376" w:rsidR="0018056E" w:rsidRPr="005E1518" w:rsidRDefault="00137DE3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8459C" w:rsidRPr="00F96946" w14:paraId="5F672338" w14:textId="106219C0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15288F46" w14:textId="77777777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Marzo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00D2E9F" w14:textId="4D112841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462680F1" w14:textId="2D47F622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24C25A76" w14:textId="3920BB43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F152C65" w14:textId="32EACAE1" w:rsidR="0018459C" w:rsidRPr="005E1518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7A54FC20" w14:textId="67BE7819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95944DF" w14:textId="3538ECDF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726D1FBA" w14:textId="07890F33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1E82A442" w14:textId="3018B953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8459C" w:rsidRPr="00F96946" w14:paraId="1BF1E036" w14:textId="190645C8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2BF16E7" w14:textId="77777777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Abril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7DE638D" w14:textId="59B03E22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437D6FA7" w14:textId="7C9EC9C6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399DE493" w14:textId="66151240" w:rsidR="0018459C" w:rsidRPr="005E1518" w:rsidRDefault="00F369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956B8C3" w14:textId="7FC8E4C2" w:rsidR="0018459C" w:rsidRPr="005E1518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EFAF71F" w14:textId="5CD3DB04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CE7117D" w14:textId="242186B1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4F982C8C" w14:textId="6F14C669" w:rsidR="0018459C" w:rsidRPr="005E1518" w:rsidRDefault="00E92ACB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20AFB93D" w14:textId="3ABA4B9D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8459C" w:rsidRPr="00F96946" w14:paraId="3EC9BA6F" w14:textId="02169EF8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  <w:hideMark/>
          </w:tcPr>
          <w:p w14:paraId="293339EE" w14:textId="77777777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Mayo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D422FC9" w14:textId="55E6BCA8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0030184D" w14:textId="0FE05C77" w:rsidR="0018459C" w:rsidRPr="005E1518" w:rsidRDefault="0018459C" w:rsidP="00184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5F300111" w14:textId="55334D7E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FA5DB37" w14:textId="58FCD15C" w:rsidR="0018459C" w:rsidRPr="005E1518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8D7B85B" w14:textId="46860D4E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76C839B2" w14:textId="1FB955E9" w:rsidR="0018459C" w:rsidRPr="005E1518" w:rsidRDefault="001845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778EDD39" w14:textId="17F38906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38DD3350" w14:textId="74DC6D7D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8459C" w:rsidRPr="00F96946" w14:paraId="65C9F25A" w14:textId="43205712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F7EEE02" w14:textId="0FC97B9D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Junio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37D9021" w14:textId="38558CE6" w:rsidR="0018459C" w:rsidRPr="005E1518" w:rsidRDefault="00EB3BB9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130F24D2" w14:textId="4A02AEB2" w:rsidR="0018459C" w:rsidRPr="005E1518" w:rsidRDefault="00277DC8" w:rsidP="00184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4704562B" w14:textId="4209CED7" w:rsidR="0018459C" w:rsidRPr="005E1518" w:rsidRDefault="00277DC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0C6A8D36" w14:textId="77975835" w:rsidR="0018459C" w:rsidRPr="005E1518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6EB7FF12" w14:textId="6DB3456B" w:rsidR="0018459C" w:rsidRPr="005E1518" w:rsidRDefault="00EB3BB9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3C1470F" w14:textId="104B56B0" w:rsidR="0018459C" w:rsidRPr="005E1518" w:rsidRDefault="00277DC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48CFC51E" w14:textId="53EAB580" w:rsidR="0018459C" w:rsidRPr="005E1518" w:rsidRDefault="00E92ACB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AB91E3D" w14:textId="1C1E0F96" w:rsidR="0018459C" w:rsidRPr="005E1518" w:rsidRDefault="0018459C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highlight w:val="cyan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8459C" w:rsidRPr="00F96946" w14:paraId="07895E8F" w14:textId="67E882F5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30D989D" w14:textId="3F97EC82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Julio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BA4A8AF" w14:textId="525705F4" w:rsidR="0018459C" w:rsidRPr="005E1518" w:rsidRDefault="00FA02FF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06E81FC3" w14:textId="57763443" w:rsidR="0018459C" w:rsidRPr="005E1518" w:rsidRDefault="00277DC8" w:rsidP="00184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12173BAF" w14:textId="150D7746" w:rsidR="0018459C" w:rsidRPr="005E1518" w:rsidRDefault="00E73BF9" w:rsidP="00FA02FF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</w:t>
            </w:r>
            <w:r w:rsidR="00277DC8"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05952C3" w14:textId="77BB4882" w:rsidR="0018459C" w:rsidRPr="005E1518" w:rsidRDefault="00E73BF9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1DC8C06F" w14:textId="0041E5BD" w:rsidR="0018459C" w:rsidRPr="005E1518" w:rsidRDefault="00E73BF9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398B21A4" w14:textId="3072BFA6" w:rsidR="0018459C" w:rsidRPr="005E1518" w:rsidRDefault="00277DC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299656B6" w14:textId="2772C3AA" w:rsidR="0018459C" w:rsidRPr="005E1518" w:rsidRDefault="00E92ACB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5DF4F1A7" w14:textId="34743C3D" w:rsidR="0018459C" w:rsidRPr="005E1518" w:rsidRDefault="00E73BF9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highlight w:val="cyan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8459C" w:rsidRPr="00F96946" w14:paraId="6CB2FAF7" w14:textId="53ADC082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EC18F96" w14:textId="42591317" w:rsidR="0018459C" w:rsidRPr="00F96946" w:rsidRDefault="0018459C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SV" w:eastAsia="es-SV"/>
              </w:rPr>
              <w:t>Agosto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2AE2CCE" w14:textId="6FB040E1" w:rsidR="0018459C" w:rsidRPr="005E1518" w:rsidRDefault="00277DC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7EF9C754" w14:textId="37157E62" w:rsidR="0018459C" w:rsidRPr="005E1518" w:rsidRDefault="005E1518" w:rsidP="00184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4F60E251" w14:textId="270D59BF" w:rsidR="0018459C" w:rsidRPr="005E1518" w:rsidRDefault="005E151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2D7208E" w14:textId="74174082" w:rsidR="0018459C" w:rsidRPr="005E1518" w:rsidRDefault="00277DC8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2208CD57" w14:textId="13ABA4B7" w:rsidR="0018459C" w:rsidRPr="005E1518" w:rsidRDefault="00277DC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6BA4FB5" w14:textId="09D3F533" w:rsidR="0018459C" w:rsidRPr="005E1518" w:rsidRDefault="005E151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</w:pPr>
            <w:r w:rsidRPr="005E151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3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7490A912" w14:textId="1B326A8D" w:rsidR="0018459C" w:rsidRPr="005E1518" w:rsidRDefault="00E92ACB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4BBF2759" w14:textId="223B88EB" w:rsidR="0018459C" w:rsidRPr="005E1518" w:rsidRDefault="00277DC8" w:rsidP="0018459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  <w:highlight w:val="cyan"/>
              </w:rPr>
            </w:pPr>
            <w:r w:rsidRPr="005E1518">
              <w:rPr>
                <w:rFonts w:ascii="Arial Narrow" w:hAnsi="Arial Narrow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8056E" w:rsidRPr="00F96946" w14:paraId="0FB1799B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C020F5C" w14:textId="77777777" w:rsidR="0018056E" w:rsidRPr="00F96946" w:rsidRDefault="0018056E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 w:rsidRPr="00F96946"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Sub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61430DC" w14:textId="15250957" w:rsidR="0018056E" w:rsidRPr="00F96946" w:rsidRDefault="005E1518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19642640" w14:textId="48E3FE09" w:rsidR="0018056E" w:rsidRDefault="005E1518" w:rsidP="001845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5FA34C19" w14:textId="1A4F3676" w:rsidR="0018056E" w:rsidRPr="00F96946" w:rsidRDefault="00F369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16AB55AB" w14:textId="1A345A45" w:rsidR="0018056E" w:rsidRPr="00F96946" w:rsidRDefault="005E1518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46023AE4" w14:textId="4A1B31A6" w:rsidR="0018056E" w:rsidRPr="00F96946" w:rsidRDefault="00F369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63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center"/>
          </w:tcPr>
          <w:p w14:paraId="5E9A1864" w14:textId="104C9575" w:rsidR="0018056E" w:rsidRPr="00F96946" w:rsidRDefault="00F369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22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58A68CD1" w14:textId="7D1B8AAA" w:rsidR="0018056E" w:rsidRPr="00F96946" w:rsidRDefault="00E92ACB" w:rsidP="0018459C">
            <w:pPr>
              <w:spacing w:after="0" w:line="276" w:lineRule="auto"/>
              <w:ind w:left="67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112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08751BA0" w14:textId="75D4FB0A" w:rsidR="0018056E" w:rsidRPr="00F96946" w:rsidRDefault="00F3699C" w:rsidP="0018459C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8"/>
                <w:szCs w:val="18"/>
                <w:lang w:val="es-SV" w:eastAsia="es-SV"/>
              </w:rPr>
              <w:t>5</w:t>
            </w:r>
          </w:p>
        </w:tc>
      </w:tr>
      <w:tr w:rsidR="0018056E" w:rsidRPr="00F96946" w14:paraId="3789A8DB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2F6CB" w14:textId="77777777" w:rsidR="0018056E" w:rsidRPr="00F96946" w:rsidRDefault="0018056E" w:rsidP="0018459C">
            <w:pPr>
              <w:spacing w:line="276" w:lineRule="auto"/>
              <w:ind w:left="67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s-S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128829" w14:textId="77777777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B20B4" w14:textId="77777777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E7280" w14:textId="321C1DAC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7B57AB" w14:textId="77777777" w:rsidR="0018056E" w:rsidRPr="00F96946" w:rsidRDefault="0018056E" w:rsidP="0018459C">
            <w:pPr>
              <w:spacing w:line="276" w:lineRule="auto"/>
              <w:ind w:left="67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DEF351" w14:textId="77777777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94D1C" w14:textId="77777777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FE71E" w14:textId="77777777" w:rsidR="0018056E" w:rsidRPr="00F96946" w:rsidRDefault="0018056E" w:rsidP="0018459C">
            <w:pPr>
              <w:spacing w:line="276" w:lineRule="auto"/>
              <w:ind w:left="67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2295D" w14:textId="77777777" w:rsidR="0018056E" w:rsidRPr="00F96946" w:rsidRDefault="0018056E" w:rsidP="0018459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000000"/>
                <w:sz w:val="18"/>
                <w:szCs w:val="18"/>
              </w:rPr>
            </w:pPr>
          </w:p>
        </w:tc>
      </w:tr>
      <w:tr w:rsidR="0018056E" w:rsidRPr="00F96946" w14:paraId="15C42D42" w14:textId="77777777" w:rsidTr="0018459C">
        <w:trPr>
          <w:trHeight w:hRule="exact" w:val="28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71FABC1" w14:textId="1BF00FEF" w:rsidR="0018056E" w:rsidRPr="00F96946" w:rsidRDefault="003F679D" w:rsidP="0018459C">
            <w:pPr>
              <w:spacing w:line="276" w:lineRule="auto"/>
              <w:ind w:left="67"/>
              <w:jc w:val="center"/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s-SV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50CEEEB" w14:textId="2ED490FB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</w:tcPr>
          <w:p w14:paraId="3705B4B1" w14:textId="1DC91CC7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6C36851C" w14:textId="09948840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29D77EA" w14:textId="6918E629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6E0DFF7B" w14:textId="45DE1A49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2A0F09B9" w14:textId="336C7CD2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</w:tcPr>
          <w:p w14:paraId="1DF4C850" w14:textId="0A4A6714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205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</w:tcPr>
          <w:p w14:paraId="52B57130" w14:textId="1ED31E4D" w:rsidR="0018056E" w:rsidRPr="008E5FFF" w:rsidRDefault="0057767C" w:rsidP="0018459C">
            <w:pPr>
              <w:spacing w:after="0" w:line="276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</w:tr>
    </w:tbl>
    <w:p w14:paraId="60D6B4EA" w14:textId="77777777" w:rsidR="00252C89" w:rsidRDefault="00252C89" w:rsidP="00456A71">
      <w:pPr>
        <w:spacing w:after="0" w:line="276" w:lineRule="auto"/>
        <w:ind w:left="360"/>
        <w:jc w:val="both"/>
        <w:rPr>
          <w:rFonts w:ascii="Arial" w:hAnsi="Arial" w:cs="Arial"/>
          <w:color w:val="0070C0"/>
          <w:szCs w:val="24"/>
        </w:rPr>
      </w:pPr>
    </w:p>
    <w:p w14:paraId="499B9AE0" w14:textId="77777777" w:rsidR="006C49FC" w:rsidRDefault="006C49FC" w:rsidP="00456A71">
      <w:pPr>
        <w:spacing w:after="0" w:line="276" w:lineRule="auto"/>
        <w:ind w:left="360"/>
        <w:jc w:val="both"/>
        <w:rPr>
          <w:rFonts w:ascii="Arial" w:hAnsi="Arial" w:cs="Arial"/>
          <w:szCs w:val="24"/>
        </w:rPr>
      </w:pPr>
    </w:p>
    <w:p w14:paraId="3789C323" w14:textId="77777777" w:rsidR="0057767C" w:rsidRDefault="0057767C" w:rsidP="006C49FC">
      <w:pPr>
        <w:spacing w:after="0" w:line="360" w:lineRule="auto"/>
        <w:ind w:left="357"/>
        <w:jc w:val="both"/>
        <w:rPr>
          <w:rFonts w:ascii="Arial" w:hAnsi="Arial" w:cs="Arial"/>
          <w:szCs w:val="24"/>
        </w:rPr>
      </w:pPr>
    </w:p>
    <w:p w14:paraId="22090941" w14:textId="746F7F7A" w:rsidR="00456A71" w:rsidRPr="006C49FC" w:rsidRDefault="00456A71" w:rsidP="006C49FC">
      <w:pPr>
        <w:spacing w:after="0" w:line="360" w:lineRule="auto"/>
        <w:ind w:left="357"/>
        <w:jc w:val="both"/>
        <w:rPr>
          <w:rFonts w:ascii="Arial" w:hAnsi="Arial" w:cs="Arial"/>
          <w:szCs w:val="24"/>
        </w:rPr>
      </w:pPr>
      <w:r w:rsidRPr="006C49FC">
        <w:rPr>
          <w:rFonts w:ascii="Arial" w:hAnsi="Arial" w:cs="Arial"/>
          <w:szCs w:val="24"/>
        </w:rPr>
        <w:t>El Tribunal de Ética Gubernamental, por medio de la Unidad de Acceso a la Información Pública, en el marco de la transparencia institucional en el periodo comprendi</w:t>
      </w:r>
      <w:r w:rsidR="007C07C6" w:rsidRPr="006C49FC">
        <w:rPr>
          <w:rFonts w:ascii="Arial" w:hAnsi="Arial" w:cs="Arial"/>
          <w:szCs w:val="24"/>
        </w:rPr>
        <w:t xml:space="preserve">do entre del 01 de </w:t>
      </w:r>
      <w:r w:rsidR="0057767C">
        <w:rPr>
          <w:rFonts w:ascii="Arial" w:hAnsi="Arial" w:cs="Arial"/>
          <w:szCs w:val="24"/>
        </w:rPr>
        <w:t>septiembre</w:t>
      </w:r>
      <w:r w:rsidR="0057767C" w:rsidRPr="006C49FC">
        <w:rPr>
          <w:rFonts w:ascii="Arial" w:hAnsi="Arial" w:cs="Arial"/>
          <w:szCs w:val="24"/>
        </w:rPr>
        <w:t xml:space="preserve"> </w:t>
      </w:r>
      <w:r w:rsidR="007C07C6" w:rsidRPr="006C49FC">
        <w:rPr>
          <w:rFonts w:ascii="Arial" w:hAnsi="Arial" w:cs="Arial"/>
          <w:szCs w:val="24"/>
        </w:rPr>
        <w:t xml:space="preserve">de 2019 al 31 de </w:t>
      </w:r>
      <w:r w:rsidR="005E1518" w:rsidRPr="006C49FC">
        <w:rPr>
          <w:rFonts w:ascii="Arial" w:hAnsi="Arial" w:cs="Arial"/>
          <w:szCs w:val="24"/>
        </w:rPr>
        <w:t>agosto</w:t>
      </w:r>
      <w:r w:rsidR="007C07C6" w:rsidRPr="006C49FC">
        <w:rPr>
          <w:rFonts w:ascii="Arial" w:hAnsi="Arial" w:cs="Arial"/>
          <w:szCs w:val="24"/>
        </w:rPr>
        <w:t xml:space="preserve"> 2</w:t>
      </w:r>
      <w:r w:rsidR="00643C1F" w:rsidRPr="006C49FC">
        <w:rPr>
          <w:rFonts w:ascii="Arial" w:hAnsi="Arial" w:cs="Arial"/>
          <w:szCs w:val="24"/>
        </w:rPr>
        <w:t xml:space="preserve">020, respondido y entregado el </w:t>
      </w:r>
      <w:r w:rsidR="007C07C6" w:rsidRPr="006C49FC">
        <w:rPr>
          <w:rFonts w:ascii="Arial" w:hAnsi="Arial" w:cs="Arial"/>
          <w:szCs w:val="24"/>
        </w:rPr>
        <w:t>9</w:t>
      </w:r>
      <w:r w:rsidR="00643C1F" w:rsidRPr="006C49FC">
        <w:rPr>
          <w:rFonts w:ascii="Arial" w:hAnsi="Arial" w:cs="Arial"/>
          <w:szCs w:val="24"/>
        </w:rPr>
        <w:t>8</w:t>
      </w:r>
      <w:r w:rsidRPr="006C49FC">
        <w:rPr>
          <w:rFonts w:ascii="Arial" w:hAnsi="Arial" w:cs="Arial"/>
          <w:szCs w:val="24"/>
        </w:rPr>
        <w:t xml:space="preserve">% de la información solicitada. El </w:t>
      </w:r>
      <w:r w:rsidR="00643C1F" w:rsidRPr="006C49FC">
        <w:rPr>
          <w:rFonts w:ascii="Arial" w:hAnsi="Arial" w:cs="Arial"/>
          <w:szCs w:val="24"/>
        </w:rPr>
        <w:t>2</w:t>
      </w:r>
      <w:r w:rsidRPr="006C49FC">
        <w:rPr>
          <w:rFonts w:ascii="Arial" w:hAnsi="Arial" w:cs="Arial"/>
          <w:szCs w:val="24"/>
        </w:rPr>
        <w:t xml:space="preserve">% restante corresponde a información inexistente </w:t>
      </w:r>
      <w:r w:rsidR="007C07C6" w:rsidRPr="006C49FC">
        <w:rPr>
          <w:rFonts w:ascii="Arial" w:hAnsi="Arial" w:cs="Arial"/>
          <w:szCs w:val="24"/>
        </w:rPr>
        <w:t>e</w:t>
      </w:r>
      <w:r w:rsidRPr="006C49FC">
        <w:rPr>
          <w:rFonts w:ascii="Arial" w:hAnsi="Arial" w:cs="Arial"/>
          <w:szCs w:val="24"/>
        </w:rPr>
        <w:t xml:space="preserve"> información reservada</w:t>
      </w:r>
    </w:p>
    <w:p w14:paraId="67F5E5C2" w14:textId="77777777" w:rsidR="00456A71" w:rsidRPr="006C49FC" w:rsidRDefault="00456A71" w:rsidP="00456A71">
      <w:pPr>
        <w:spacing w:after="0" w:line="276" w:lineRule="auto"/>
        <w:ind w:left="360"/>
        <w:jc w:val="both"/>
        <w:rPr>
          <w:rFonts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94"/>
        <w:tblW w:w="6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2400"/>
      </w:tblGrid>
      <w:tr w:rsidR="00456A71" w:rsidRPr="00CF2E1D" w14:paraId="6F48426D" w14:textId="77777777" w:rsidTr="00557733">
        <w:trPr>
          <w:trHeight w:val="300"/>
        </w:trPr>
        <w:tc>
          <w:tcPr>
            <w:tcW w:w="4560" w:type="dxa"/>
            <w:shd w:val="clear" w:color="000000" w:fill="70AD47"/>
            <w:noWrap/>
            <w:vAlign w:val="bottom"/>
            <w:hideMark/>
          </w:tcPr>
          <w:p w14:paraId="5F7C40FB" w14:textId="77777777" w:rsidR="00456A71" w:rsidRPr="00CF2E1D" w:rsidRDefault="00456A71" w:rsidP="00557733">
            <w:pPr>
              <w:spacing w:after="0" w:line="276" w:lineRule="auto"/>
              <w:ind w:left="360"/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</w:pPr>
            <w:r w:rsidRPr="00CF2E1D"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  <w:t xml:space="preserve">Información entregada: </w:t>
            </w:r>
          </w:p>
        </w:tc>
        <w:tc>
          <w:tcPr>
            <w:tcW w:w="2400" w:type="dxa"/>
            <w:shd w:val="clear" w:color="000000" w:fill="70AD47"/>
            <w:noWrap/>
            <w:vAlign w:val="bottom"/>
            <w:hideMark/>
          </w:tcPr>
          <w:p w14:paraId="3CD5C08A" w14:textId="7B19E34B" w:rsidR="00456A71" w:rsidRPr="00CF2E1D" w:rsidRDefault="00643C1F" w:rsidP="00557733">
            <w:pPr>
              <w:spacing w:after="0" w:line="276" w:lineRule="auto"/>
              <w:ind w:left="36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98</w:t>
            </w:r>
            <w:r w:rsidR="00456A71" w:rsidRPr="00CF2E1D"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%</w:t>
            </w:r>
          </w:p>
        </w:tc>
      </w:tr>
      <w:tr w:rsidR="00456A71" w:rsidRPr="00CF2E1D" w14:paraId="04FCFC76" w14:textId="77777777" w:rsidTr="00557733">
        <w:trPr>
          <w:trHeight w:val="300"/>
        </w:trPr>
        <w:tc>
          <w:tcPr>
            <w:tcW w:w="4560" w:type="dxa"/>
            <w:shd w:val="clear" w:color="auto" w:fill="2F5496" w:themeFill="accent1" w:themeFillShade="BF"/>
            <w:vAlign w:val="bottom"/>
            <w:hideMark/>
          </w:tcPr>
          <w:p w14:paraId="422936B3" w14:textId="77777777" w:rsidR="00456A71" w:rsidRPr="00CF2E1D" w:rsidRDefault="00456A71" w:rsidP="00557733">
            <w:pPr>
              <w:spacing w:after="0" w:line="276" w:lineRule="auto"/>
              <w:ind w:left="360"/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</w:pPr>
            <w:r w:rsidRPr="00CF2E1D"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  <w:t xml:space="preserve">Información no entregada por inexistente: </w:t>
            </w:r>
          </w:p>
        </w:tc>
        <w:tc>
          <w:tcPr>
            <w:tcW w:w="2400" w:type="dxa"/>
            <w:shd w:val="clear" w:color="auto" w:fill="2F5496" w:themeFill="accent1" w:themeFillShade="BF"/>
            <w:vAlign w:val="bottom"/>
            <w:hideMark/>
          </w:tcPr>
          <w:p w14:paraId="42244878" w14:textId="1B03FCC8" w:rsidR="00456A71" w:rsidRPr="00CF2E1D" w:rsidRDefault="00643C1F" w:rsidP="00557733">
            <w:pPr>
              <w:spacing w:after="0" w:line="276" w:lineRule="auto"/>
              <w:ind w:left="36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1</w:t>
            </w:r>
            <w:r w:rsidR="00456A71" w:rsidRPr="00CF2E1D"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%</w:t>
            </w:r>
          </w:p>
        </w:tc>
      </w:tr>
      <w:tr w:rsidR="00456A71" w:rsidRPr="00CF2E1D" w14:paraId="00B9D423" w14:textId="77777777" w:rsidTr="00557733">
        <w:trPr>
          <w:trHeight w:val="300"/>
        </w:trPr>
        <w:tc>
          <w:tcPr>
            <w:tcW w:w="4560" w:type="dxa"/>
            <w:shd w:val="clear" w:color="auto" w:fill="BF8F00" w:themeFill="accent4" w:themeFillShade="BF"/>
            <w:vAlign w:val="bottom"/>
          </w:tcPr>
          <w:p w14:paraId="786DFEAD" w14:textId="77777777" w:rsidR="00456A71" w:rsidRPr="00CF2E1D" w:rsidRDefault="00456A71" w:rsidP="00557733">
            <w:pPr>
              <w:spacing w:after="0" w:line="276" w:lineRule="auto"/>
              <w:ind w:left="360"/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</w:pPr>
            <w:r w:rsidRPr="00CF2E1D">
              <w:rPr>
                <w:rFonts w:ascii="Arial Narrow" w:eastAsia="Times New Roman" w:hAnsi="Arial Narrow" w:cs="Times New Roman"/>
                <w:b/>
                <w:color w:val="000000"/>
                <w:lang w:val="es-SV" w:eastAsia="es-SV"/>
              </w:rPr>
              <w:t>Información no entregada por reserva:</w:t>
            </w:r>
          </w:p>
        </w:tc>
        <w:tc>
          <w:tcPr>
            <w:tcW w:w="2400" w:type="dxa"/>
            <w:shd w:val="clear" w:color="auto" w:fill="BF8F00" w:themeFill="accent4" w:themeFillShade="BF"/>
            <w:vAlign w:val="bottom"/>
          </w:tcPr>
          <w:p w14:paraId="2ED01B73" w14:textId="0D042D14" w:rsidR="00456A71" w:rsidRPr="00CF2E1D" w:rsidRDefault="00643C1F" w:rsidP="00557733">
            <w:pPr>
              <w:spacing w:after="0" w:line="276" w:lineRule="auto"/>
              <w:ind w:left="36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1</w:t>
            </w:r>
            <w:r w:rsidR="00456A71" w:rsidRPr="00CF2E1D">
              <w:rPr>
                <w:rFonts w:ascii="Arial Narrow" w:eastAsia="Times New Roman" w:hAnsi="Arial Narrow" w:cs="Times New Roman"/>
                <w:b/>
                <w:bCs/>
                <w:color w:val="000000"/>
                <w:lang w:val="es-SV" w:eastAsia="es-SV"/>
              </w:rPr>
              <w:t>%</w:t>
            </w:r>
          </w:p>
        </w:tc>
      </w:tr>
    </w:tbl>
    <w:p w14:paraId="740BEF85" w14:textId="77777777" w:rsidR="00456A71" w:rsidRPr="00F96946" w:rsidRDefault="00456A71" w:rsidP="00456A71">
      <w:pPr>
        <w:spacing w:after="0" w:line="276" w:lineRule="auto"/>
        <w:ind w:left="360"/>
        <w:jc w:val="both"/>
        <w:rPr>
          <w:rFonts w:cs="Arial"/>
          <w:sz w:val="24"/>
          <w:szCs w:val="24"/>
        </w:rPr>
      </w:pPr>
    </w:p>
    <w:p w14:paraId="08F0B2FD" w14:textId="77777777" w:rsidR="00456A71" w:rsidRPr="00F96946" w:rsidRDefault="00456A71" w:rsidP="00456A71">
      <w:pPr>
        <w:spacing w:after="0" w:line="276" w:lineRule="auto"/>
        <w:ind w:left="360"/>
        <w:jc w:val="both"/>
        <w:rPr>
          <w:rFonts w:cs="Arial"/>
          <w:sz w:val="24"/>
          <w:szCs w:val="24"/>
        </w:rPr>
      </w:pPr>
    </w:p>
    <w:p w14:paraId="150F41B2" w14:textId="77777777" w:rsidR="00456A71" w:rsidRPr="00F96946" w:rsidRDefault="00456A71" w:rsidP="00456A71">
      <w:pPr>
        <w:spacing w:after="0" w:line="276" w:lineRule="auto"/>
        <w:ind w:left="360"/>
        <w:jc w:val="both"/>
        <w:rPr>
          <w:rFonts w:cs="Arial"/>
          <w:sz w:val="24"/>
          <w:szCs w:val="24"/>
          <w:lang w:val="es-SV"/>
        </w:rPr>
      </w:pPr>
    </w:p>
    <w:p w14:paraId="0557FC78" w14:textId="77777777" w:rsidR="00456A71" w:rsidRDefault="00456A71" w:rsidP="00456A71">
      <w:pPr>
        <w:spacing w:after="0" w:line="276" w:lineRule="auto"/>
        <w:ind w:left="360"/>
        <w:jc w:val="both"/>
        <w:rPr>
          <w:rFonts w:ascii="Arial" w:hAnsi="Arial" w:cs="Arial"/>
          <w:b/>
          <w:color w:val="0070C0"/>
        </w:rPr>
      </w:pPr>
    </w:p>
    <w:p w14:paraId="58BC71A2" w14:textId="77777777" w:rsidR="001A4630" w:rsidRDefault="001A4630" w:rsidP="00456A71">
      <w:pPr>
        <w:spacing w:after="0" w:line="276" w:lineRule="auto"/>
        <w:ind w:left="360"/>
        <w:jc w:val="both"/>
        <w:rPr>
          <w:rFonts w:ascii="Arial" w:hAnsi="Arial" w:cs="Arial"/>
          <w:b/>
          <w:color w:val="0070C0"/>
        </w:rPr>
      </w:pPr>
    </w:p>
    <w:p w14:paraId="620C093B" w14:textId="77777777" w:rsidR="00456A71" w:rsidRPr="00EE40C2" w:rsidRDefault="00456A71" w:rsidP="006C49FC">
      <w:pPr>
        <w:spacing w:after="0" w:line="360" w:lineRule="auto"/>
        <w:ind w:left="357"/>
        <w:jc w:val="both"/>
        <w:rPr>
          <w:rFonts w:ascii="Arial" w:hAnsi="Arial" w:cs="Arial"/>
          <w:b/>
          <w:color w:val="0070C0"/>
          <w:szCs w:val="24"/>
        </w:rPr>
      </w:pPr>
      <w:r w:rsidRPr="00EE40C2">
        <w:rPr>
          <w:rFonts w:ascii="Arial" w:hAnsi="Arial" w:cs="Arial"/>
          <w:b/>
          <w:color w:val="0070C0"/>
          <w:szCs w:val="24"/>
        </w:rPr>
        <w:t>Plazos de Respuestas:</w:t>
      </w:r>
    </w:p>
    <w:p w14:paraId="02CB0B2F" w14:textId="77777777" w:rsidR="00456A71" w:rsidRPr="006C49FC" w:rsidRDefault="00456A71" w:rsidP="006C49FC">
      <w:pPr>
        <w:spacing w:after="0" w:line="360" w:lineRule="auto"/>
        <w:ind w:left="357"/>
        <w:jc w:val="both"/>
        <w:rPr>
          <w:rFonts w:ascii="Arial" w:hAnsi="Arial" w:cs="Arial"/>
          <w:szCs w:val="24"/>
        </w:rPr>
      </w:pPr>
      <w:r w:rsidRPr="006C49FC">
        <w:rPr>
          <w:rFonts w:ascii="Arial" w:hAnsi="Arial" w:cs="Arial"/>
          <w:szCs w:val="24"/>
        </w:rPr>
        <w:t xml:space="preserve">Las solicitudes de información fueron respondidas en un plazo menor de diez días. Siendo el promedio de trámite y respuesta de 7 a 10 días. </w:t>
      </w:r>
    </w:p>
    <w:p w14:paraId="4278A905" w14:textId="77777777" w:rsidR="00456A71" w:rsidRPr="00EE40C2" w:rsidRDefault="00456A71" w:rsidP="006C49FC">
      <w:pPr>
        <w:spacing w:after="0" w:line="360" w:lineRule="auto"/>
        <w:ind w:left="357"/>
        <w:jc w:val="both"/>
        <w:rPr>
          <w:rFonts w:ascii="Arial" w:hAnsi="Arial" w:cs="Arial"/>
          <w:color w:val="0070C0"/>
          <w:szCs w:val="24"/>
        </w:rPr>
      </w:pPr>
    </w:p>
    <w:p w14:paraId="29F8FF55" w14:textId="77777777" w:rsidR="00456A71" w:rsidRDefault="00456A71" w:rsidP="006C49FC">
      <w:pPr>
        <w:spacing w:after="0" w:line="360" w:lineRule="auto"/>
        <w:ind w:left="357"/>
        <w:jc w:val="both"/>
        <w:rPr>
          <w:rFonts w:ascii="Arial" w:hAnsi="Arial" w:cs="Arial"/>
          <w:b/>
          <w:color w:val="0070C0"/>
          <w:szCs w:val="24"/>
        </w:rPr>
      </w:pPr>
      <w:r w:rsidRPr="00EE40C2">
        <w:rPr>
          <w:rFonts w:ascii="Arial" w:hAnsi="Arial" w:cs="Arial"/>
          <w:b/>
          <w:color w:val="0070C0"/>
          <w:szCs w:val="24"/>
        </w:rPr>
        <w:t>Atención de Usuarios</w:t>
      </w:r>
    </w:p>
    <w:p w14:paraId="499AB818" w14:textId="42512CE2" w:rsidR="00456A71" w:rsidRPr="006C49FC" w:rsidRDefault="00456A71" w:rsidP="006C49FC">
      <w:pPr>
        <w:spacing w:after="0" w:line="360" w:lineRule="auto"/>
        <w:ind w:left="357"/>
        <w:jc w:val="both"/>
        <w:rPr>
          <w:rFonts w:cs="Arial"/>
          <w:sz w:val="24"/>
          <w:szCs w:val="24"/>
        </w:rPr>
      </w:pPr>
      <w:r w:rsidRPr="006C49FC">
        <w:rPr>
          <w:rFonts w:ascii="Arial" w:hAnsi="Arial" w:cs="Arial"/>
          <w:szCs w:val="24"/>
        </w:rPr>
        <w:t xml:space="preserve">El TEG por medio de la Unidad de Acceso a la Información Pública, brindó </w:t>
      </w:r>
      <w:r w:rsidR="006C49FC" w:rsidRPr="006C49FC">
        <w:rPr>
          <w:rFonts w:ascii="Arial" w:hAnsi="Arial" w:cs="Arial"/>
          <w:szCs w:val="24"/>
        </w:rPr>
        <w:t>97</w:t>
      </w:r>
      <w:r w:rsidRPr="006C49FC">
        <w:rPr>
          <w:rFonts w:ascii="Arial" w:hAnsi="Arial" w:cs="Arial"/>
          <w:szCs w:val="24"/>
        </w:rPr>
        <w:t xml:space="preserve"> orientaciones. Siendo las áreas más consultadas resoluciones finales, presupuesto, estadísticas, registro de </w:t>
      </w:r>
      <w:r w:rsidR="00441345" w:rsidRPr="006C49FC">
        <w:rPr>
          <w:rFonts w:ascii="Arial" w:hAnsi="Arial" w:cs="Arial"/>
          <w:szCs w:val="24"/>
        </w:rPr>
        <w:t>sancionados, estados</w:t>
      </w:r>
      <w:r w:rsidRPr="006C49FC">
        <w:rPr>
          <w:rFonts w:ascii="Arial" w:hAnsi="Arial" w:cs="Arial"/>
          <w:szCs w:val="24"/>
        </w:rPr>
        <w:t xml:space="preserve"> financi</w:t>
      </w:r>
      <w:r w:rsidR="006C49FC" w:rsidRPr="006C49FC">
        <w:rPr>
          <w:rFonts w:ascii="Arial" w:hAnsi="Arial" w:cs="Arial"/>
          <w:szCs w:val="24"/>
        </w:rPr>
        <w:t>eros, contrataciones según RRHH y temas relativos al funcionamiento del Tribunal durante el periodo de emergencia de la pandemia COVID-19</w:t>
      </w:r>
      <w:r w:rsidRPr="006C49FC">
        <w:rPr>
          <w:rFonts w:ascii="Arial" w:hAnsi="Arial" w:cs="Arial"/>
          <w:szCs w:val="24"/>
        </w:rPr>
        <w:t>, así:</w:t>
      </w:r>
    </w:p>
    <w:tbl>
      <w:tblPr>
        <w:tblStyle w:val="Tabladecuadrcula3-nfasis4"/>
        <w:tblpPr w:leftFromText="141" w:rightFromText="141" w:vertAnchor="text" w:horzAnchor="margin" w:tblpXSpec="center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2452"/>
      </w:tblGrid>
      <w:tr w:rsidR="00456A71" w:rsidRPr="000E343A" w14:paraId="2C3D8E6D" w14:textId="77777777" w:rsidTr="00557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4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14:paraId="4F954324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RESUMEN DE ORIENTACIONES BRINDADAS POR LA UAIP</w:t>
            </w:r>
          </w:p>
        </w:tc>
      </w:tr>
      <w:tr w:rsidR="00456A71" w:rsidRPr="000E343A" w14:paraId="1B626CEA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14:paraId="508DB6FA" w14:textId="00AE338D" w:rsidR="00456A71" w:rsidRPr="000E343A" w:rsidRDefault="003E4E21" w:rsidP="00557733">
            <w:pPr>
              <w:ind w:left="360"/>
              <w:jc w:val="both"/>
              <w:rPr>
                <w:rFonts w:ascii="Arial Narrow" w:hAnsi="Arial Narrow" w:cs="Arial"/>
                <w:b/>
                <w:color w:val="0070C0"/>
                <w:szCs w:val="24"/>
              </w:rPr>
            </w:pPr>
            <w:r>
              <w:rPr>
                <w:rFonts w:ascii="Arial Narrow" w:hAnsi="Arial Narrow" w:cs="Arial"/>
                <w:b/>
                <w:color w:val="0070C0"/>
                <w:szCs w:val="24"/>
              </w:rPr>
              <w:t>2019</w:t>
            </w:r>
          </w:p>
        </w:tc>
        <w:tc>
          <w:tcPr>
            <w:tcW w:w="2452" w:type="dxa"/>
            <w:shd w:val="clear" w:color="auto" w:fill="FFC000"/>
          </w:tcPr>
          <w:p w14:paraId="67B16451" w14:textId="77777777" w:rsidR="00456A71" w:rsidRPr="000E343A" w:rsidRDefault="00456A7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b/>
                <w:color w:val="0070C0"/>
                <w:szCs w:val="24"/>
              </w:rPr>
              <w:t>N°</w:t>
            </w:r>
          </w:p>
        </w:tc>
      </w:tr>
      <w:tr w:rsidR="00456A71" w:rsidRPr="000E343A" w14:paraId="21BD7D42" w14:textId="77777777" w:rsidTr="00557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487D76FE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Septiembre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104AD441" w14:textId="2FEA2065" w:rsidR="00456A71" w:rsidRPr="000E343A" w:rsidRDefault="003E4E21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6</w:t>
            </w:r>
          </w:p>
        </w:tc>
      </w:tr>
      <w:tr w:rsidR="00456A71" w:rsidRPr="000E343A" w14:paraId="7FCDA34C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7D7B16ED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Octubre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762B8D03" w14:textId="733E098D" w:rsidR="00456A71" w:rsidRPr="000E343A" w:rsidRDefault="003E4E2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1</w:t>
            </w:r>
          </w:p>
        </w:tc>
      </w:tr>
      <w:tr w:rsidR="00456A71" w:rsidRPr="000E343A" w14:paraId="6C20E27E" w14:textId="77777777" w:rsidTr="00557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0EFE9A84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Noviembre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587A6FD3" w14:textId="5DE90504" w:rsidR="00456A71" w:rsidRPr="000E343A" w:rsidRDefault="003E4E21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4</w:t>
            </w:r>
          </w:p>
        </w:tc>
      </w:tr>
      <w:tr w:rsidR="00456A71" w:rsidRPr="000E343A" w14:paraId="272CB32F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449DEABE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Diciembre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7943554F" w14:textId="5C0D9996" w:rsidR="00456A71" w:rsidRPr="000E343A" w:rsidRDefault="003908F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11</w:t>
            </w:r>
          </w:p>
        </w:tc>
      </w:tr>
      <w:tr w:rsidR="00456A71" w:rsidRPr="000E343A" w14:paraId="21568E7D" w14:textId="77777777" w:rsidTr="00557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14:paraId="78E2D2BC" w14:textId="255AF6DD" w:rsidR="00456A71" w:rsidRPr="000E343A" w:rsidRDefault="003E4E21" w:rsidP="00557733">
            <w:pPr>
              <w:ind w:left="360"/>
              <w:jc w:val="both"/>
              <w:rPr>
                <w:rFonts w:ascii="Arial Narrow" w:hAnsi="Arial Narrow" w:cs="Arial"/>
                <w:b/>
                <w:color w:val="0070C0"/>
                <w:szCs w:val="24"/>
              </w:rPr>
            </w:pPr>
            <w:r>
              <w:rPr>
                <w:rFonts w:ascii="Arial Narrow" w:hAnsi="Arial Narrow" w:cs="Arial"/>
                <w:b/>
                <w:color w:val="0070C0"/>
                <w:szCs w:val="24"/>
              </w:rPr>
              <w:t>2020</w:t>
            </w:r>
          </w:p>
        </w:tc>
        <w:tc>
          <w:tcPr>
            <w:tcW w:w="2452" w:type="dxa"/>
            <w:shd w:val="clear" w:color="auto" w:fill="FFC000"/>
          </w:tcPr>
          <w:p w14:paraId="30BB6D22" w14:textId="77777777" w:rsidR="00456A71" w:rsidRPr="000E343A" w:rsidRDefault="00456A71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</w:p>
        </w:tc>
      </w:tr>
      <w:tr w:rsidR="00456A71" w:rsidRPr="000E343A" w14:paraId="301D047B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10A522C9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Enero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2A34368A" w14:textId="6DEF1FA4" w:rsidR="00456A71" w:rsidRPr="000E343A" w:rsidRDefault="003E4E2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16</w:t>
            </w:r>
          </w:p>
        </w:tc>
      </w:tr>
      <w:tr w:rsidR="00456A71" w:rsidRPr="000E343A" w14:paraId="426476D4" w14:textId="77777777" w:rsidTr="00557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6441ACF0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Febrero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46944D40" w14:textId="1D748497" w:rsidR="00456A71" w:rsidRPr="000E343A" w:rsidRDefault="003E4E21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9</w:t>
            </w:r>
          </w:p>
        </w:tc>
      </w:tr>
      <w:tr w:rsidR="00456A71" w:rsidRPr="000E343A" w14:paraId="4AA78885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232F700B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Marzo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6DEA2558" w14:textId="073403A6" w:rsidR="00456A71" w:rsidRPr="000E343A" w:rsidRDefault="003E4E2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5</w:t>
            </w:r>
          </w:p>
        </w:tc>
      </w:tr>
      <w:tr w:rsidR="00456A71" w:rsidRPr="000E343A" w14:paraId="481B8288" w14:textId="77777777" w:rsidTr="00557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182D315B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Abril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18CB3E23" w14:textId="00F602C0" w:rsidR="00456A71" w:rsidRPr="000E343A" w:rsidRDefault="003908F1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5</w:t>
            </w:r>
          </w:p>
        </w:tc>
      </w:tr>
      <w:tr w:rsidR="00456A71" w:rsidRPr="000E343A" w14:paraId="5823188A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2CC" w:themeFill="accent4" w:themeFillTint="33"/>
          </w:tcPr>
          <w:p w14:paraId="626B6FA0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Mayo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4EA62D42" w14:textId="2E4B7FFE" w:rsidR="00456A71" w:rsidRPr="000E343A" w:rsidRDefault="003908F1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  <w:highlight w:val="yellow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2</w:t>
            </w:r>
          </w:p>
        </w:tc>
      </w:tr>
      <w:tr w:rsidR="009800D7" w:rsidRPr="000E343A" w14:paraId="6295C0C7" w14:textId="77777777" w:rsidTr="006C4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502EA3B" w14:textId="6B523513" w:rsidR="009800D7" w:rsidRPr="000E343A" w:rsidRDefault="009800D7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Junio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2BE09A8C" w14:textId="6F70FEC7" w:rsidR="009800D7" w:rsidRDefault="006C49FC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5</w:t>
            </w:r>
          </w:p>
        </w:tc>
      </w:tr>
      <w:tr w:rsidR="009800D7" w:rsidRPr="000E343A" w14:paraId="2D492F00" w14:textId="77777777" w:rsidTr="006C4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905B0B" w14:textId="617C9386" w:rsidR="009800D7" w:rsidRPr="000E343A" w:rsidRDefault="009800D7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Julio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1001B9FF" w14:textId="247D0274" w:rsidR="009800D7" w:rsidRDefault="006C49FC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11</w:t>
            </w:r>
          </w:p>
        </w:tc>
      </w:tr>
      <w:tr w:rsidR="009800D7" w:rsidRPr="000E343A" w14:paraId="7FA3E437" w14:textId="77777777" w:rsidTr="006C4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6CD9AD81" w14:textId="03345A2B" w:rsidR="009800D7" w:rsidRPr="000E343A" w:rsidRDefault="009800D7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agosto</w:t>
            </w:r>
          </w:p>
        </w:tc>
        <w:tc>
          <w:tcPr>
            <w:tcW w:w="2452" w:type="dxa"/>
            <w:shd w:val="clear" w:color="auto" w:fill="EDEDED" w:themeFill="accent3" w:themeFillTint="33"/>
          </w:tcPr>
          <w:p w14:paraId="75E2249F" w14:textId="6AD3DE9A" w:rsidR="009800D7" w:rsidRDefault="006C49FC" w:rsidP="00557733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70C0"/>
                <w:szCs w:val="24"/>
              </w:rPr>
            </w:pPr>
            <w:r>
              <w:rPr>
                <w:rFonts w:ascii="Arial Narrow" w:hAnsi="Arial Narrow" w:cs="Arial"/>
                <w:color w:val="0070C0"/>
                <w:szCs w:val="24"/>
              </w:rPr>
              <w:t>12</w:t>
            </w:r>
          </w:p>
        </w:tc>
      </w:tr>
      <w:tr w:rsidR="00456A71" w:rsidRPr="000E343A" w14:paraId="5ECE2A58" w14:textId="77777777" w:rsidTr="00557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14:paraId="55713E9F" w14:textId="77777777" w:rsidR="00456A71" w:rsidRPr="000E343A" w:rsidRDefault="00456A71" w:rsidP="00557733">
            <w:pPr>
              <w:ind w:left="360"/>
              <w:jc w:val="both"/>
              <w:rPr>
                <w:rFonts w:ascii="Arial Narrow" w:hAnsi="Arial Narrow" w:cs="Arial"/>
                <w:color w:val="0070C0"/>
                <w:szCs w:val="24"/>
              </w:rPr>
            </w:pPr>
            <w:r w:rsidRPr="000E343A">
              <w:rPr>
                <w:rFonts w:ascii="Arial Narrow" w:hAnsi="Arial Narrow" w:cs="Arial"/>
                <w:color w:val="0070C0"/>
                <w:szCs w:val="24"/>
              </w:rPr>
              <w:t>Total</w:t>
            </w:r>
          </w:p>
        </w:tc>
        <w:tc>
          <w:tcPr>
            <w:tcW w:w="2452" w:type="dxa"/>
            <w:shd w:val="clear" w:color="auto" w:fill="FFC000"/>
          </w:tcPr>
          <w:p w14:paraId="747C4774" w14:textId="127EB9BE" w:rsidR="00456A71" w:rsidRPr="00DD4981" w:rsidRDefault="00A13949" w:rsidP="00557733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70C0"/>
                <w:szCs w:val="24"/>
                <w:highlight w:val="yellow"/>
              </w:rPr>
            </w:pPr>
            <w:r>
              <w:rPr>
                <w:rFonts w:ascii="Arial Narrow" w:hAnsi="Arial Narrow" w:cs="Arial"/>
                <w:b/>
                <w:color w:val="0070C0"/>
                <w:szCs w:val="24"/>
              </w:rPr>
              <w:t>8</w:t>
            </w:r>
            <w:r w:rsidR="006C49FC">
              <w:rPr>
                <w:rFonts w:ascii="Arial Narrow" w:hAnsi="Arial Narrow" w:cs="Arial"/>
                <w:b/>
                <w:color w:val="0070C0"/>
                <w:szCs w:val="24"/>
              </w:rPr>
              <w:t>7</w:t>
            </w:r>
          </w:p>
        </w:tc>
      </w:tr>
    </w:tbl>
    <w:p w14:paraId="263B5FE4" w14:textId="77777777" w:rsidR="00456A71" w:rsidRDefault="00456A71" w:rsidP="00456A71">
      <w:pPr>
        <w:spacing w:line="276" w:lineRule="auto"/>
        <w:rPr>
          <w:rFonts w:ascii="Arial Narrow" w:hAnsi="Arial Narrow"/>
          <w:sz w:val="20"/>
        </w:rPr>
      </w:pPr>
    </w:p>
    <w:p w14:paraId="4EDA7336" w14:textId="77777777" w:rsidR="00456A71" w:rsidRDefault="00456A71" w:rsidP="00456A71">
      <w:pPr>
        <w:spacing w:line="276" w:lineRule="auto"/>
        <w:rPr>
          <w:rFonts w:ascii="Arial Narrow" w:hAnsi="Arial Narrow"/>
          <w:sz w:val="20"/>
        </w:rPr>
      </w:pPr>
    </w:p>
    <w:p w14:paraId="2D82C01A" w14:textId="77777777" w:rsidR="00456A71" w:rsidRDefault="00456A71" w:rsidP="00456A71">
      <w:pPr>
        <w:spacing w:line="276" w:lineRule="auto"/>
        <w:rPr>
          <w:rFonts w:ascii="Arial Narrow" w:hAnsi="Arial Narrow"/>
          <w:sz w:val="20"/>
        </w:rPr>
      </w:pPr>
    </w:p>
    <w:p w14:paraId="0C1064FD" w14:textId="77777777" w:rsidR="00456A71" w:rsidRDefault="00456A71" w:rsidP="00456A71">
      <w:pPr>
        <w:spacing w:line="276" w:lineRule="auto"/>
        <w:rPr>
          <w:rFonts w:ascii="Arial Narrow" w:hAnsi="Arial Narrow"/>
          <w:sz w:val="20"/>
        </w:rPr>
      </w:pPr>
    </w:p>
    <w:p w14:paraId="6BFEF295" w14:textId="77777777" w:rsidR="00456A71" w:rsidRDefault="00456A71" w:rsidP="00456A71">
      <w:pPr>
        <w:spacing w:line="276" w:lineRule="auto"/>
        <w:rPr>
          <w:rFonts w:ascii="Arial Narrow" w:hAnsi="Arial Narrow"/>
          <w:sz w:val="20"/>
        </w:rPr>
      </w:pPr>
    </w:p>
    <w:p w14:paraId="2EAD3292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4579C901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6C210D84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4B107F35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52ECF0A4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66D89BFE" w14:textId="77777777" w:rsidR="00456A71" w:rsidRDefault="00456A71" w:rsidP="00456A71">
      <w:pPr>
        <w:rPr>
          <w:rFonts w:ascii="Arial Narrow" w:hAnsi="Arial Narrow"/>
          <w:sz w:val="20"/>
        </w:rPr>
      </w:pPr>
    </w:p>
    <w:p w14:paraId="0260F602" w14:textId="77777777" w:rsidR="006C49FC" w:rsidRDefault="006C49FC" w:rsidP="006C49FC">
      <w:pPr>
        <w:spacing w:after="0" w:line="276" w:lineRule="auto"/>
        <w:ind w:left="360"/>
        <w:jc w:val="both"/>
        <w:rPr>
          <w:rFonts w:ascii="Arial" w:hAnsi="Arial" w:cs="Arial"/>
          <w:b/>
          <w:color w:val="0070C0"/>
          <w:szCs w:val="24"/>
        </w:rPr>
      </w:pPr>
      <w:bookmarkStart w:id="0" w:name="_GoBack"/>
      <w:bookmarkEnd w:id="0"/>
    </w:p>
    <w:p w14:paraId="5FB9E9B6" w14:textId="4B5BD096" w:rsidR="006C49FC" w:rsidRDefault="006C49FC" w:rsidP="006C49FC">
      <w:pPr>
        <w:spacing w:after="0" w:line="276" w:lineRule="auto"/>
        <w:ind w:left="360"/>
        <w:jc w:val="both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70C0"/>
          <w:szCs w:val="24"/>
        </w:rPr>
        <w:t>Actualización del Portal de Transparencia del TEG</w:t>
      </w:r>
      <w:r w:rsidR="008A6089">
        <w:rPr>
          <w:rFonts w:ascii="Arial" w:hAnsi="Arial" w:cs="Arial"/>
          <w:b/>
          <w:color w:val="0070C0"/>
          <w:szCs w:val="24"/>
        </w:rPr>
        <w:t xml:space="preserve"> (durante los meses de </w:t>
      </w:r>
      <w:proofErr w:type="gramStart"/>
      <w:r w:rsidR="008A6089">
        <w:rPr>
          <w:rFonts w:ascii="Arial" w:hAnsi="Arial" w:cs="Arial"/>
          <w:b/>
          <w:color w:val="0070C0"/>
          <w:szCs w:val="24"/>
        </w:rPr>
        <w:t>Junio</w:t>
      </w:r>
      <w:proofErr w:type="gramEnd"/>
      <w:r w:rsidR="008A6089">
        <w:rPr>
          <w:rFonts w:ascii="Arial" w:hAnsi="Arial" w:cs="Arial"/>
          <w:b/>
          <w:color w:val="0070C0"/>
          <w:szCs w:val="24"/>
        </w:rPr>
        <w:t>, Julio y Agosto de 2020)</w:t>
      </w:r>
    </w:p>
    <w:p w14:paraId="6A860D5D" w14:textId="77777777" w:rsidR="0057767C" w:rsidRDefault="0057767C" w:rsidP="006C49FC">
      <w:pPr>
        <w:spacing w:after="0" w:line="276" w:lineRule="auto"/>
        <w:ind w:left="360"/>
        <w:jc w:val="both"/>
        <w:rPr>
          <w:rFonts w:ascii="Arial" w:hAnsi="Arial" w:cs="Arial"/>
          <w:b/>
          <w:color w:val="0070C0"/>
          <w:szCs w:val="24"/>
        </w:rPr>
      </w:pPr>
    </w:p>
    <w:p w14:paraId="71A34DD7" w14:textId="7A0E55A2" w:rsidR="00456A71" w:rsidRDefault="006C49FC" w:rsidP="006C49FC">
      <w:pPr>
        <w:spacing w:line="360" w:lineRule="auto"/>
        <w:jc w:val="both"/>
        <w:rPr>
          <w:lang w:val="es-SV"/>
        </w:rPr>
      </w:pPr>
      <w:r w:rsidRPr="006C49FC">
        <w:rPr>
          <w:rFonts w:ascii="Arial" w:hAnsi="Arial" w:cs="Arial"/>
          <w:szCs w:val="24"/>
        </w:rPr>
        <w:t>El TEG por medio de la Unidad de Acceso a la Información Pública</w:t>
      </w:r>
      <w:r w:rsidR="008A6089">
        <w:rPr>
          <w:rFonts w:ascii="Arial" w:hAnsi="Arial" w:cs="Arial"/>
          <w:szCs w:val="24"/>
        </w:rPr>
        <w:t xml:space="preserve">, </w:t>
      </w:r>
      <w:r w:rsidRPr="006C49FC">
        <w:rPr>
          <w:rFonts w:ascii="Arial" w:hAnsi="Arial" w:cs="Arial"/>
          <w:szCs w:val="24"/>
        </w:rPr>
        <w:t xml:space="preserve">clasificó la información remitida por </w:t>
      </w:r>
      <w:r>
        <w:rPr>
          <w:rFonts w:ascii="Arial" w:hAnsi="Arial" w:cs="Arial"/>
          <w:szCs w:val="24"/>
        </w:rPr>
        <w:t xml:space="preserve">todas las Unidades administrativas, </w:t>
      </w:r>
      <w:r w:rsidR="008A6089">
        <w:rPr>
          <w:rFonts w:ascii="Arial" w:hAnsi="Arial" w:cs="Arial"/>
          <w:szCs w:val="24"/>
        </w:rPr>
        <w:t>conforme</w:t>
      </w:r>
      <w:r w:rsidRPr="006C49FC">
        <w:rPr>
          <w:rFonts w:ascii="Arial" w:hAnsi="Arial" w:cs="Arial"/>
          <w:szCs w:val="24"/>
        </w:rPr>
        <w:t xml:space="preserve"> a lo establecido</w:t>
      </w:r>
      <w:r>
        <w:rPr>
          <w:rFonts w:ascii="Arial" w:hAnsi="Arial" w:cs="Arial"/>
          <w:szCs w:val="24"/>
        </w:rPr>
        <w:t xml:space="preserve"> en el artículo 18 de </w:t>
      </w:r>
      <w:proofErr w:type="gramStart"/>
      <w:r>
        <w:rPr>
          <w:rFonts w:ascii="Arial" w:hAnsi="Arial" w:cs="Arial"/>
          <w:szCs w:val="24"/>
        </w:rPr>
        <w:t>la</w:t>
      </w:r>
      <w:proofErr w:type="gramEnd"/>
      <w:r>
        <w:rPr>
          <w:rFonts w:ascii="Arial" w:hAnsi="Arial" w:cs="Arial"/>
          <w:szCs w:val="24"/>
        </w:rPr>
        <w:t xml:space="preserve"> LAIP, actualizando </w:t>
      </w:r>
      <w:r w:rsidR="008A6089">
        <w:rPr>
          <w:rFonts w:ascii="Arial" w:hAnsi="Arial" w:cs="Arial"/>
          <w:szCs w:val="24"/>
        </w:rPr>
        <w:t xml:space="preserve">de igual forma </w:t>
      </w:r>
      <w:r>
        <w:rPr>
          <w:rFonts w:ascii="Arial" w:hAnsi="Arial" w:cs="Arial"/>
          <w:szCs w:val="24"/>
        </w:rPr>
        <w:t>el portal de Transparencia</w:t>
      </w:r>
      <w:r w:rsidR="008A6089">
        <w:rPr>
          <w:rFonts w:ascii="Arial" w:hAnsi="Arial" w:cs="Arial"/>
          <w:szCs w:val="24"/>
        </w:rPr>
        <w:t xml:space="preserve"> provisto por el Instituto de Acceso a la Información, realizando dicha labor con el apoyo del</w:t>
      </w:r>
      <w:r w:rsidRPr="006C49FC">
        <w:rPr>
          <w:rFonts w:ascii="Arial" w:hAnsi="Arial" w:cs="Arial"/>
          <w:szCs w:val="24"/>
        </w:rPr>
        <w:t xml:space="preserve"> Proyecto de USAID PRO–INTEGRIDAD PÚBLICA, </w:t>
      </w:r>
      <w:r w:rsidR="008A6089">
        <w:rPr>
          <w:rFonts w:ascii="Arial" w:hAnsi="Arial" w:cs="Arial"/>
          <w:szCs w:val="24"/>
        </w:rPr>
        <w:t>en vísperas</w:t>
      </w:r>
      <w:r w:rsidRPr="006C49FC">
        <w:rPr>
          <w:rFonts w:ascii="Arial" w:hAnsi="Arial" w:cs="Arial"/>
          <w:szCs w:val="24"/>
        </w:rPr>
        <w:t xml:space="preserve"> </w:t>
      </w:r>
      <w:r w:rsidR="008A6089">
        <w:rPr>
          <w:rFonts w:ascii="Arial" w:hAnsi="Arial" w:cs="Arial"/>
          <w:szCs w:val="24"/>
        </w:rPr>
        <w:t>d</w:t>
      </w:r>
      <w:r w:rsidRPr="006C49FC">
        <w:rPr>
          <w:rFonts w:ascii="Arial" w:hAnsi="Arial" w:cs="Arial"/>
          <w:szCs w:val="24"/>
        </w:rPr>
        <w:t xml:space="preserve">el proceso de evaluación extraordinario que el Instituto de Acceso a la Información Pública ejecutará en </w:t>
      </w:r>
      <w:r w:rsidR="008A6089">
        <w:rPr>
          <w:rFonts w:ascii="Arial" w:hAnsi="Arial" w:cs="Arial"/>
          <w:szCs w:val="24"/>
        </w:rPr>
        <w:t>el portal de información de esta</w:t>
      </w:r>
      <w:r w:rsidRPr="006C49FC">
        <w:rPr>
          <w:rFonts w:ascii="Arial" w:hAnsi="Arial" w:cs="Arial"/>
          <w:szCs w:val="24"/>
        </w:rPr>
        <w:t xml:space="preserve"> </w:t>
      </w:r>
      <w:r w:rsidR="008A6089">
        <w:rPr>
          <w:rFonts w:ascii="Arial" w:hAnsi="Arial" w:cs="Arial"/>
          <w:szCs w:val="24"/>
        </w:rPr>
        <w:t>entidad</w:t>
      </w:r>
      <w:r w:rsidRPr="006C49FC">
        <w:rPr>
          <w:rFonts w:ascii="Arial" w:hAnsi="Arial" w:cs="Arial"/>
          <w:szCs w:val="24"/>
        </w:rPr>
        <w:t xml:space="preserve"> durante el </w:t>
      </w:r>
      <w:r w:rsidR="008A6089">
        <w:rPr>
          <w:rFonts w:ascii="Arial" w:hAnsi="Arial" w:cs="Arial"/>
          <w:szCs w:val="24"/>
        </w:rPr>
        <w:t>mes de agosto del presente año</w:t>
      </w:r>
      <w:r w:rsidRPr="006C49FC">
        <w:rPr>
          <w:rFonts w:ascii="Arial" w:hAnsi="Arial" w:cs="Arial"/>
          <w:szCs w:val="24"/>
        </w:rPr>
        <w:t>.</w:t>
      </w:r>
    </w:p>
    <w:p w14:paraId="3149DD6F" w14:textId="77777777" w:rsidR="006C49FC" w:rsidRDefault="006C49FC">
      <w:pPr>
        <w:rPr>
          <w:noProof/>
          <w:lang w:val="es-SV" w:eastAsia="es-SV"/>
        </w:rPr>
      </w:pPr>
    </w:p>
    <w:p w14:paraId="20EE14C3" w14:textId="16905BCC" w:rsidR="00456A71" w:rsidRDefault="006C49FC" w:rsidP="008A6089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3B1E6286" wp14:editId="14D10217">
            <wp:extent cx="5914390" cy="2705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3748" b="4907"/>
                    <a:stretch/>
                  </pic:blipFill>
                  <pic:spPr bwMode="auto">
                    <a:xfrm>
                      <a:off x="0" y="0"/>
                      <a:ext cx="5914390" cy="270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17D2D" w14:textId="77777777" w:rsidR="006C49FC" w:rsidRDefault="006C49FC" w:rsidP="008A6089">
      <w:pPr>
        <w:jc w:val="center"/>
        <w:rPr>
          <w:noProof/>
          <w:lang w:val="es-SV" w:eastAsia="es-SV"/>
        </w:rPr>
      </w:pPr>
    </w:p>
    <w:p w14:paraId="21D3A221" w14:textId="77777777" w:rsidR="008A6089" w:rsidRDefault="008A6089" w:rsidP="008A6089">
      <w:pPr>
        <w:jc w:val="center"/>
        <w:rPr>
          <w:noProof/>
          <w:lang w:val="es-SV" w:eastAsia="es-SV"/>
        </w:rPr>
      </w:pPr>
    </w:p>
    <w:p w14:paraId="416BBE4D" w14:textId="6C351461" w:rsidR="00456A71" w:rsidRPr="00456A71" w:rsidRDefault="006C49FC" w:rsidP="008A6089">
      <w:pPr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76237F0C" wp14:editId="28F222FD">
            <wp:extent cx="4838700" cy="281543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2890" r="27206" b="11781"/>
                    <a:stretch/>
                  </pic:blipFill>
                  <pic:spPr bwMode="auto">
                    <a:xfrm>
                      <a:off x="0" y="0"/>
                      <a:ext cx="4886969" cy="2843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6A71" w:rsidRPr="00456A71" w:rsidSect="00456A71">
      <w:pgSz w:w="11906" w:h="16838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3435"/>
    <w:multiLevelType w:val="hybridMultilevel"/>
    <w:tmpl w:val="789A49E4"/>
    <w:lvl w:ilvl="0" w:tplc="06C65878">
      <w:start w:val="2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1"/>
    <w:rsid w:val="00080EB2"/>
    <w:rsid w:val="000A2002"/>
    <w:rsid w:val="000B4573"/>
    <w:rsid w:val="000D20F4"/>
    <w:rsid w:val="000F7646"/>
    <w:rsid w:val="00137DE3"/>
    <w:rsid w:val="00140A63"/>
    <w:rsid w:val="001657A7"/>
    <w:rsid w:val="0018056E"/>
    <w:rsid w:val="0018459C"/>
    <w:rsid w:val="001A3C1E"/>
    <w:rsid w:val="001A4630"/>
    <w:rsid w:val="001C4713"/>
    <w:rsid w:val="00244EA7"/>
    <w:rsid w:val="00252C89"/>
    <w:rsid w:val="00277DC8"/>
    <w:rsid w:val="002B3C9B"/>
    <w:rsid w:val="002E7117"/>
    <w:rsid w:val="003360FF"/>
    <w:rsid w:val="003908F1"/>
    <w:rsid w:val="003C3F37"/>
    <w:rsid w:val="003E0612"/>
    <w:rsid w:val="003E4E21"/>
    <w:rsid w:val="003F263B"/>
    <w:rsid w:val="003F5FDF"/>
    <w:rsid w:val="003F679D"/>
    <w:rsid w:val="00430144"/>
    <w:rsid w:val="00441345"/>
    <w:rsid w:val="0044489D"/>
    <w:rsid w:val="00456A71"/>
    <w:rsid w:val="00463CF3"/>
    <w:rsid w:val="004979E7"/>
    <w:rsid w:val="004B2F07"/>
    <w:rsid w:val="0052593D"/>
    <w:rsid w:val="005675EF"/>
    <w:rsid w:val="0057767C"/>
    <w:rsid w:val="005D758D"/>
    <w:rsid w:val="005E1518"/>
    <w:rsid w:val="00643C1F"/>
    <w:rsid w:val="0066353C"/>
    <w:rsid w:val="00677AB2"/>
    <w:rsid w:val="00697B63"/>
    <w:rsid w:val="006C49FC"/>
    <w:rsid w:val="006D3052"/>
    <w:rsid w:val="006D6037"/>
    <w:rsid w:val="00705662"/>
    <w:rsid w:val="00771CEC"/>
    <w:rsid w:val="00783EDC"/>
    <w:rsid w:val="007C07C6"/>
    <w:rsid w:val="007F4785"/>
    <w:rsid w:val="00802921"/>
    <w:rsid w:val="00815B6E"/>
    <w:rsid w:val="00851DD1"/>
    <w:rsid w:val="008A6089"/>
    <w:rsid w:val="009446B4"/>
    <w:rsid w:val="009800D7"/>
    <w:rsid w:val="00991B27"/>
    <w:rsid w:val="009B0405"/>
    <w:rsid w:val="009E7DAE"/>
    <w:rsid w:val="00A13949"/>
    <w:rsid w:val="00A20C48"/>
    <w:rsid w:val="00A265ED"/>
    <w:rsid w:val="00AA1CF5"/>
    <w:rsid w:val="00B46FF2"/>
    <w:rsid w:val="00BF16EA"/>
    <w:rsid w:val="00C03582"/>
    <w:rsid w:val="00C4482E"/>
    <w:rsid w:val="00C44C3D"/>
    <w:rsid w:val="00C50F64"/>
    <w:rsid w:val="00C53083"/>
    <w:rsid w:val="00C87877"/>
    <w:rsid w:val="00CD1064"/>
    <w:rsid w:val="00D44DBE"/>
    <w:rsid w:val="00D80DC8"/>
    <w:rsid w:val="00DF1C36"/>
    <w:rsid w:val="00DF3007"/>
    <w:rsid w:val="00E7090D"/>
    <w:rsid w:val="00E73BF9"/>
    <w:rsid w:val="00E92ACB"/>
    <w:rsid w:val="00EB3BB9"/>
    <w:rsid w:val="00EB549F"/>
    <w:rsid w:val="00EE626F"/>
    <w:rsid w:val="00F3699C"/>
    <w:rsid w:val="00F80E98"/>
    <w:rsid w:val="00F93F91"/>
    <w:rsid w:val="00FA02FF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6EA9"/>
  <w15:chartTrackingRefBased/>
  <w15:docId w15:val="{18733135-1B4A-4329-960B-CE81BEB4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9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A71"/>
    <w:pPr>
      <w:ind w:left="720"/>
      <w:contextualSpacing/>
    </w:pPr>
  </w:style>
  <w:style w:type="table" w:styleId="Tabladecuadrcula3-nfasis4">
    <w:name w:val="Grid Table 3 Accent 4"/>
    <w:basedOn w:val="Tablanormal"/>
    <w:uiPriority w:val="48"/>
    <w:rsid w:val="00456A7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EBA17777B2C14EB5A77896CACED4C3" ma:contentTypeVersion="13" ma:contentTypeDescription="Crear nuevo documento." ma:contentTypeScope="" ma:versionID="698d658938bf2adb9cf0cd984fa06f0b">
  <xsd:schema xmlns:xsd="http://www.w3.org/2001/XMLSchema" xmlns:xs="http://www.w3.org/2001/XMLSchema" xmlns:p="http://schemas.microsoft.com/office/2006/metadata/properties" xmlns:ns3="5652b9c3-3e91-4947-8a0d-e90d8404d245" xmlns:ns4="661a454b-2972-41b6-abaa-42806b71ece1" targetNamespace="http://schemas.microsoft.com/office/2006/metadata/properties" ma:root="true" ma:fieldsID="d243c489b64ab301e5065fe6a7c0d63e" ns3:_="" ns4:_="">
    <xsd:import namespace="5652b9c3-3e91-4947-8a0d-e90d8404d245"/>
    <xsd:import namespace="661a454b-2972-41b6-abaa-42806b71ec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2b9c3-3e91-4947-8a0d-e90d8404d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454b-2972-41b6-abaa-42806b71e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19B9C-BAEC-496D-AD82-FB518A6E2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08A317-3BCD-48D7-B58D-C2BDE9F39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2b9c3-3e91-4947-8a0d-e90d8404d245"/>
    <ds:schemaRef ds:uri="661a454b-2972-41b6-abaa-42806b71e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CD53F-CB22-4562-8504-9DDBBED2D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E321A-7920-4D5E-9746-DDBA34668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Rubio Romero</dc:creator>
  <cp:keywords/>
  <dc:description/>
  <cp:lastModifiedBy>Carlos Artola</cp:lastModifiedBy>
  <cp:revision>4</cp:revision>
  <dcterms:created xsi:type="dcterms:W3CDTF">2020-09-01T16:01:00Z</dcterms:created>
  <dcterms:modified xsi:type="dcterms:W3CDTF">2020-09-01T16:13:00Z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0x010100DCEBA17777B2C14EB5A77896CACED4C3</vt:lpwstr>
  </property>
</Properties>
</file>