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27E" w:rsidRDefault="0092727E" w:rsidP="0092727E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01F1E"/>
          <w:sz w:val="26"/>
          <w:szCs w:val="26"/>
          <w:bdr w:val="none" w:sz="0" w:space="0" w:color="auto" w:frame="1"/>
          <w:lang w:eastAsia="es-SV"/>
        </w:rPr>
      </w:pPr>
      <w:r w:rsidRPr="0092727E">
        <w:rPr>
          <w:rFonts w:ascii="Arial Narrow" w:hAnsi="Arial Narrow"/>
          <w:b/>
          <w:color w:val="201F1E"/>
          <w:sz w:val="26"/>
          <w:szCs w:val="26"/>
          <w:shd w:val="clear" w:color="auto" w:fill="FFFFFF"/>
        </w:rPr>
        <w:t>1.</w:t>
      </w:r>
      <w:r>
        <w:rPr>
          <w:rFonts w:ascii="Arial Narrow" w:hAnsi="Arial Narrow"/>
          <w:color w:val="201F1E"/>
          <w:sz w:val="26"/>
          <w:szCs w:val="26"/>
          <w:shd w:val="clear" w:color="auto" w:fill="FFFFFF"/>
        </w:rPr>
        <w:t xml:space="preserve"> </w:t>
      </w:r>
      <w:r>
        <w:rPr>
          <w:rFonts w:ascii="Arial Narrow" w:hAnsi="Arial Narrow"/>
          <w:color w:val="201F1E"/>
          <w:sz w:val="26"/>
          <w:szCs w:val="26"/>
          <w:shd w:val="clear" w:color="auto" w:fill="FFFFFF"/>
        </w:rPr>
        <w:t>El Sistema de Gestión de Resoluciones del TEG alojado en la dirección https://www.resolucionesteg.gob.sv constituye una plataforma adicional a la página web y al Portal de Transparencia institucional que permite realizar búsquedas de las decisiones de terminación (resoluciones finales y terminaciones anticipadas) emitidas por el Tribunal a partir de diversos criterios: a- Localización simple, tomando como parámetro un término o frase; b-Búsqueda avanzada, según la fecha, tipo de resolución, norma infringida, etc., y c- Por medio de un tesauro o listado de los términos desarrollados con mayor frecuencia en las resoluciones. Con esta herramienta no sólo se sistematizan las resoluciones que ponen fin a los procedimientos sino que, sobre todo, se permite a la ciudadanía el acceso fácil e inmediato a ellas mediante su consulta en  la web posibilitando, además, la descarga de</w:t>
      </w:r>
    </w:p>
    <w:p w:rsidR="0092727E" w:rsidRDefault="0092727E" w:rsidP="0007338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01F1E"/>
          <w:sz w:val="26"/>
          <w:szCs w:val="26"/>
          <w:bdr w:val="none" w:sz="0" w:space="0" w:color="auto" w:frame="1"/>
          <w:lang w:eastAsia="es-SV"/>
        </w:rPr>
      </w:pPr>
    </w:p>
    <w:p w:rsidR="0092727E" w:rsidRDefault="0092727E" w:rsidP="0007338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01F1E"/>
          <w:sz w:val="26"/>
          <w:szCs w:val="26"/>
          <w:bdr w:val="none" w:sz="0" w:space="0" w:color="auto" w:frame="1"/>
          <w:lang w:eastAsia="es-SV"/>
        </w:rPr>
      </w:pPr>
    </w:p>
    <w:p w:rsidR="0007338C" w:rsidRPr="0007338C" w:rsidRDefault="0007338C" w:rsidP="000733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01F1E"/>
          <w:lang w:eastAsia="es-SV"/>
        </w:rPr>
      </w:pPr>
      <w:r w:rsidRPr="0092727E">
        <w:rPr>
          <w:rFonts w:ascii="Arial Narrow" w:eastAsia="Times New Roman" w:hAnsi="Arial Narrow" w:cs="Times New Roman"/>
          <w:b/>
          <w:color w:val="201F1E"/>
          <w:sz w:val="26"/>
          <w:szCs w:val="26"/>
          <w:bdr w:val="none" w:sz="0" w:space="0" w:color="auto" w:frame="1"/>
          <w:lang w:eastAsia="es-SV"/>
        </w:rPr>
        <w:t>2.</w:t>
      </w:r>
      <w:r w:rsidRPr="0007338C">
        <w:rPr>
          <w:rFonts w:ascii="Arial Narrow" w:eastAsia="Times New Roman" w:hAnsi="Arial Narrow" w:cs="Times New Roman"/>
          <w:color w:val="201F1E"/>
          <w:sz w:val="26"/>
          <w:szCs w:val="26"/>
          <w:bdr w:val="none" w:sz="0" w:space="0" w:color="auto" w:frame="1"/>
          <w:lang w:eastAsia="es-SV"/>
        </w:rPr>
        <w:t xml:space="preserve"> De conformidad con lo dispuesto en el art. 37 de la LEG la forma normal de terminación de los procedimientos administrativos sancio</w:t>
      </w:r>
      <w:bookmarkStart w:id="0" w:name="_GoBack"/>
      <w:bookmarkEnd w:id="0"/>
      <w:r w:rsidRPr="0007338C">
        <w:rPr>
          <w:rFonts w:ascii="Arial Narrow" w:eastAsia="Times New Roman" w:hAnsi="Arial Narrow" w:cs="Times New Roman"/>
          <w:color w:val="201F1E"/>
          <w:sz w:val="26"/>
          <w:szCs w:val="26"/>
          <w:bdr w:val="none" w:sz="0" w:space="0" w:color="auto" w:frame="1"/>
          <w:lang w:eastAsia="es-SV"/>
        </w:rPr>
        <w:t>nadores tramitados por el TEG se efectúa mediante la resolución definitiva, la cual puede ser absolutoria o sancionatoria. Así, le remito la cantidad de resoluciones definitivas pronunciadas por el Tribunal entre enero de 2014 y el 1 de julio de 2019.</w:t>
      </w:r>
    </w:p>
    <w:p w:rsidR="0007338C" w:rsidRPr="0007338C" w:rsidRDefault="0007338C" w:rsidP="0007338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01F1E"/>
          <w:lang w:eastAsia="es-SV"/>
        </w:rPr>
      </w:pPr>
      <w:r w:rsidRPr="0007338C">
        <w:rPr>
          <w:rFonts w:ascii="Calibri" w:eastAsia="Times New Roman" w:hAnsi="Calibri" w:cs="Times New Roman"/>
          <w:color w:val="201F1E"/>
          <w:lang w:eastAsia="es-SV"/>
        </w:rPr>
        <w:t> </w:t>
      </w:r>
    </w:p>
    <w:tbl>
      <w:tblPr>
        <w:tblW w:w="58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417"/>
        <w:gridCol w:w="1915"/>
        <w:gridCol w:w="1629"/>
      </w:tblGrid>
      <w:tr w:rsidR="0007338C" w:rsidRPr="0007338C" w:rsidTr="0007338C">
        <w:trPr>
          <w:trHeight w:val="273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338C" w:rsidRPr="0007338C" w:rsidRDefault="0007338C" w:rsidP="0007338C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es-SV"/>
              </w:rPr>
            </w:pPr>
            <w:r w:rsidRPr="0007338C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Año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338C" w:rsidRPr="0007338C" w:rsidRDefault="0007338C" w:rsidP="0007338C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es-SV"/>
              </w:rPr>
            </w:pPr>
            <w:r w:rsidRPr="0007338C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Absolutorias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338C" w:rsidRPr="0007338C" w:rsidRDefault="0007338C" w:rsidP="0007338C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es-SV"/>
              </w:rPr>
            </w:pPr>
            <w:r w:rsidRPr="0007338C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Sancionatorias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338C" w:rsidRPr="0007338C" w:rsidRDefault="0007338C" w:rsidP="0007338C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es-SV"/>
              </w:rPr>
            </w:pPr>
            <w:r w:rsidRPr="0007338C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Total</w:t>
            </w:r>
          </w:p>
        </w:tc>
      </w:tr>
      <w:tr w:rsidR="0007338C" w:rsidRPr="0007338C" w:rsidTr="0007338C">
        <w:trPr>
          <w:trHeight w:val="273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338C" w:rsidRPr="0007338C" w:rsidRDefault="0007338C" w:rsidP="0007338C">
            <w:pPr>
              <w:spacing w:after="0" w:line="240" w:lineRule="auto"/>
              <w:rPr>
                <w:rFonts w:ascii="Calibri" w:eastAsia="Times New Roman" w:hAnsi="Calibri" w:cs="Segoe UI"/>
                <w:color w:val="201F1E"/>
                <w:lang w:eastAsia="es-SV"/>
              </w:rPr>
            </w:pPr>
            <w:r w:rsidRPr="0007338C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338C" w:rsidRPr="0007338C" w:rsidRDefault="0007338C" w:rsidP="0007338C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es-SV"/>
              </w:rPr>
            </w:pPr>
            <w:r w:rsidRPr="0007338C">
              <w:rPr>
                <w:rFonts w:ascii="Arial Narrow" w:eastAsia="Times New Roman" w:hAnsi="Arial Narrow" w:cs="Segoe UI"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35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338C" w:rsidRPr="0007338C" w:rsidRDefault="0007338C" w:rsidP="0007338C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es-SV"/>
              </w:rPr>
            </w:pPr>
            <w:r w:rsidRPr="0007338C">
              <w:rPr>
                <w:rFonts w:ascii="Arial Narrow" w:eastAsia="Times New Roman" w:hAnsi="Arial Narrow" w:cs="Segoe UI"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22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338C" w:rsidRPr="0007338C" w:rsidRDefault="0007338C" w:rsidP="0007338C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es-SV"/>
              </w:rPr>
            </w:pPr>
            <w:r w:rsidRPr="0007338C">
              <w:rPr>
                <w:rFonts w:ascii="Arial Narrow" w:eastAsia="Times New Roman" w:hAnsi="Arial Narrow" w:cs="Segoe UI"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57</w:t>
            </w:r>
          </w:p>
        </w:tc>
      </w:tr>
      <w:tr w:rsidR="0007338C" w:rsidRPr="0007338C" w:rsidTr="0007338C">
        <w:trPr>
          <w:trHeight w:val="273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338C" w:rsidRPr="0007338C" w:rsidRDefault="0007338C" w:rsidP="0007338C">
            <w:pPr>
              <w:spacing w:after="0" w:line="240" w:lineRule="auto"/>
              <w:rPr>
                <w:rFonts w:ascii="Calibri" w:eastAsia="Times New Roman" w:hAnsi="Calibri" w:cs="Segoe UI"/>
                <w:color w:val="201F1E"/>
                <w:lang w:eastAsia="es-SV"/>
              </w:rPr>
            </w:pPr>
            <w:r w:rsidRPr="0007338C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338C" w:rsidRPr="0007338C" w:rsidRDefault="0007338C" w:rsidP="0007338C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es-SV"/>
              </w:rPr>
            </w:pPr>
            <w:r w:rsidRPr="0007338C">
              <w:rPr>
                <w:rFonts w:ascii="Arial Narrow" w:eastAsia="Times New Roman" w:hAnsi="Arial Narrow" w:cs="Segoe UI"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19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338C" w:rsidRPr="0007338C" w:rsidRDefault="0007338C" w:rsidP="0007338C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es-SV"/>
              </w:rPr>
            </w:pPr>
            <w:r w:rsidRPr="0007338C">
              <w:rPr>
                <w:rFonts w:ascii="Arial Narrow" w:eastAsia="Times New Roman" w:hAnsi="Arial Narrow" w:cs="Segoe UI"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27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338C" w:rsidRPr="0007338C" w:rsidRDefault="0007338C" w:rsidP="0007338C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es-SV"/>
              </w:rPr>
            </w:pPr>
            <w:r w:rsidRPr="0007338C">
              <w:rPr>
                <w:rFonts w:ascii="Arial Narrow" w:eastAsia="Times New Roman" w:hAnsi="Arial Narrow" w:cs="Segoe UI"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46</w:t>
            </w:r>
          </w:p>
        </w:tc>
      </w:tr>
      <w:tr w:rsidR="0007338C" w:rsidRPr="0007338C" w:rsidTr="0007338C">
        <w:trPr>
          <w:trHeight w:val="273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338C" w:rsidRPr="0007338C" w:rsidRDefault="0007338C" w:rsidP="0007338C">
            <w:pPr>
              <w:spacing w:after="0" w:line="240" w:lineRule="auto"/>
              <w:rPr>
                <w:rFonts w:ascii="Calibri" w:eastAsia="Times New Roman" w:hAnsi="Calibri" w:cs="Segoe UI"/>
                <w:color w:val="201F1E"/>
                <w:lang w:eastAsia="es-SV"/>
              </w:rPr>
            </w:pPr>
            <w:r w:rsidRPr="0007338C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338C" w:rsidRPr="0007338C" w:rsidRDefault="0007338C" w:rsidP="0007338C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es-SV"/>
              </w:rPr>
            </w:pPr>
            <w:r w:rsidRPr="0007338C">
              <w:rPr>
                <w:rFonts w:ascii="Arial Narrow" w:eastAsia="Times New Roman" w:hAnsi="Arial Narrow" w:cs="Segoe UI"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41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338C" w:rsidRPr="0007338C" w:rsidRDefault="0007338C" w:rsidP="0007338C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es-SV"/>
              </w:rPr>
            </w:pPr>
            <w:r w:rsidRPr="0007338C">
              <w:rPr>
                <w:rFonts w:ascii="Arial Narrow" w:eastAsia="Times New Roman" w:hAnsi="Arial Narrow" w:cs="Segoe UI"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32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338C" w:rsidRPr="0007338C" w:rsidRDefault="0007338C" w:rsidP="0007338C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es-SV"/>
              </w:rPr>
            </w:pPr>
            <w:r w:rsidRPr="0007338C">
              <w:rPr>
                <w:rFonts w:ascii="Arial Narrow" w:eastAsia="Times New Roman" w:hAnsi="Arial Narrow" w:cs="Segoe UI"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73</w:t>
            </w:r>
          </w:p>
        </w:tc>
      </w:tr>
      <w:tr w:rsidR="0007338C" w:rsidRPr="0007338C" w:rsidTr="0007338C">
        <w:trPr>
          <w:trHeight w:val="273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338C" w:rsidRPr="0007338C" w:rsidRDefault="0007338C" w:rsidP="0007338C">
            <w:pPr>
              <w:spacing w:after="0" w:line="240" w:lineRule="auto"/>
              <w:rPr>
                <w:rFonts w:ascii="Calibri" w:eastAsia="Times New Roman" w:hAnsi="Calibri" w:cs="Segoe UI"/>
                <w:color w:val="201F1E"/>
                <w:lang w:eastAsia="es-SV"/>
              </w:rPr>
            </w:pPr>
            <w:r w:rsidRPr="0007338C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338C" w:rsidRPr="0007338C" w:rsidRDefault="0007338C" w:rsidP="0007338C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es-SV"/>
              </w:rPr>
            </w:pPr>
            <w:r w:rsidRPr="0007338C">
              <w:rPr>
                <w:rFonts w:ascii="Arial Narrow" w:eastAsia="Times New Roman" w:hAnsi="Arial Narrow" w:cs="Segoe UI"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6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338C" w:rsidRPr="0007338C" w:rsidRDefault="0007338C" w:rsidP="0007338C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es-SV"/>
              </w:rPr>
            </w:pPr>
            <w:r w:rsidRPr="0007338C">
              <w:rPr>
                <w:rFonts w:ascii="Arial Narrow" w:eastAsia="Times New Roman" w:hAnsi="Arial Narrow" w:cs="Segoe UI"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17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338C" w:rsidRPr="0007338C" w:rsidRDefault="0007338C" w:rsidP="0007338C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es-SV"/>
              </w:rPr>
            </w:pPr>
            <w:r w:rsidRPr="0007338C">
              <w:rPr>
                <w:rFonts w:ascii="Arial Narrow" w:eastAsia="Times New Roman" w:hAnsi="Arial Narrow" w:cs="Segoe UI"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23</w:t>
            </w:r>
          </w:p>
        </w:tc>
      </w:tr>
      <w:tr w:rsidR="0007338C" w:rsidRPr="0007338C" w:rsidTr="0007338C">
        <w:trPr>
          <w:trHeight w:val="273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338C" w:rsidRPr="0007338C" w:rsidRDefault="0007338C" w:rsidP="0007338C">
            <w:pPr>
              <w:spacing w:after="0" w:line="240" w:lineRule="auto"/>
              <w:rPr>
                <w:rFonts w:ascii="Calibri" w:eastAsia="Times New Roman" w:hAnsi="Calibri" w:cs="Segoe UI"/>
                <w:color w:val="201F1E"/>
                <w:lang w:eastAsia="es-SV"/>
              </w:rPr>
            </w:pPr>
            <w:r w:rsidRPr="0007338C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338C" w:rsidRPr="0007338C" w:rsidRDefault="0007338C" w:rsidP="0007338C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es-SV"/>
              </w:rPr>
            </w:pPr>
            <w:r w:rsidRPr="0007338C">
              <w:rPr>
                <w:rFonts w:ascii="Arial Narrow" w:eastAsia="Times New Roman" w:hAnsi="Arial Narrow" w:cs="Segoe UI"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15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338C" w:rsidRPr="0007338C" w:rsidRDefault="0007338C" w:rsidP="0007338C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es-SV"/>
              </w:rPr>
            </w:pPr>
            <w:r w:rsidRPr="0007338C">
              <w:rPr>
                <w:rFonts w:ascii="Arial Narrow" w:eastAsia="Times New Roman" w:hAnsi="Arial Narrow" w:cs="Segoe UI"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25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338C" w:rsidRPr="0007338C" w:rsidRDefault="0007338C" w:rsidP="0007338C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es-SV"/>
              </w:rPr>
            </w:pPr>
            <w:r w:rsidRPr="0007338C">
              <w:rPr>
                <w:rFonts w:ascii="Arial Narrow" w:eastAsia="Times New Roman" w:hAnsi="Arial Narrow" w:cs="Segoe UI"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40</w:t>
            </w:r>
          </w:p>
        </w:tc>
      </w:tr>
      <w:tr w:rsidR="0007338C" w:rsidRPr="0007338C" w:rsidTr="0007338C">
        <w:trPr>
          <w:trHeight w:val="273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338C" w:rsidRPr="0007338C" w:rsidRDefault="0007338C" w:rsidP="0007338C">
            <w:pPr>
              <w:spacing w:after="0" w:line="240" w:lineRule="auto"/>
              <w:rPr>
                <w:rFonts w:ascii="Calibri" w:eastAsia="Times New Roman" w:hAnsi="Calibri" w:cs="Segoe UI"/>
                <w:color w:val="201F1E"/>
                <w:lang w:eastAsia="es-SV"/>
              </w:rPr>
            </w:pPr>
            <w:r w:rsidRPr="0007338C">
              <w:rPr>
                <w:rFonts w:ascii="Arial Narrow" w:eastAsia="Times New Roman" w:hAnsi="Arial Narrow" w:cs="Segoe U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338C" w:rsidRPr="0007338C" w:rsidRDefault="0007338C" w:rsidP="0007338C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es-SV"/>
              </w:rPr>
            </w:pPr>
            <w:r w:rsidRPr="0007338C">
              <w:rPr>
                <w:rFonts w:ascii="Arial Narrow" w:eastAsia="Times New Roman" w:hAnsi="Arial Narrow" w:cs="Segoe UI"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338C" w:rsidRPr="0007338C" w:rsidRDefault="0007338C" w:rsidP="0007338C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es-SV"/>
              </w:rPr>
            </w:pPr>
            <w:r w:rsidRPr="0007338C">
              <w:rPr>
                <w:rFonts w:ascii="Arial Narrow" w:eastAsia="Times New Roman" w:hAnsi="Arial Narrow" w:cs="Segoe UI"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16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338C" w:rsidRPr="0007338C" w:rsidRDefault="0007338C" w:rsidP="0007338C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es-SV"/>
              </w:rPr>
            </w:pPr>
            <w:r w:rsidRPr="0007338C">
              <w:rPr>
                <w:rFonts w:ascii="Arial Narrow" w:eastAsia="Times New Roman" w:hAnsi="Arial Narrow" w:cs="Segoe UI"/>
                <w:color w:val="000000"/>
                <w:sz w:val="24"/>
                <w:szCs w:val="24"/>
                <w:bdr w:val="none" w:sz="0" w:space="0" w:color="auto" w:frame="1"/>
                <w:lang w:eastAsia="es-SV"/>
              </w:rPr>
              <w:t>20</w:t>
            </w:r>
          </w:p>
        </w:tc>
      </w:tr>
    </w:tbl>
    <w:p w:rsidR="009E470C" w:rsidRDefault="009E470C"/>
    <w:sectPr w:rsidR="009E47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C7"/>
    <w:rsid w:val="0007338C"/>
    <w:rsid w:val="0092727E"/>
    <w:rsid w:val="009E470C"/>
    <w:rsid w:val="00E7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B5AC3-1522-4BAE-95DB-0F8CFFB5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7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927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1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1188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 Alberto Colorado Servellón</dc:creator>
  <cp:keywords/>
  <dc:description/>
  <cp:lastModifiedBy>Wilber Alberto Colorado Servellón</cp:lastModifiedBy>
  <cp:revision>4</cp:revision>
  <dcterms:created xsi:type="dcterms:W3CDTF">2019-09-16T17:18:00Z</dcterms:created>
  <dcterms:modified xsi:type="dcterms:W3CDTF">2019-09-16T17:20:00Z</dcterms:modified>
</cp:coreProperties>
</file>