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10520" w14:textId="7FA518AD" w:rsidR="0092696E" w:rsidRPr="0092696E" w:rsidRDefault="0092696E" w:rsidP="0092696E">
      <w:pPr>
        <w:pStyle w:val="NormalWeb"/>
        <w:spacing w:before="0" w:beforeAutospacing="0" w:after="0" w:afterAutospacing="0" w:line="360" w:lineRule="auto"/>
        <w:jc w:val="center"/>
        <w:rPr>
          <w:rFonts w:ascii="Museo Sans 300" w:hAnsi="Museo Sans 300" w:cs="Arial"/>
          <w:b/>
          <w:sz w:val="22"/>
          <w:szCs w:val="22"/>
          <w:u w:val="single"/>
        </w:rPr>
      </w:pPr>
      <w:r w:rsidRPr="0092696E">
        <w:rPr>
          <w:rFonts w:ascii="Museo Sans 300" w:hAnsi="Museo Sans 300" w:cs="Arial"/>
          <w:b/>
          <w:sz w:val="22"/>
          <w:szCs w:val="22"/>
          <w:u w:val="single"/>
        </w:rPr>
        <w:t>Origen y financiamiento del presupuesto de la S</w:t>
      </w:r>
      <w:r w:rsidR="005E7E92">
        <w:rPr>
          <w:rFonts w:ascii="Museo Sans 300" w:hAnsi="Museo Sans 300" w:cs="Arial"/>
          <w:b/>
          <w:sz w:val="22"/>
          <w:szCs w:val="22"/>
          <w:u w:val="single"/>
        </w:rPr>
        <w:t xml:space="preserve">uperintendencia del </w:t>
      </w:r>
      <w:r w:rsidRPr="0092696E">
        <w:rPr>
          <w:rFonts w:ascii="Museo Sans 300" w:hAnsi="Museo Sans 300" w:cs="Arial"/>
          <w:b/>
          <w:sz w:val="22"/>
          <w:szCs w:val="22"/>
          <w:u w:val="single"/>
        </w:rPr>
        <w:t>S</w:t>
      </w:r>
      <w:r w:rsidR="005E7E92">
        <w:rPr>
          <w:rFonts w:ascii="Museo Sans 300" w:hAnsi="Museo Sans 300" w:cs="Arial"/>
          <w:b/>
          <w:sz w:val="22"/>
          <w:szCs w:val="22"/>
          <w:u w:val="single"/>
        </w:rPr>
        <w:t xml:space="preserve">istema </w:t>
      </w:r>
      <w:r w:rsidRPr="0092696E">
        <w:rPr>
          <w:rFonts w:ascii="Museo Sans 300" w:hAnsi="Museo Sans 300" w:cs="Arial"/>
          <w:b/>
          <w:sz w:val="22"/>
          <w:szCs w:val="22"/>
          <w:u w:val="single"/>
        </w:rPr>
        <w:t>F</w:t>
      </w:r>
      <w:r w:rsidR="005E7E92">
        <w:rPr>
          <w:rFonts w:ascii="Museo Sans 300" w:hAnsi="Museo Sans 300" w:cs="Arial"/>
          <w:b/>
          <w:sz w:val="22"/>
          <w:szCs w:val="22"/>
          <w:u w:val="single"/>
        </w:rPr>
        <w:t>inanciero</w:t>
      </w:r>
      <w:bookmarkStart w:id="0" w:name="_GoBack"/>
      <w:bookmarkEnd w:id="0"/>
      <w:r w:rsidRPr="0092696E">
        <w:rPr>
          <w:rFonts w:ascii="Museo Sans 300" w:hAnsi="Museo Sans 300" w:cs="Arial"/>
          <w:b/>
          <w:sz w:val="22"/>
          <w:szCs w:val="22"/>
          <w:u w:val="single"/>
        </w:rPr>
        <w:t xml:space="preserve"> y del Comité de Apelaciones </w:t>
      </w:r>
      <w:r w:rsidR="005E7E92">
        <w:rPr>
          <w:rFonts w:ascii="Museo Sans 300" w:hAnsi="Museo Sans 300" w:cs="Arial"/>
          <w:b/>
          <w:sz w:val="22"/>
          <w:szCs w:val="22"/>
          <w:u w:val="single"/>
        </w:rPr>
        <w:t>del Sistema Financiero</w:t>
      </w:r>
    </w:p>
    <w:p w14:paraId="299E630F" w14:textId="77777777" w:rsidR="0092696E" w:rsidRPr="0092696E" w:rsidRDefault="0092696E" w:rsidP="0092696E">
      <w:pPr>
        <w:pStyle w:val="NormalWeb"/>
        <w:spacing w:before="0" w:beforeAutospacing="0" w:after="0" w:afterAutospacing="0" w:line="360" w:lineRule="auto"/>
        <w:jc w:val="both"/>
        <w:rPr>
          <w:rFonts w:ascii="Museo Sans 300" w:hAnsi="Museo Sans 300" w:cs="Arial"/>
          <w:b/>
          <w:sz w:val="22"/>
          <w:szCs w:val="22"/>
        </w:rPr>
      </w:pPr>
    </w:p>
    <w:p w14:paraId="3C4B0666" w14:textId="77777777" w:rsidR="0092696E" w:rsidRPr="0092696E" w:rsidRDefault="0092696E" w:rsidP="0092696E">
      <w:pPr>
        <w:pStyle w:val="NormalWeb"/>
        <w:spacing w:before="0" w:beforeAutospacing="0" w:after="0" w:afterAutospacing="0" w:line="360" w:lineRule="auto"/>
        <w:jc w:val="both"/>
        <w:rPr>
          <w:rFonts w:ascii="Museo Sans 300" w:hAnsi="Museo Sans 300" w:cs="Arial"/>
          <w:sz w:val="22"/>
          <w:szCs w:val="22"/>
        </w:rPr>
      </w:pPr>
      <w:r w:rsidRPr="0092696E">
        <w:rPr>
          <w:rFonts w:ascii="Museo Sans 300" w:hAnsi="Museo Sans 300" w:cs="Arial"/>
          <w:sz w:val="22"/>
          <w:szCs w:val="22"/>
        </w:rPr>
        <w:t>En relación con el origen y fuente de financiamiento del presupuesto para el funcionamiento de la Superintendencia del Sistema Financiero y del Comité de Apelaciones del Sistema Financiero, se expone que éste se encuentra establecido en el artículo 85 de la Ley de Supervisión y Regulación del Sistema Financiero, donde expresamente señala:</w:t>
      </w:r>
    </w:p>
    <w:p w14:paraId="254149A1" w14:textId="77777777" w:rsidR="0092696E" w:rsidRPr="0092696E" w:rsidRDefault="0092696E" w:rsidP="0092696E">
      <w:pPr>
        <w:pStyle w:val="NormalWeb"/>
        <w:spacing w:before="0" w:beforeAutospacing="0" w:after="0" w:afterAutospacing="0" w:line="360" w:lineRule="auto"/>
        <w:jc w:val="both"/>
        <w:rPr>
          <w:rFonts w:ascii="Museo Sans 300" w:hAnsi="Museo Sans 300" w:cs="Arial"/>
          <w:b/>
          <w:sz w:val="22"/>
          <w:szCs w:val="22"/>
        </w:rPr>
      </w:pPr>
    </w:p>
    <w:p w14:paraId="54B25F68" w14:textId="77777777" w:rsidR="0092696E" w:rsidRPr="0092696E" w:rsidRDefault="0092696E" w:rsidP="0092696E">
      <w:pPr>
        <w:pStyle w:val="NormalWeb"/>
        <w:spacing w:before="0" w:beforeAutospacing="0" w:after="0" w:afterAutospacing="0" w:line="360" w:lineRule="auto"/>
        <w:jc w:val="both"/>
        <w:rPr>
          <w:rFonts w:ascii="Museo Sans 300" w:hAnsi="Museo Sans 300" w:cs="Arial"/>
          <w:b/>
          <w:bCs/>
          <w:sz w:val="22"/>
          <w:szCs w:val="22"/>
          <w:u w:val="single"/>
        </w:rPr>
      </w:pPr>
      <w:r w:rsidRPr="0092696E">
        <w:rPr>
          <w:rFonts w:ascii="Museo Sans 300" w:hAnsi="Museo Sans 300" w:cs="Arial"/>
          <w:b/>
          <w:sz w:val="22"/>
          <w:szCs w:val="22"/>
          <w:u w:val="single"/>
        </w:rPr>
        <w:t xml:space="preserve">Del presupuesto de la Superintendencia </w:t>
      </w:r>
      <w:r w:rsidRPr="0092696E">
        <w:rPr>
          <w:rFonts w:ascii="Museo Sans 300" w:hAnsi="Museo Sans 300" w:cs="Arial"/>
          <w:b/>
          <w:bCs/>
          <w:sz w:val="22"/>
          <w:szCs w:val="22"/>
          <w:u w:val="single"/>
        </w:rPr>
        <w:t>y del Comité de Apelaciones.</w:t>
      </w:r>
    </w:p>
    <w:p w14:paraId="5A030247" w14:textId="77777777" w:rsidR="0092696E" w:rsidRPr="0092696E" w:rsidRDefault="0092696E" w:rsidP="0092696E">
      <w:pPr>
        <w:pStyle w:val="NormalWeb"/>
        <w:spacing w:before="0" w:beforeAutospacing="0" w:after="0" w:afterAutospacing="0" w:line="360" w:lineRule="auto"/>
        <w:ind w:firstLine="708"/>
        <w:jc w:val="both"/>
        <w:rPr>
          <w:rFonts w:ascii="Museo Sans 300" w:hAnsi="Museo Sans 300" w:cs="Arial"/>
          <w:b/>
          <w:bCs/>
          <w:sz w:val="22"/>
          <w:szCs w:val="22"/>
        </w:rPr>
      </w:pPr>
    </w:p>
    <w:p w14:paraId="407B5468" w14:textId="77777777" w:rsidR="0092696E" w:rsidRPr="0092696E" w:rsidRDefault="0092696E" w:rsidP="0092696E">
      <w:pPr>
        <w:pStyle w:val="NormalWeb"/>
        <w:spacing w:before="0" w:beforeAutospacing="0" w:after="0" w:afterAutospacing="0" w:line="360" w:lineRule="auto"/>
        <w:ind w:firstLine="708"/>
        <w:jc w:val="both"/>
        <w:rPr>
          <w:rFonts w:ascii="Museo Sans 300" w:hAnsi="Museo Sans 300" w:cs="Arial"/>
          <w:sz w:val="22"/>
          <w:szCs w:val="22"/>
        </w:rPr>
      </w:pPr>
      <w:r w:rsidRPr="0092696E">
        <w:rPr>
          <w:rFonts w:ascii="Museo Sans 300" w:hAnsi="Museo Sans 300" w:cs="Arial"/>
          <w:b/>
          <w:bCs/>
          <w:sz w:val="22"/>
          <w:szCs w:val="22"/>
        </w:rPr>
        <w:t>Art. 85.-</w:t>
      </w:r>
      <w:r w:rsidRPr="0092696E">
        <w:rPr>
          <w:rFonts w:ascii="Museo Sans 300" w:hAnsi="Museo Sans 300" w:cs="Arial"/>
          <w:sz w:val="22"/>
          <w:szCs w:val="22"/>
        </w:rPr>
        <w:t xml:space="preserve"> La Superintendencia </w:t>
      </w:r>
      <w:r w:rsidRPr="0092696E">
        <w:rPr>
          <w:rFonts w:ascii="Museo Sans 300" w:hAnsi="Museo Sans 300" w:cs="Arial"/>
          <w:bCs/>
          <w:sz w:val="22"/>
          <w:szCs w:val="22"/>
        </w:rPr>
        <w:t xml:space="preserve">y el Comité de Apelaciones, </w:t>
      </w:r>
      <w:r w:rsidRPr="0092696E">
        <w:rPr>
          <w:rFonts w:ascii="Museo Sans 300" w:hAnsi="Museo Sans 300" w:cs="Arial"/>
          <w:sz w:val="22"/>
          <w:szCs w:val="22"/>
        </w:rPr>
        <w:t>con cuatro meses de anticipación al inicio del ejercicio respectivo, elabora</w:t>
      </w:r>
      <w:r w:rsidRPr="0092696E">
        <w:rPr>
          <w:rFonts w:ascii="Museo Sans 300" w:hAnsi="Museo Sans 300" w:cs="Arial"/>
          <w:bCs/>
          <w:sz w:val="22"/>
          <w:szCs w:val="22"/>
        </w:rPr>
        <w:t>rán</w:t>
      </w:r>
      <w:r w:rsidRPr="0092696E">
        <w:rPr>
          <w:rFonts w:ascii="Museo Sans 300" w:hAnsi="Museo Sans 300" w:cs="Arial"/>
          <w:sz w:val="22"/>
          <w:szCs w:val="22"/>
        </w:rPr>
        <w:t xml:space="preserve"> sus</w:t>
      </w:r>
      <w:r w:rsidRPr="0092696E">
        <w:rPr>
          <w:rFonts w:ascii="Museo Sans 300" w:hAnsi="Museo Sans 300" w:cs="Arial"/>
          <w:bCs/>
          <w:sz w:val="22"/>
          <w:szCs w:val="22"/>
        </w:rPr>
        <w:t xml:space="preserve"> respectivos</w:t>
      </w:r>
      <w:r w:rsidRPr="0092696E">
        <w:rPr>
          <w:rFonts w:ascii="Museo Sans 300" w:hAnsi="Museo Sans 300" w:cs="Arial"/>
          <w:sz w:val="22"/>
          <w:szCs w:val="22"/>
        </w:rPr>
        <w:t xml:space="preserve"> proyecto</w:t>
      </w:r>
      <w:r w:rsidRPr="0092696E">
        <w:rPr>
          <w:rFonts w:ascii="Museo Sans 300" w:hAnsi="Museo Sans 300" w:cs="Arial"/>
          <w:bCs/>
          <w:sz w:val="22"/>
          <w:szCs w:val="22"/>
        </w:rPr>
        <w:t>s</w:t>
      </w:r>
      <w:r w:rsidRPr="0092696E">
        <w:rPr>
          <w:rFonts w:ascii="Museo Sans 300" w:hAnsi="Museo Sans 300" w:cs="Arial"/>
          <w:sz w:val="22"/>
          <w:szCs w:val="22"/>
        </w:rPr>
        <w:t xml:space="preserve"> de presupuesto anual y régimen de salarios de acuerdo a sus necesidades y objetivos. El Superintendente </w:t>
      </w:r>
      <w:r w:rsidRPr="0092696E">
        <w:rPr>
          <w:rFonts w:ascii="Museo Sans 300" w:hAnsi="Museo Sans 300" w:cs="Arial"/>
          <w:bCs/>
          <w:sz w:val="22"/>
          <w:szCs w:val="22"/>
        </w:rPr>
        <w:t xml:space="preserve">y el Presidente del Comité de Apelaciones </w:t>
      </w:r>
      <w:r w:rsidRPr="0092696E">
        <w:rPr>
          <w:rFonts w:ascii="Museo Sans 300" w:hAnsi="Museo Sans 300" w:cs="Arial"/>
          <w:sz w:val="22"/>
          <w:szCs w:val="22"/>
        </w:rPr>
        <w:t>deberá</w:t>
      </w:r>
      <w:r w:rsidRPr="0092696E">
        <w:rPr>
          <w:rFonts w:ascii="Museo Sans 300" w:hAnsi="Museo Sans 300" w:cs="Arial"/>
          <w:bCs/>
          <w:sz w:val="22"/>
          <w:szCs w:val="22"/>
        </w:rPr>
        <w:t>n</w:t>
      </w:r>
      <w:r w:rsidRPr="0092696E">
        <w:rPr>
          <w:rFonts w:ascii="Museo Sans 300" w:hAnsi="Museo Sans 300" w:cs="Arial"/>
          <w:sz w:val="22"/>
          <w:szCs w:val="22"/>
        </w:rPr>
        <w:t xml:space="preserve"> presentarlos al Ministro de Hacienda para su visto bueno. El Presidente de la República someterá los respectivos proyectos de presupuesto para su correspondiente consideración y aprobación del Consejo de Ministros</w:t>
      </w:r>
    </w:p>
    <w:p w14:paraId="5661E1DC" w14:textId="77777777" w:rsidR="0092696E" w:rsidRPr="0092696E" w:rsidRDefault="0092696E" w:rsidP="0092696E">
      <w:pPr>
        <w:pStyle w:val="NormalWeb"/>
        <w:spacing w:before="0" w:beforeAutospacing="0" w:after="0" w:afterAutospacing="0" w:line="360" w:lineRule="auto"/>
        <w:jc w:val="both"/>
        <w:rPr>
          <w:rFonts w:ascii="Museo Sans 300" w:hAnsi="Museo Sans 300" w:cs="Arial"/>
          <w:sz w:val="22"/>
          <w:szCs w:val="22"/>
        </w:rPr>
      </w:pPr>
    </w:p>
    <w:p w14:paraId="0422AB16" w14:textId="77777777" w:rsidR="0092696E" w:rsidRPr="0092696E" w:rsidRDefault="0092696E" w:rsidP="0092696E">
      <w:pPr>
        <w:pStyle w:val="NormalWeb"/>
        <w:spacing w:before="0" w:beforeAutospacing="0" w:after="0" w:afterAutospacing="0" w:line="360" w:lineRule="auto"/>
        <w:ind w:firstLine="708"/>
        <w:jc w:val="both"/>
        <w:rPr>
          <w:rFonts w:ascii="Museo Sans 300" w:hAnsi="Museo Sans 300" w:cs="Arial"/>
          <w:sz w:val="22"/>
          <w:szCs w:val="22"/>
        </w:rPr>
      </w:pPr>
      <w:r w:rsidRPr="0092696E">
        <w:rPr>
          <w:rFonts w:ascii="Museo Sans 300" w:hAnsi="Museo Sans 300" w:cs="Arial"/>
          <w:sz w:val="22"/>
          <w:szCs w:val="22"/>
        </w:rPr>
        <w:t>Aprobado</w:t>
      </w:r>
      <w:r w:rsidRPr="0092696E">
        <w:rPr>
          <w:rFonts w:ascii="Museo Sans 300" w:hAnsi="Museo Sans 300" w:cs="Arial"/>
          <w:bCs/>
          <w:sz w:val="22"/>
          <w:szCs w:val="22"/>
        </w:rPr>
        <w:t>s</w:t>
      </w:r>
      <w:r w:rsidRPr="0092696E">
        <w:rPr>
          <w:rFonts w:ascii="Museo Sans 300" w:hAnsi="Museo Sans 300" w:cs="Arial"/>
          <w:sz w:val="22"/>
          <w:szCs w:val="22"/>
        </w:rPr>
        <w:t xml:space="preserve"> </w:t>
      </w:r>
      <w:r w:rsidRPr="0092696E">
        <w:rPr>
          <w:rFonts w:ascii="Museo Sans 300" w:hAnsi="Museo Sans 300" w:cs="Arial"/>
          <w:bCs/>
          <w:sz w:val="22"/>
          <w:szCs w:val="22"/>
        </w:rPr>
        <w:t>los</w:t>
      </w:r>
      <w:r w:rsidRPr="0092696E">
        <w:rPr>
          <w:rFonts w:ascii="Museo Sans 300" w:hAnsi="Museo Sans 300" w:cs="Arial"/>
          <w:sz w:val="22"/>
          <w:szCs w:val="22"/>
        </w:rPr>
        <w:t xml:space="preserve"> presupuesto</w:t>
      </w:r>
      <w:r w:rsidRPr="0092696E">
        <w:rPr>
          <w:rFonts w:ascii="Museo Sans 300" w:hAnsi="Museo Sans 300" w:cs="Arial"/>
          <w:bCs/>
          <w:sz w:val="22"/>
          <w:szCs w:val="22"/>
        </w:rPr>
        <w:t>s</w:t>
      </w:r>
      <w:r w:rsidRPr="0092696E">
        <w:rPr>
          <w:rFonts w:ascii="Museo Sans 300" w:hAnsi="Museo Sans 300" w:cs="Arial"/>
          <w:sz w:val="22"/>
          <w:szCs w:val="22"/>
        </w:rPr>
        <w:t xml:space="preserve"> de la Superintendencia </w:t>
      </w:r>
      <w:r w:rsidRPr="0092696E">
        <w:rPr>
          <w:rFonts w:ascii="Museo Sans 300" w:hAnsi="Museo Sans 300" w:cs="Arial"/>
          <w:bCs/>
          <w:sz w:val="22"/>
          <w:szCs w:val="22"/>
        </w:rPr>
        <w:t xml:space="preserve">y del Comité de Apelaciones </w:t>
      </w:r>
      <w:r w:rsidRPr="0092696E">
        <w:rPr>
          <w:rFonts w:ascii="Museo Sans 300" w:hAnsi="Museo Sans 300" w:cs="Arial"/>
          <w:sz w:val="22"/>
          <w:szCs w:val="22"/>
        </w:rPr>
        <w:t>se hará</w:t>
      </w:r>
      <w:r w:rsidRPr="0092696E">
        <w:rPr>
          <w:rFonts w:ascii="Museo Sans 300" w:hAnsi="Museo Sans 300" w:cs="Arial"/>
          <w:bCs/>
          <w:sz w:val="22"/>
          <w:szCs w:val="22"/>
        </w:rPr>
        <w:t>n</w:t>
      </w:r>
      <w:r w:rsidRPr="0092696E">
        <w:rPr>
          <w:rFonts w:ascii="Museo Sans 300" w:hAnsi="Museo Sans 300" w:cs="Arial"/>
          <w:sz w:val="22"/>
          <w:szCs w:val="22"/>
        </w:rPr>
        <w:t xml:space="preserve"> del conocimiento de los integrantes del sistema financiero.</w:t>
      </w:r>
    </w:p>
    <w:p w14:paraId="410A2FA0" w14:textId="77777777" w:rsidR="0092696E" w:rsidRPr="0092696E" w:rsidRDefault="0092696E" w:rsidP="0092696E">
      <w:pPr>
        <w:pStyle w:val="NormalWeb"/>
        <w:spacing w:before="0" w:beforeAutospacing="0" w:after="0" w:afterAutospacing="0" w:line="360" w:lineRule="auto"/>
        <w:ind w:firstLine="708"/>
        <w:jc w:val="both"/>
        <w:rPr>
          <w:rFonts w:ascii="Museo Sans 300" w:hAnsi="Museo Sans 300" w:cs="Arial"/>
          <w:sz w:val="22"/>
          <w:szCs w:val="22"/>
        </w:rPr>
      </w:pPr>
    </w:p>
    <w:p w14:paraId="3ED1F5A6" w14:textId="77777777" w:rsidR="0092696E" w:rsidRPr="0092696E" w:rsidRDefault="0092696E" w:rsidP="0092696E">
      <w:pPr>
        <w:pStyle w:val="NormalWeb"/>
        <w:spacing w:before="0" w:beforeAutospacing="0" w:after="0" w:afterAutospacing="0" w:line="360" w:lineRule="auto"/>
        <w:ind w:firstLine="708"/>
        <w:jc w:val="both"/>
        <w:rPr>
          <w:rFonts w:ascii="Museo Sans 300" w:hAnsi="Museo Sans 300" w:cs="Arial"/>
          <w:sz w:val="22"/>
          <w:szCs w:val="22"/>
        </w:rPr>
      </w:pPr>
      <w:r w:rsidRPr="0092696E">
        <w:rPr>
          <w:rFonts w:ascii="Museo Sans 300" w:hAnsi="Museo Sans 300" w:cs="Arial"/>
          <w:sz w:val="22"/>
          <w:szCs w:val="22"/>
        </w:rPr>
        <w:t>L</w:t>
      </w:r>
      <w:r w:rsidRPr="0092696E">
        <w:rPr>
          <w:rFonts w:ascii="Museo Sans 300" w:hAnsi="Museo Sans 300" w:cs="Arial"/>
          <w:bCs/>
          <w:sz w:val="22"/>
          <w:szCs w:val="22"/>
        </w:rPr>
        <w:t>o</w:t>
      </w:r>
      <w:r w:rsidRPr="0092696E">
        <w:rPr>
          <w:rFonts w:ascii="Museo Sans 300" w:hAnsi="Museo Sans 300" w:cs="Arial"/>
          <w:sz w:val="22"/>
          <w:szCs w:val="22"/>
        </w:rPr>
        <w:t>s integrantes del sistema financiero contribuirán a cubrir los presupuestos aprobados</w:t>
      </w:r>
      <w:r w:rsidRPr="0092696E">
        <w:rPr>
          <w:rFonts w:ascii="Museo Sans 300" w:hAnsi="Museo Sans 300" w:cs="Arial"/>
          <w:bCs/>
          <w:sz w:val="22"/>
          <w:szCs w:val="22"/>
        </w:rPr>
        <w:t xml:space="preserve"> en relación </w:t>
      </w:r>
      <w:r w:rsidRPr="0092696E">
        <w:rPr>
          <w:rFonts w:ascii="Museo Sans 300" w:hAnsi="Museo Sans 300" w:cs="Arial"/>
          <w:sz w:val="22"/>
          <w:szCs w:val="22"/>
        </w:rPr>
        <w:t xml:space="preserve">proporcional a los servicios recibidos, pagando mensualmente lo que le corresponda al Ministerio de Hacienda en </w:t>
      </w:r>
      <w:r w:rsidRPr="0092696E">
        <w:rPr>
          <w:rFonts w:ascii="Museo Sans 300" w:hAnsi="Museo Sans 300" w:cs="Arial"/>
          <w:sz w:val="22"/>
          <w:szCs w:val="22"/>
          <w:lang w:val="es-ES"/>
        </w:rPr>
        <w:t>la cuenta especial que éste disponga. El Banco Central determinará el monto del pago de las aportaciones que corresponderá a los supervisados de conformidad a lo siguiente</w:t>
      </w:r>
      <w:r w:rsidRPr="0092696E">
        <w:rPr>
          <w:rFonts w:ascii="Museo Sans 300" w:hAnsi="Museo Sans 300" w:cs="Arial"/>
          <w:sz w:val="22"/>
          <w:szCs w:val="22"/>
        </w:rPr>
        <w:t>:</w:t>
      </w:r>
    </w:p>
    <w:p w14:paraId="17C9CA0F" w14:textId="77777777" w:rsidR="0092696E" w:rsidRPr="0092696E" w:rsidRDefault="0092696E" w:rsidP="0092696E">
      <w:pPr>
        <w:pStyle w:val="NormalWeb"/>
        <w:spacing w:before="0" w:beforeAutospacing="0" w:after="0" w:afterAutospacing="0" w:line="360" w:lineRule="auto"/>
        <w:ind w:firstLine="708"/>
        <w:jc w:val="both"/>
        <w:rPr>
          <w:rFonts w:ascii="Museo Sans 300" w:hAnsi="Museo Sans 300" w:cs="Arial"/>
          <w:sz w:val="22"/>
          <w:szCs w:val="22"/>
        </w:rPr>
      </w:pPr>
    </w:p>
    <w:p w14:paraId="33595261" w14:textId="77777777" w:rsidR="0092696E" w:rsidRPr="0092696E" w:rsidRDefault="0092696E" w:rsidP="0092696E">
      <w:pPr>
        <w:pStyle w:val="NormalWeb"/>
        <w:numPr>
          <w:ilvl w:val="0"/>
          <w:numId w:val="1"/>
        </w:numPr>
        <w:spacing w:before="0" w:beforeAutospacing="0" w:after="0" w:afterAutospacing="0" w:line="360" w:lineRule="auto"/>
        <w:jc w:val="both"/>
        <w:rPr>
          <w:rFonts w:ascii="Museo Sans 300" w:hAnsi="Museo Sans 300" w:cs="Arial"/>
          <w:b/>
          <w:bCs/>
          <w:sz w:val="22"/>
          <w:szCs w:val="22"/>
        </w:rPr>
      </w:pPr>
      <w:r w:rsidRPr="0092696E">
        <w:rPr>
          <w:rFonts w:ascii="Museo Sans 300" w:hAnsi="Museo Sans 300" w:cs="Arial"/>
          <w:sz w:val="22"/>
          <w:szCs w:val="22"/>
          <w:lang w:val="es-ES"/>
        </w:rPr>
        <w:lastRenderedPageBreak/>
        <w:t xml:space="preserve">Las instituciones estatales, </w:t>
      </w:r>
      <w:r w:rsidRPr="0092696E">
        <w:rPr>
          <w:rFonts w:ascii="Museo Sans 300" w:hAnsi="Museo Sans 300" w:cs="Arial"/>
          <w:sz w:val="22"/>
          <w:szCs w:val="22"/>
        </w:rPr>
        <w:t>hasta un máximo del cero punto quince por ciento anual de sus activos totales. El total de activos no incluye avales, fianzas y otros rubros contingentes;</w:t>
      </w:r>
    </w:p>
    <w:p w14:paraId="04BA1E2C" w14:textId="77777777" w:rsidR="0092696E" w:rsidRPr="0092696E" w:rsidRDefault="0092696E" w:rsidP="0092696E">
      <w:pPr>
        <w:pStyle w:val="NormalWeb"/>
        <w:numPr>
          <w:ilvl w:val="0"/>
          <w:numId w:val="1"/>
        </w:numPr>
        <w:spacing w:before="0" w:beforeAutospacing="0" w:after="0" w:afterAutospacing="0" w:line="360" w:lineRule="auto"/>
        <w:jc w:val="both"/>
        <w:rPr>
          <w:rFonts w:ascii="Museo Sans 300" w:hAnsi="Museo Sans 300" w:cs="Arial"/>
          <w:b/>
          <w:bCs/>
          <w:sz w:val="22"/>
          <w:szCs w:val="22"/>
        </w:rPr>
      </w:pPr>
      <w:r w:rsidRPr="0092696E">
        <w:rPr>
          <w:rFonts w:ascii="Museo Sans 300" w:hAnsi="Museo Sans 300" w:cs="Arial"/>
          <w:sz w:val="22"/>
          <w:szCs w:val="22"/>
        </w:rPr>
        <w:t>Los Bancos hasta un máximo del cero punto quince por ciento anual de sus activos totales. El total de activos no incluye avales, fianzas y otros rubros contingentes;</w:t>
      </w:r>
    </w:p>
    <w:p w14:paraId="732423AC" w14:textId="77777777" w:rsidR="0092696E" w:rsidRPr="0092696E" w:rsidRDefault="0092696E" w:rsidP="0092696E">
      <w:pPr>
        <w:pStyle w:val="NormalWeb"/>
        <w:numPr>
          <w:ilvl w:val="0"/>
          <w:numId w:val="1"/>
        </w:numPr>
        <w:spacing w:before="0" w:beforeAutospacing="0" w:after="0" w:afterAutospacing="0" w:line="360" w:lineRule="auto"/>
        <w:jc w:val="both"/>
        <w:rPr>
          <w:rFonts w:ascii="Museo Sans 300" w:hAnsi="Museo Sans 300" w:cs="Arial"/>
          <w:b/>
          <w:bCs/>
          <w:sz w:val="22"/>
          <w:szCs w:val="22"/>
        </w:rPr>
      </w:pPr>
      <w:r w:rsidRPr="0092696E">
        <w:rPr>
          <w:rFonts w:ascii="Museo Sans 300" w:hAnsi="Museo Sans 300" w:cs="Arial"/>
          <w:sz w:val="22"/>
          <w:szCs w:val="22"/>
        </w:rPr>
        <w:t>Las instituciones administradoras de fondos de pensiones, hasta un máximo del cuatro por ciento de los ingresos totales anuales que perciban en concepto de comisiones netas del pago de seguro de invalidez y sobrevivencia;</w:t>
      </w:r>
    </w:p>
    <w:p w14:paraId="4C796556" w14:textId="77777777" w:rsidR="0092696E" w:rsidRPr="0092696E" w:rsidRDefault="0092696E" w:rsidP="0092696E">
      <w:pPr>
        <w:pStyle w:val="NormalWeb"/>
        <w:numPr>
          <w:ilvl w:val="0"/>
          <w:numId w:val="1"/>
        </w:numPr>
        <w:spacing w:before="0" w:beforeAutospacing="0" w:after="0" w:afterAutospacing="0" w:line="360" w:lineRule="auto"/>
        <w:jc w:val="both"/>
        <w:rPr>
          <w:rFonts w:ascii="Museo Sans 300" w:hAnsi="Museo Sans 300" w:cs="Arial"/>
          <w:b/>
          <w:bCs/>
          <w:sz w:val="22"/>
          <w:szCs w:val="22"/>
        </w:rPr>
      </w:pPr>
      <w:r w:rsidRPr="0092696E">
        <w:rPr>
          <w:rFonts w:ascii="Museo Sans 300" w:hAnsi="Museo Sans 300" w:cs="Arial"/>
          <w:sz w:val="22"/>
          <w:szCs w:val="22"/>
        </w:rPr>
        <w:t xml:space="preserve">Las sociedades de seguros, hasta un máximo del cero punto ocho por ciento anual de las primas netas de devoluciones y cancelaciones </w:t>
      </w:r>
      <w:r w:rsidRPr="0092696E">
        <w:rPr>
          <w:rFonts w:ascii="Museo Sans 300" w:hAnsi="Museo Sans 300" w:cs="Arial"/>
          <w:bCs/>
          <w:sz w:val="22"/>
          <w:szCs w:val="22"/>
        </w:rPr>
        <w:t>anuales</w:t>
      </w:r>
      <w:r w:rsidRPr="0092696E">
        <w:rPr>
          <w:rFonts w:ascii="Museo Sans 300" w:hAnsi="Museo Sans 300" w:cs="Arial"/>
          <w:sz w:val="22"/>
          <w:szCs w:val="22"/>
        </w:rPr>
        <w:t>;</w:t>
      </w:r>
    </w:p>
    <w:p w14:paraId="683164CA" w14:textId="77777777" w:rsidR="0092696E" w:rsidRPr="0092696E" w:rsidRDefault="0092696E" w:rsidP="0092696E">
      <w:pPr>
        <w:pStyle w:val="NormalWeb"/>
        <w:numPr>
          <w:ilvl w:val="0"/>
          <w:numId w:val="1"/>
        </w:numPr>
        <w:spacing w:before="0" w:beforeAutospacing="0" w:after="0" w:afterAutospacing="0" w:line="360" w:lineRule="auto"/>
        <w:jc w:val="both"/>
        <w:rPr>
          <w:rFonts w:ascii="Museo Sans 300" w:hAnsi="Museo Sans 300" w:cs="Arial"/>
          <w:b/>
          <w:bCs/>
          <w:sz w:val="22"/>
          <w:szCs w:val="22"/>
        </w:rPr>
      </w:pPr>
      <w:r w:rsidRPr="0092696E">
        <w:rPr>
          <w:rFonts w:ascii="Museo Sans 300" w:hAnsi="Museo Sans 300" w:cs="Arial"/>
          <w:sz w:val="22"/>
          <w:szCs w:val="22"/>
        </w:rPr>
        <w:t>Las bolsas de valores, las casas de corredores de bolsa, las sociedades especializadas en el depósito y custodia de valores, las clasificadoras de riesgo, las titularizadoras</w:t>
      </w:r>
      <w:r w:rsidRPr="0092696E">
        <w:rPr>
          <w:rFonts w:ascii="Museo Sans 300" w:hAnsi="Museo Sans 300" w:cs="Arial"/>
          <w:bCs/>
          <w:sz w:val="22"/>
          <w:szCs w:val="22"/>
        </w:rPr>
        <w:t>, los agentes especializados en valuación de valores</w:t>
      </w:r>
      <w:r w:rsidRPr="0092696E">
        <w:rPr>
          <w:rFonts w:ascii="Museo Sans 300" w:hAnsi="Museo Sans 300" w:cs="Arial"/>
          <w:sz w:val="22"/>
          <w:szCs w:val="22"/>
        </w:rPr>
        <w:t xml:space="preserve"> y los almacenes generales de depósito</w:t>
      </w:r>
      <w:r w:rsidRPr="0092696E">
        <w:rPr>
          <w:rFonts w:ascii="Museo Sans 300" w:hAnsi="Museo Sans 300" w:cs="Arial"/>
          <w:bCs/>
          <w:sz w:val="22"/>
          <w:szCs w:val="22"/>
        </w:rPr>
        <w:t>,</w:t>
      </w:r>
      <w:r w:rsidRPr="0092696E">
        <w:rPr>
          <w:rFonts w:ascii="Museo Sans 300" w:hAnsi="Museo Sans 300" w:cs="Arial"/>
          <w:sz w:val="22"/>
          <w:szCs w:val="22"/>
        </w:rPr>
        <w:t xml:space="preserve"> hasta un máximo del cero punto setenta y cinco por ciento anual de los ingresos totales anuales;</w:t>
      </w:r>
    </w:p>
    <w:p w14:paraId="49F47D56" w14:textId="77777777" w:rsidR="0092696E" w:rsidRPr="0092696E" w:rsidRDefault="0092696E" w:rsidP="0092696E">
      <w:pPr>
        <w:pStyle w:val="NormalWeb"/>
        <w:numPr>
          <w:ilvl w:val="0"/>
          <w:numId w:val="1"/>
        </w:numPr>
        <w:spacing w:before="0" w:beforeAutospacing="0" w:after="0" w:afterAutospacing="0" w:line="360" w:lineRule="auto"/>
        <w:jc w:val="both"/>
        <w:rPr>
          <w:rFonts w:ascii="Museo Sans 300" w:hAnsi="Museo Sans 300" w:cs="Arial"/>
          <w:b/>
          <w:bCs/>
          <w:sz w:val="22"/>
          <w:szCs w:val="22"/>
        </w:rPr>
      </w:pPr>
      <w:r w:rsidRPr="0092696E">
        <w:rPr>
          <w:rFonts w:ascii="Museo Sans 300" w:hAnsi="Museo Sans 300" w:cs="Arial"/>
          <w:sz w:val="22"/>
          <w:szCs w:val="22"/>
        </w:rPr>
        <w:t>Los bancos cooperativos, las sociedades de ahorro y crédito, las federaciones reguladas por la Ley de Bancos Cooperativos y Sociedades de Ahorro y Crédito y las sociedades de garantía recíproca</w:t>
      </w:r>
      <w:r w:rsidRPr="0092696E">
        <w:rPr>
          <w:rFonts w:ascii="Museo Sans 300" w:hAnsi="Museo Sans 300" w:cs="Arial"/>
          <w:bCs/>
          <w:sz w:val="22"/>
          <w:szCs w:val="22"/>
        </w:rPr>
        <w:t xml:space="preserve"> </w:t>
      </w:r>
      <w:r w:rsidRPr="0092696E">
        <w:rPr>
          <w:rFonts w:ascii="Museo Sans 300" w:hAnsi="Museo Sans 300" w:cs="Arial"/>
          <w:sz w:val="22"/>
          <w:szCs w:val="22"/>
        </w:rPr>
        <w:t>pagarán hasta un cero punto cero setenta y cinco por ciento anual de una manera proporcional a sus activos totales. El total de activos no incluye avales, fianzas ni otros rubros contingentes;</w:t>
      </w:r>
    </w:p>
    <w:p w14:paraId="437931EC" w14:textId="77777777" w:rsidR="0092696E" w:rsidRPr="0092696E" w:rsidRDefault="0092696E" w:rsidP="0092696E">
      <w:pPr>
        <w:pStyle w:val="NormalWeb"/>
        <w:numPr>
          <w:ilvl w:val="0"/>
          <w:numId w:val="1"/>
        </w:numPr>
        <w:spacing w:before="0" w:beforeAutospacing="0" w:after="0" w:afterAutospacing="0" w:line="360" w:lineRule="auto"/>
        <w:jc w:val="both"/>
        <w:rPr>
          <w:rFonts w:ascii="Museo Sans 300" w:hAnsi="Museo Sans 300" w:cs="Arial"/>
          <w:b/>
          <w:bCs/>
          <w:sz w:val="22"/>
          <w:szCs w:val="22"/>
        </w:rPr>
      </w:pPr>
      <w:r w:rsidRPr="0092696E">
        <w:rPr>
          <w:rFonts w:ascii="Museo Sans 300" w:hAnsi="Museo Sans 300" w:cs="Arial"/>
          <w:sz w:val="22"/>
          <w:szCs w:val="22"/>
        </w:rPr>
        <w:t>Los demás integrantes del sistema financiero, a excepción de las instituciones siguientes: Fondo Nacional de Vivienda Popular FONAVIPO, IPSFA, ISSS, INPEP, Fondo Social para la Vivienda FSV, Corporación Salvadoreña de Inversiones CORSAIN, Instituto de Garantía de Depósitos y el Fondo de Saneamiento y Fortalecimiento Financiero; pagarán tomando como base de cálculo la mitad de la tasa pagada por los bancos, de una manera proporcional a sus activos totales. El total de activos no incluye avales, fianzas ni otros rubros contingentes;</w:t>
      </w:r>
    </w:p>
    <w:p w14:paraId="1B7CF0DF" w14:textId="77777777" w:rsidR="0092696E" w:rsidRPr="0092696E" w:rsidRDefault="0092696E" w:rsidP="0092696E">
      <w:pPr>
        <w:pStyle w:val="NormalWeb"/>
        <w:numPr>
          <w:ilvl w:val="0"/>
          <w:numId w:val="1"/>
        </w:numPr>
        <w:spacing w:before="0" w:beforeAutospacing="0" w:after="0" w:afterAutospacing="0" w:line="360" w:lineRule="auto"/>
        <w:jc w:val="both"/>
        <w:rPr>
          <w:rFonts w:ascii="Museo Sans 300" w:hAnsi="Museo Sans 300" w:cs="Arial"/>
          <w:b/>
          <w:bCs/>
          <w:sz w:val="22"/>
          <w:szCs w:val="22"/>
        </w:rPr>
      </w:pPr>
      <w:r w:rsidRPr="0092696E">
        <w:rPr>
          <w:rFonts w:ascii="Museo Sans 300" w:hAnsi="Museo Sans 300" w:cs="Arial"/>
          <w:sz w:val="22"/>
          <w:szCs w:val="22"/>
        </w:rPr>
        <w:t>Otros que establezcan las leyes en los porcentajes que las mismas determinen.</w:t>
      </w:r>
    </w:p>
    <w:p w14:paraId="23314F17" w14:textId="77777777" w:rsidR="0092696E" w:rsidRPr="0092696E" w:rsidRDefault="0092696E" w:rsidP="0092696E">
      <w:pPr>
        <w:pStyle w:val="NormalWeb"/>
        <w:spacing w:before="0" w:beforeAutospacing="0" w:after="0" w:afterAutospacing="0" w:line="360" w:lineRule="auto"/>
        <w:jc w:val="both"/>
        <w:rPr>
          <w:rFonts w:ascii="Museo Sans 300" w:hAnsi="Museo Sans 300" w:cs="Arial"/>
          <w:sz w:val="22"/>
          <w:szCs w:val="22"/>
        </w:rPr>
      </w:pPr>
    </w:p>
    <w:p w14:paraId="35B3E20C" w14:textId="77777777" w:rsidR="0092696E" w:rsidRPr="0092696E" w:rsidRDefault="0092696E" w:rsidP="0092696E">
      <w:pPr>
        <w:pStyle w:val="NormalWeb"/>
        <w:spacing w:before="0" w:beforeAutospacing="0" w:after="0" w:afterAutospacing="0" w:line="360" w:lineRule="auto"/>
        <w:ind w:firstLine="708"/>
        <w:jc w:val="both"/>
        <w:rPr>
          <w:rFonts w:ascii="Museo Sans 300" w:hAnsi="Museo Sans 300" w:cs="Arial"/>
          <w:sz w:val="22"/>
          <w:szCs w:val="22"/>
        </w:rPr>
      </w:pPr>
      <w:r w:rsidRPr="0092696E">
        <w:rPr>
          <w:rFonts w:ascii="Museo Sans 300" w:hAnsi="Museo Sans 300" w:cs="Arial"/>
          <w:sz w:val="22"/>
          <w:szCs w:val="22"/>
        </w:rPr>
        <w:t>EI cálculo de la participación de</w:t>
      </w:r>
      <w:r w:rsidRPr="0092696E">
        <w:rPr>
          <w:rFonts w:ascii="Museo Sans 300" w:hAnsi="Museo Sans 300" w:cs="Arial"/>
          <w:bCs/>
          <w:sz w:val="22"/>
          <w:szCs w:val="22"/>
        </w:rPr>
        <w:t xml:space="preserve"> los</w:t>
      </w:r>
      <w:r w:rsidRPr="0092696E">
        <w:rPr>
          <w:rFonts w:ascii="Museo Sans 300" w:hAnsi="Museo Sans 300" w:cs="Arial"/>
          <w:sz w:val="22"/>
          <w:szCs w:val="22"/>
        </w:rPr>
        <w:t xml:space="preserve"> integrantes del sistema financiero en la cobertura del presupuesto de la Superintendencia se efectuará con base en los estados financieros al cierre del ejercicio contable anterior y el Banco Central determinará anualmente los porcentajes a aplicar en los literales anteriores, para lo cual esta Ley lo faculta.</w:t>
      </w:r>
    </w:p>
    <w:p w14:paraId="50F3C525" w14:textId="77777777" w:rsidR="0092696E" w:rsidRPr="0092696E" w:rsidRDefault="0092696E" w:rsidP="0092696E">
      <w:pPr>
        <w:pStyle w:val="NormalWeb"/>
        <w:spacing w:before="0" w:beforeAutospacing="0" w:after="0" w:afterAutospacing="0" w:line="360" w:lineRule="auto"/>
        <w:ind w:firstLine="708"/>
        <w:jc w:val="both"/>
        <w:rPr>
          <w:rFonts w:ascii="Museo Sans 300" w:hAnsi="Museo Sans 300" w:cs="Arial"/>
          <w:sz w:val="22"/>
          <w:szCs w:val="22"/>
        </w:rPr>
      </w:pPr>
    </w:p>
    <w:p w14:paraId="32DEEDAA" w14:textId="77777777" w:rsidR="0092696E" w:rsidRPr="0092696E" w:rsidRDefault="0092696E" w:rsidP="0092696E">
      <w:pPr>
        <w:pStyle w:val="NormalWeb"/>
        <w:spacing w:before="0" w:beforeAutospacing="0" w:after="0" w:afterAutospacing="0" w:line="360" w:lineRule="auto"/>
        <w:ind w:firstLine="708"/>
        <w:jc w:val="both"/>
        <w:rPr>
          <w:rFonts w:ascii="Museo Sans 300" w:hAnsi="Museo Sans 300" w:cs="Arial"/>
          <w:sz w:val="22"/>
          <w:szCs w:val="22"/>
        </w:rPr>
      </w:pPr>
      <w:r w:rsidRPr="0092696E">
        <w:rPr>
          <w:rFonts w:ascii="Museo Sans 300" w:hAnsi="Museo Sans 300" w:cs="Arial"/>
          <w:sz w:val="22"/>
          <w:szCs w:val="22"/>
        </w:rPr>
        <w:t>El Banco Central cubrirá hasta un máximo del diez por ciento del presupuesto de la Superintendencia en efectivo, en especie o mediante prestación de servicios, para lo cual esta Ley lo faculta. Asimismo</w:t>
      </w:r>
      <w:r w:rsidRPr="0092696E">
        <w:rPr>
          <w:rFonts w:ascii="Museo Sans 300" w:hAnsi="Museo Sans 300" w:cs="Arial"/>
          <w:bCs/>
          <w:sz w:val="22"/>
          <w:szCs w:val="22"/>
        </w:rPr>
        <w:t>,</w:t>
      </w:r>
      <w:r w:rsidRPr="0092696E">
        <w:rPr>
          <w:rFonts w:ascii="Museo Sans 300" w:hAnsi="Museo Sans 300" w:cs="Arial"/>
          <w:sz w:val="22"/>
          <w:szCs w:val="22"/>
        </w:rPr>
        <w:t xml:space="preserve"> el Banco Central será el responsable de que la Superintendencia reciba oportunamente los fondos para cubrir su presupuesto.</w:t>
      </w:r>
    </w:p>
    <w:p w14:paraId="2D5068B4" w14:textId="77777777" w:rsidR="0092696E" w:rsidRPr="0092696E" w:rsidRDefault="0092696E" w:rsidP="0092696E">
      <w:pPr>
        <w:pStyle w:val="NormalWeb"/>
        <w:spacing w:before="0" w:beforeAutospacing="0" w:after="0" w:afterAutospacing="0" w:line="360" w:lineRule="auto"/>
        <w:jc w:val="both"/>
        <w:rPr>
          <w:rFonts w:ascii="Museo Sans 300" w:hAnsi="Museo Sans 300" w:cs="Arial"/>
          <w:sz w:val="22"/>
          <w:szCs w:val="22"/>
        </w:rPr>
      </w:pPr>
    </w:p>
    <w:p w14:paraId="00CD81FC" w14:textId="77777777" w:rsidR="0092696E" w:rsidRPr="0092696E" w:rsidRDefault="0092696E" w:rsidP="0092696E">
      <w:pPr>
        <w:pStyle w:val="NormalWeb"/>
        <w:spacing w:before="0" w:beforeAutospacing="0" w:after="0" w:afterAutospacing="0" w:line="360" w:lineRule="auto"/>
        <w:ind w:firstLine="708"/>
        <w:jc w:val="both"/>
        <w:rPr>
          <w:rFonts w:ascii="Museo Sans 300" w:hAnsi="Museo Sans 300" w:cs="Arial"/>
          <w:sz w:val="22"/>
          <w:szCs w:val="22"/>
        </w:rPr>
      </w:pPr>
      <w:r w:rsidRPr="0092696E">
        <w:rPr>
          <w:rFonts w:ascii="Museo Sans 300" w:hAnsi="Museo Sans 300" w:cs="Arial"/>
          <w:sz w:val="22"/>
          <w:szCs w:val="22"/>
        </w:rPr>
        <w:t xml:space="preserve">A la finalización de un ejercicio fiscal, la Superintendencia </w:t>
      </w:r>
      <w:r w:rsidRPr="0092696E">
        <w:rPr>
          <w:rFonts w:ascii="Museo Sans 300" w:hAnsi="Museo Sans 300" w:cs="Arial"/>
          <w:bCs/>
          <w:sz w:val="22"/>
          <w:szCs w:val="22"/>
        </w:rPr>
        <w:t xml:space="preserve">y el Comité de Apelaciones </w:t>
      </w:r>
      <w:r w:rsidRPr="0092696E">
        <w:rPr>
          <w:rFonts w:ascii="Museo Sans 300" w:hAnsi="Museo Sans 300" w:cs="Arial"/>
          <w:sz w:val="22"/>
          <w:szCs w:val="22"/>
        </w:rPr>
        <w:t>transferirá</w:t>
      </w:r>
      <w:r w:rsidRPr="0092696E">
        <w:rPr>
          <w:rFonts w:ascii="Museo Sans 300" w:hAnsi="Museo Sans 300" w:cs="Arial"/>
          <w:bCs/>
          <w:sz w:val="22"/>
          <w:szCs w:val="22"/>
        </w:rPr>
        <w:t>n</w:t>
      </w:r>
      <w:r w:rsidRPr="0092696E">
        <w:rPr>
          <w:rFonts w:ascii="Museo Sans 300" w:hAnsi="Museo Sans 300" w:cs="Arial"/>
          <w:sz w:val="22"/>
          <w:szCs w:val="22"/>
        </w:rPr>
        <w:t xml:space="preserve"> los saldos no utilizados al Ministerio de Hacienda, que servirá para financiar presupuestos de ejercicios posteriores, debiendo imputarse esos excedentes a prorrata a las contribuciones que correspondan en el ejercicio siguiente.</w:t>
      </w:r>
    </w:p>
    <w:p w14:paraId="670043B0" w14:textId="77777777" w:rsidR="0092696E" w:rsidRPr="0092696E" w:rsidRDefault="0092696E" w:rsidP="0092696E">
      <w:pPr>
        <w:pStyle w:val="NormalWeb"/>
        <w:spacing w:before="0" w:beforeAutospacing="0" w:after="0" w:afterAutospacing="0" w:line="360" w:lineRule="auto"/>
        <w:ind w:firstLine="708"/>
        <w:jc w:val="both"/>
        <w:rPr>
          <w:rFonts w:ascii="Museo Sans 300" w:hAnsi="Museo Sans 300" w:cs="Arial"/>
          <w:sz w:val="22"/>
          <w:szCs w:val="22"/>
        </w:rPr>
      </w:pPr>
    </w:p>
    <w:p w14:paraId="1031980D" w14:textId="77777777" w:rsidR="0092696E" w:rsidRPr="0092696E" w:rsidRDefault="0092696E" w:rsidP="0092696E">
      <w:pPr>
        <w:pStyle w:val="NormalWeb"/>
        <w:spacing w:before="0" w:beforeAutospacing="0" w:after="0" w:afterAutospacing="0" w:line="360" w:lineRule="auto"/>
        <w:ind w:firstLine="708"/>
        <w:jc w:val="both"/>
        <w:rPr>
          <w:rFonts w:ascii="Museo Sans 300" w:hAnsi="Museo Sans 300" w:cs="Arial"/>
          <w:sz w:val="22"/>
          <w:szCs w:val="22"/>
        </w:rPr>
      </w:pPr>
      <w:r w:rsidRPr="0092696E">
        <w:rPr>
          <w:rFonts w:ascii="Museo Sans 300" w:hAnsi="Museo Sans 300" w:cs="Arial"/>
          <w:sz w:val="22"/>
          <w:szCs w:val="22"/>
        </w:rPr>
        <w:t xml:space="preserve">El período presupuestario de la Superintendencia </w:t>
      </w:r>
      <w:r w:rsidRPr="0092696E">
        <w:rPr>
          <w:rFonts w:ascii="Museo Sans 300" w:hAnsi="Museo Sans 300" w:cs="Arial"/>
          <w:bCs/>
          <w:sz w:val="22"/>
          <w:szCs w:val="22"/>
        </w:rPr>
        <w:t xml:space="preserve">y del Comité de Apelaciones </w:t>
      </w:r>
      <w:r w:rsidRPr="0092696E">
        <w:rPr>
          <w:rFonts w:ascii="Museo Sans 300" w:hAnsi="Museo Sans 300" w:cs="Arial"/>
          <w:sz w:val="22"/>
          <w:szCs w:val="22"/>
        </w:rPr>
        <w:t xml:space="preserve">será el comprendido entre el primero de enero y el treinta y uno de diciembre de cada año. La ejecución del </w:t>
      </w:r>
      <w:r w:rsidRPr="0092696E">
        <w:rPr>
          <w:rFonts w:ascii="Museo Sans 300" w:hAnsi="Museo Sans 300" w:cs="Arial"/>
          <w:bCs/>
          <w:sz w:val="22"/>
          <w:szCs w:val="22"/>
        </w:rPr>
        <w:t>p</w:t>
      </w:r>
      <w:r w:rsidRPr="0092696E">
        <w:rPr>
          <w:rFonts w:ascii="Museo Sans 300" w:hAnsi="Museo Sans 300" w:cs="Arial"/>
          <w:sz w:val="22"/>
          <w:szCs w:val="22"/>
        </w:rPr>
        <w:t xml:space="preserve">resupuesto de la Superintendencia </w:t>
      </w:r>
      <w:r w:rsidRPr="0092696E">
        <w:rPr>
          <w:rFonts w:ascii="Museo Sans 300" w:hAnsi="Museo Sans 300" w:cs="Arial"/>
          <w:bCs/>
          <w:sz w:val="22"/>
          <w:szCs w:val="22"/>
        </w:rPr>
        <w:t xml:space="preserve">y del Comité de Apelaciones </w:t>
      </w:r>
      <w:r w:rsidRPr="0092696E">
        <w:rPr>
          <w:rFonts w:ascii="Museo Sans 300" w:hAnsi="Museo Sans 300" w:cs="Arial"/>
          <w:sz w:val="22"/>
          <w:szCs w:val="22"/>
        </w:rPr>
        <w:t>estará sujeta a la fiscalización de la Corte de Cuentas de la República.</w:t>
      </w:r>
    </w:p>
    <w:p w14:paraId="0D419926" w14:textId="109E5E38" w:rsidR="00413947" w:rsidRPr="0092696E" w:rsidRDefault="00413947" w:rsidP="0092696E">
      <w:pPr>
        <w:rPr>
          <w:rFonts w:ascii="Museo Sans 300" w:hAnsi="Museo Sans 300"/>
          <w:sz w:val="22"/>
          <w:szCs w:val="22"/>
        </w:rPr>
      </w:pPr>
    </w:p>
    <w:sectPr w:rsidR="00413947" w:rsidRPr="0092696E" w:rsidSect="00B7474C">
      <w:headerReference w:type="default" r:id="rId12"/>
      <w:footerReference w:type="even" r:id="rId13"/>
      <w:footerReference w:type="default" r:id="rId14"/>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C5CE4" w14:textId="77777777" w:rsidR="00F34183" w:rsidRDefault="00F34183">
      <w:r>
        <w:separator/>
      </w:r>
    </w:p>
  </w:endnote>
  <w:endnote w:type="continuationSeparator" w:id="0">
    <w:p w14:paraId="204DD93B" w14:textId="77777777" w:rsidR="00F34183" w:rsidRDefault="00F3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76894494"/>
      <w:docPartObj>
        <w:docPartGallery w:val="Page Numbers (Bottom of Page)"/>
        <w:docPartUnique/>
      </w:docPartObj>
    </w:sdtPr>
    <w:sdtEndPr>
      <w:rPr>
        <w:rStyle w:val="Nmerodepgina"/>
      </w:rPr>
    </w:sdtEndPr>
    <w:sdtContent>
      <w:p w14:paraId="36824986" w14:textId="48BEB37A" w:rsidR="001C303A" w:rsidRDefault="001C303A" w:rsidP="00990D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FB7910" w14:textId="77777777" w:rsidR="001C303A" w:rsidRDefault="001C303A" w:rsidP="001C30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633710612"/>
      <w:docPartObj>
        <w:docPartGallery w:val="Page Numbers (Bottom of Page)"/>
        <w:docPartUnique/>
      </w:docPartObj>
    </w:sdtPr>
    <w:sdtEndPr>
      <w:rPr>
        <w:rStyle w:val="Nmerodepgina"/>
        <w:rFonts w:ascii="Museo Sans 500" w:hAnsi="Museo Sans 500"/>
        <w:color w:val="262626" w:themeColor="text1" w:themeTint="D9"/>
        <w:sz w:val="18"/>
        <w:szCs w:val="18"/>
      </w:rPr>
    </w:sdtEndPr>
    <w:sdtContent>
      <w:p w14:paraId="4904E525" w14:textId="0B9FBAA6" w:rsidR="001C303A" w:rsidRPr="001C303A" w:rsidRDefault="001C303A" w:rsidP="00990D79">
        <w:pPr>
          <w:pStyle w:val="Piedepgina"/>
          <w:framePr w:wrap="none" w:vAnchor="text" w:hAnchor="margin" w:xAlign="right" w:y="1"/>
          <w:rPr>
            <w:rStyle w:val="Nmerodepgina"/>
            <w:rFonts w:ascii="Museo Sans 500" w:hAnsi="Museo Sans 500"/>
            <w:color w:val="262626" w:themeColor="text1" w:themeTint="D9"/>
            <w:sz w:val="18"/>
            <w:szCs w:val="18"/>
          </w:rPr>
        </w:pPr>
        <w:r w:rsidRPr="001C303A">
          <w:rPr>
            <w:rStyle w:val="Nmerodepgina"/>
            <w:rFonts w:ascii="Museo Sans 500" w:hAnsi="Museo Sans 500"/>
            <w:color w:val="262626" w:themeColor="text1" w:themeTint="D9"/>
            <w:sz w:val="18"/>
            <w:szCs w:val="18"/>
          </w:rPr>
          <w:fldChar w:fldCharType="begin"/>
        </w:r>
        <w:r w:rsidRPr="001C303A">
          <w:rPr>
            <w:rStyle w:val="Nmerodepgina"/>
            <w:rFonts w:ascii="Museo Sans 500" w:hAnsi="Museo Sans 500"/>
            <w:color w:val="262626" w:themeColor="text1" w:themeTint="D9"/>
            <w:sz w:val="18"/>
            <w:szCs w:val="18"/>
          </w:rPr>
          <w:instrText xml:space="preserve"> PAGE </w:instrText>
        </w:r>
        <w:r w:rsidRPr="001C303A">
          <w:rPr>
            <w:rStyle w:val="Nmerodepgina"/>
            <w:rFonts w:ascii="Museo Sans 500" w:hAnsi="Museo Sans 500"/>
            <w:color w:val="262626" w:themeColor="text1" w:themeTint="D9"/>
            <w:sz w:val="18"/>
            <w:szCs w:val="18"/>
          </w:rPr>
          <w:fldChar w:fldCharType="separate"/>
        </w:r>
        <w:r w:rsidR="00F34183">
          <w:rPr>
            <w:rStyle w:val="Nmerodepgina"/>
            <w:rFonts w:ascii="Museo Sans 500" w:hAnsi="Museo Sans 500"/>
            <w:noProof/>
            <w:color w:val="262626" w:themeColor="text1" w:themeTint="D9"/>
            <w:sz w:val="18"/>
            <w:szCs w:val="18"/>
          </w:rPr>
          <w:t>1</w:t>
        </w:r>
        <w:r w:rsidRPr="001C303A">
          <w:rPr>
            <w:rStyle w:val="Nmerodepgina"/>
            <w:rFonts w:ascii="Museo Sans 500" w:hAnsi="Museo Sans 500"/>
            <w:color w:val="262626" w:themeColor="text1" w:themeTint="D9"/>
            <w:sz w:val="18"/>
            <w:szCs w:val="18"/>
          </w:rPr>
          <w:fldChar w:fldCharType="end"/>
        </w:r>
      </w:p>
    </w:sdtContent>
  </w:sdt>
  <w:p w14:paraId="2A10C833" w14:textId="77777777" w:rsidR="0025672B" w:rsidRPr="001C303A" w:rsidRDefault="0025672B" w:rsidP="001C303A">
    <w:pPr>
      <w:pStyle w:val="Piedepgina"/>
      <w:ind w:right="360"/>
      <w:jc w:val="right"/>
      <w:rPr>
        <w:rFonts w:ascii="Museo Sans 500" w:hAnsi="Museo Sans 500"/>
        <w:color w:val="262626" w:themeColor="text1" w:themeTint="D9"/>
        <w:sz w:val="18"/>
        <w:szCs w:val="18"/>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7D4A2" w14:textId="77777777" w:rsidR="00F34183" w:rsidRDefault="00F34183">
      <w:r>
        <w:separator/>
      </w:r>
    </w:p>
  </w:footnote>
  <w:footnote w:type="continuationSeparator" w:id="0">
    <w:p w14:paraId="2F92244E" w14:textId="77777777" w:rsidR="00F34183" w:rsidRDefault="00F3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5879" w14:textId="24F24BE0" w:rsidR="00716D05" w:rsidRDefault="001C303A">
    <w:pPr>
      <w:rPr>
        <w:rFonts w:eastAsia="Arial Unicode MS"/>
        <w:sz w:val="20"/>
        <w:szCs w:val="20"/>
      </w:rPr>
    </w:pPr>
    <w:r>
      <w:rPr>
        <w:noProof/>
        <w:lang w:val="es-SV" w:eastAsia="es-SV"/>
      </w:rPr>
      <w:drawing>
        <wp:anchor distT="0" distB="0" distL="114300" distR="114300" simplePos="0" relativeHeight="251657728" behindDoc="1" locked="0" layoutInCell="1" allowOverlap="1" wp14:anchorId="29686FDB" wp14:editId="6E1479DD">
          <wp:simplePos x="0" y="0"/>
          <wp:positionH relativeFrom="column">
            <wp:posOffset>-903605</wp:posOffset>
          </wp:positionH>
          <wp:positionV relativeFrom="paragraph">
            <wp:posOffset>1230630</wp:posOffset>
          </wp:positionV>
          <wp:extent cx="7762240" cy="8513581"/>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1">
                    <a:extLst>
                      <a:ext uri="{28A0092B-C50C-407E-A947-70E740481C1C}">
                        <a14:useLocalDpi xmlns:a14="http://schemas.microsoft.com/office/drawing/2010/main" val="0"/>
                      </a:ext>
                    </a:extLst>
                  </a:blip>
                  <a:srcRect t="15241"/>
                  <a:stretch/>
                </pic:blipFill>
                <pic:spPr bwMode="auto">
                  <a:xfrm>
                    <a:off x="0" y="0"/>
                    <a:ext cx="7762240" cy="85135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03A">
      <w:rPr>
        <w:noProof/>
        <w:lang w:val="es-SV" w:eastAsia="es-SV"/>
      </w:rPr>
      <w:drawing>
        <wp:anchor distT="0" distB="0" distL="114300" distR="114300" simplePos="0" relativeHeight="251656703" behindDoc="1" locked="0" layoutInCell="1" allowOverlap="1" wp14:anchorId="749529DA" wp14:editId="71CD7D91">
          <wp:simplePos x="0" y="0"/>
          <wp:positionH relativeFrom="column">
            <wp:posOffset>2032521</wp:posOffset>
          </wp:positionH>
          <wp:positionV relativeFrom="paragraph">
            <wp:posOffset>-97155</wp:posOffset>
          </wp:positionV>
          <wp:extent cx="1921117" cy="110746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21117" cy="11074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24F80"/>
    <w:multiLevelType w:val="hybridMultilevel"/>
    <w:tmpl w:val="F370C520"/>
    <w:lvl w:ilvl="0" w:tplc="FEFE0D4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B7E41"/>
    <w:rsid w:val="000C0970"/>
    <w:rsid w:val="00165628"/>
    <w:rsid w:val="001C303A"/>
    <w:rsid w:val="0025672B"/>
    <w:rsid w:val="00290B15"/>
    <w:rsid w:val="00413947"/>
    <w:rsid w:val="0043518C"/>
    <w:rsid w:val="00471E88"/>
    <w:rsid w:val="004C3254"/>
    <w:rsid w:val="005571B2"/>
    <w:rsid w:val="005656AD"/>
    <w:rsid w:val="0058662A"/>
    <w:rsid w:val="005A78DE"/>
    <w:rsid w:val="005E7E92"/>
    <w:rsid w:val="006937E6"/>
    <w:rsid w:val="007059A5"/>
    <w:rsid w:val="00716D05"/>
    <w:rsid w:val="00802A4C"/>
    <w:rsid w:val="008D1573"/>
    <w:rsid w:val="0092696E"/>
    <w:rsid w:val="00947838"/>
    <w:rsid w:val="00A40B07"/>
    <w:rsid w:val="00B7474C"/>
    <w:rsid w:val="00C969E2"/>
    <w:rsid w:val="00D35F62"/>
    <w:rsid w:val="00E04744"/>
    <w:rsid w:val="00E748E6"/>
    <w:rsid w:val="00EA3069"/>
    <w:rsid w:val="00F07AE7"/>
    <w:rsid w:val="00F34183"/>
    <w:rsid w:val="00F753EC"/>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719AB44"/>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character" w:styleId="Nmerodepgina">
    <w:name w:val="page number"/>
    <w:basedOn w:val="Fuentedeprrafopredeter"/>
    <w:locked/>
    <w:rsid w:val="001C303A"/>
  </w:style>
  <w:style w:type="paragraph" w:styleId="NormalWeb">
    <w:name w:val="Normal (Web)"/>
    <w:basedOn w:val="Normal"/>
    <w:uiPriority w:val="99"/>
    <w:locked/>
    <w:rsid w:val="0092696E"/>
    <w:pPr>
      <w:spacing w:before="100" w:beforeAutospacing="1" w:after="100" w:afterAutospacing="1"/>
    </w:pPr>
    <w:rPr>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D837F2CC488FFB428594C34164CC56F6" ma:contentTypeVersion="1" ma:contentTypeDescription="Crear nuevo documento." ma:contentTypeScope="" ma:versionID="8bcafbb95754468c849ce59a47bff10c">
  <xsd:schema xmlns:xsd="http://www.w3.org/2001/XMLSchema" xmlns:xs="http://www.w3.org/2001/XMLSchema" xmlns:p="http://schemas.microsoft.com/office/2006/metadata/properties" xmlns:ns2="6d8f4dd8-17bc-42c6-af85-d70186be95e1" targetNamespace="http://schemas.microsoft.com/office/2006/metadata/properties" ma:root="true" ma:fieldsID="46df8032736e4d5f95e0c3c79b1127cc"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63DE9-0508-42D3-9563-967087A3BCCD}">
  <ds:schemaRefs>
    <ds:schemaRef ds:uri="http://schemas.microsoft.com/sharepoint/v3/contenttype/forms"/>
  </ds:schemaRefs>
</ds:datastoreItem>
</file>

<file path=customXml/itemProps2.xml><?xml version="1.0" encoding="utf-8"?>
<ds:datastoreItem xmlns:ds="http://schemas.openxmlformats.org/officeDocument/2006/customXml" ds:itemID="{1DBD7866-86EB-41C6-91DB-41426152710D}">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B17441B3-2F50-4166-997B-0397907955F3}">
  <ds:schemaRefs>
    <ds:schemaRef ds:uri="http://schemas.microsoft.com/sharepoint/events"/>
  </ds:schemaRefs>
</ds:datastoreItem>
</file>

<file path=customXml/itemProps4.xml><?xml version="1.0" encoding="utf-8"?>
<ds:datastoreItem xmlns:ds="http://schemas.openxmlformats.org/officeDocument/2006/customXml" ds:itemID="{B307867D-5A45-4723-84E5-75C9655C8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3CD249-2105-4AEB-B747-5A34FB87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4257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Cristian Marcel Menjivar Navarrete</cp:lastModifiedBy>
  <cp:revision>3</cp:revision>
  <cp:lastPrinted>2020-08-12T22:26:00Z</cp:lastPrinted>
  <dcterms:created xsi:type="dcterms:W3CDTF">2022-02-01T22:04:00Z</dcterms:created>
  <dcterms:modified xsi:type="dcterms:W3CDTF">2022-02-01T22:07:00Z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2f6c303e-47fd-4c68-96b5-f7c589cb8474</vt:lpwstr>
  </property>
  <property fmtid="{D5CDD505-2E9C-101B-9397-08002B2CF9AE}" pid="3" name="ContentTypeId">
    <vt:lpwstr>0x010100D837F2CC488FFB428594C34164CC56F6</vt:lpwstr>
  </property>
  <property fmtid="{D5CDD505-2E9C-101B-9397-08002B2CF9AE}" pid="4" name="TitusGUID">
    <vt:lpwstr>1a6e4d79-7a96-415b-82c3-2268be79ad67</vt:lpwstr>
  </property>
</Properties>
</file>