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AE71" w14:textId="36D532DB" w:rsidR="00CA2B33" w:rsidRPr="00680914" w:rsidRDefault="00CB44A9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B4A07B" wp14:editId="01A38878">
            <wp:simplePos x="0" y="0"/>
            <wp:positionH relativeFrom="column">
              <wp:posOffset>-912495</wp:posOffset>
            </wp:positionH>
            <wp:positionV relativeFrom="paragraph">
              <wp:posOffset>168910</wp:posOffset>
            </wp:positionV>
            <wp:extent cx="71056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4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B33" w:rsidRPr="00680914">
        <w:rPr>
          <w:rFonts w:ascii="Museo Sans 300" w:hAnsi="Museo Sans 300"/>
          <w:lang w:val="es-ES_tradnl"/>
        </w:rPr>
        <w:t xml:space="preserve">El Consejo Directivo de la Superintendencia del Sistema Financiero, para efectos de darle </w:t>
      </w:r>
      <w:r w:rsidR="00593EA4" w:rsidRPr="00680914">
        <w:rPr>
          <w:rFonts w:ascii="Museo Sans 300" w:hAnsi="Museo Sans 300"/>
          <w:lang w:val="es-ES_tradnl"/>
        </w:rPr>
        <w:t>155 y 156 de la Ley de Bancos Cooperativos y Sociedades de Ahorro y Crédito</w:t>
      </w:r>
      <w:r w:rsidR="00CA2B33" w:rsidRPr="00680914">
        <w:rPr>
          <w:rFonts w:ascii="Museo Sans 300" w:hAnsi="Museo Sans 300"/>
          <w:lang w:val="es-ES_tradnl"/>
        </w:rPr>
        <w:t>, emite las:</w:t>
      </w:r>
      <w:r w:rsidR="00593EA4" w:rsidRPr="00680914">
        <w:rPr>
          <w:rFonts w:ascii="Museo Sans 300" w:hAnsi="Museo Sans 300"/>
          <w:lang w:val="es-ES_tradnl"/>
        </w:rPr>
        <w:t xml:space="preserve"> (1)</w:t>
      </w:r>
    </w:p>
    <w:p w14:paraId="113CF1DE" w14:textId="1D87400D" w:rsidR="00CA2B33" w:rsidRPr="00622049" w:rsidRDefault="00357318" w:rsidP="008656A1">
      <w:pPr>
        <w:tabs>
          <w:tab w:val="left" w:pos="1315"/>
        </w:tabs>
        <w:spacing w:after="0" w:line="240" w:lineRule="auto"/>
        <w:rPr>
          <w:rFonts w:ascii="Museo Sans 300" w:hAnsi="Museo Sans 300"/>
          <w:lang w:val="es-GT" w:eastAsia="es-ES"/>
        </w:rPr>
      </w:pPr>
      <w:r w:rsidRPr="00622049">
        <w:rPr>
          <w:rFonts w:ascii="Museo Sans 300" w:hAnsi="Museo Sans 300"/>
          <w:lang w:val="es-GT" w:eastAsia="es-ES"/>
        </w:rPr>
        <w:tab/>
      </w:r>
    </w:p>
    <w:p w14:paraId="3BE3924F" w14:textId="0B70A96A" w:rsidR="003F4F4C" w:rsidRPr="00B518FB" w:rsidRDefault="003F4F4C" w:rsidP="008656A1">
      <w:pPr>
        <w:pStyle w:val="Ttulo1"/>
        <w:jc w:val="center"/>
        <w:rPr>
          <w:rFonts w:ascii="Museo Sans 300" w:eastAsiaTheme="majorEastAsia" w:hAnsi="Museo Sans 300"/>
          <w:sz w:val="22"/>
          <w:szCs w:val="22"/>
        </w:rPr>
      </w:pPr>
      <w:r w:rsidRPr="00622049">
        <w:rPr>
          <w:rFonts w:ascii="Museo Sans 300" w:eastAsiaTheme="majorEastAsia" w:hAnsi="Museo Sans 300"/>
          <w:sz w:val="22"/>
          <w:szCs w:val="22"/>
        </w:rPr>
        <w:t xml:space="preserve">NORMAS PARA AUTORIZAR A LOS </w:t>
      </w:r>
      <w:r w:rsidRPr="00CA25D9">
        <w:rPr>
          <w:rFonts w:ascii="Museo Sans 300" w:eastAsiaTheme="majorEastAsia" w:hAnsi="Museo Sans 300"/>
          <w:sz w:val="22"/>
          <w:szCs w:val="22"/>
        </w:rPr>
        <w:t>BANCOS</w:t>
      </w:r>
      <w:r w:rsidR="00593EA4" w:rsidRPr="00CA25D9">
        <w:rPr>
          <w:rFonts w:ascii="Museo Sans 300" w:eastAsiaTheme="majorEastAsia" w:hAnsi="Museo Sans 300"/>
          <w:sz w:val="22"/>
          <w:szCs w:val="22"/>
        </w:rPr>
        <w:t xml:space="preserve">, </w:t>
      </w:r>
      <w:r w:rsidR="002D11AF" w:rsidRPr="00680914">
        <w:rPr>
          <w:rFonts w:ascii="Museo Sans 300" w:eastAsiaTheme="majorEastAsia" w:hAnsi="Museo Sans 300"/>
          <w:sz w:val="22"/>
          <w:szCs w:val="22"/>
        </w:rPr>
        <w:t xml:space="preserve">FEDERACIONES, </w:t>
      </w:r>
      <w:r w:rsidR="00593EA4" w:rsidRPr="00680914">
        <w:rPr>
          <w:rFonts w:ascii="Museo Sans 300" w:eastAsiaTheme="majorEastAsia" w:hAnsi="Museo Sans 300"/>
          <w:sz w:val="22"/>
          <w:szCs w:val="22"/>
        </w:rPr>
        <w:t>BANCOS COOPERATIVOS, SOCIEDADES DE AHORRO Y CR</w:t>
      </w:r>
      <w:r w:rsidR="00D306CB">
        <w:rPr>
          <w:rFonts w:ascii="Museo Sans 300" w:eastAsiaTheme="majorEastAsia" w:hAnsi="Museo Sans 300"/>
          <w:sz w:val="22"/>
          <w:szCs w:val="22"/>
        </w:rPr>
        <w:t>É</w:t>
      </w:r>
      <w:r w:rsidR="00593EA4" w:rsidRPr="00680914">
        <w:rPr>
          <w:rFonts w:ascii="Museo Sans 300" w:eastAsiaTheme="majorEastAsia" w:hAnsi="Museo Sans 300"/>
          <w:sz w:val="22"/>
          <w:szCs w:val="22"/>
        </w:rPr>
        <w:t>DITO</w:t>
      </w:r>
      <w:r w:rsidRPr="00B518FB">
        <w:rPr>
          <w:rFonts w:ascii="Museo Sans 300" w:eastAsiaTheme="majorEastAsia" w:hAnsi="Museo Sans 300"/>
          <w:sz w:val="22"/>
          <w:szCs w:val="22"/>
        </w:rPr>
        <w:t xml:space="preserve"> Y CONTROLADORAS DE FINALIDAD EXCLUSIVA A REALIZAR INVERSIONES ACCIONARIAS EN SOCIEDADES</w:t>
      </w:r>
      <w:r w:rsidR="00FE3D86" w:rsidRPr="00641E2D">
        <w:rPr>
          <w:rFonts w:ascii="Museo Sans 300" w:eastAsiaTheme="majorEastAsia" w:hAnsi="Museo Sans 300"/>
          <w:sz w:val="22"/>
          <w:szCs w:val="22"/>
        </w:rPr>
        <w:t xml:space="preserve"> SALVADOREÑAS</w:t>
      </w:r>
      <w:r w:rsidR="00593EA4" w:rsidRPr="00641E2D">
        <w:rPr>
          <w:rFonts w:ascii="Museo Sans 300" w:eastAsiaTheme="majorEastAsia" w:hAnsi="Museo Sans 300"/>
          <w:sz w:val="22"/>
          <w:szCs w:val="22"/>
        </w:rPr>
        <w:t xml:space="preserve"> </w:t>
      </w:r>
      <w:r w:rsidR="00593EA4" w:rsidRPr="00B518FB">
        <w:rPr>
          <w:rFonts w:ascii="Museo Sans 300" w:eastAsiaTheme="majorEastAsia" w:hAnsi="Museo Sans 300"/>
          <w:sz w:val="22"/>
          <w:szCs w:val="22"/>
        </w:rPr>
        <w:t>(1)</w:t>
      </w:r>
    </w:p>
    <w:p w14:paraId="2470B1D9" w14:textId="77777777" w:rsidR="003F4F4C" w:rsidRPr="00622049" w:rsidRDefault="003F4F4C" w:rsidP="008656A1">
      <w:pPr>
        <w:keepNext/>
        <w:keepLines/>
        <w:spacing w:after="0" w:line="240" w:lineRule="auto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574658C6" w14:textId="77777777" w:rsidR="003F4F4C" w:rsidRPr="00622049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  <w:r w:rsidRPr="00622049">
        <w:rPr>
          <w:rFonts w:ascii="Museo Sans 300" w:eastAsiaTheme="majorEastAsia" w:hAnsi="Museo Sans 300" w:cstheme="majorBidi"/>
          <w:b/>
          <w:iCs/>
          <w:color w:val="000000" w:themeColor="text1"/>
        </w:rPr>
        <w:t>CAPÍTULO I</w:t>
      </w:r>
    </w:p>
    <w:p w14:paraId="40C8888F" w14:textId="77777777" w:rsidR="003F4F4C" w:rsidRPr="00622049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  <w:r w:rsidRPr="00622049">
        <w:rPr>
          <w:rFonts w:ascii="Museo Sans 300" w:eastAsiaTheme="majorEastAsia" w:hAnsi="Museo Sans 300" w:cstheme="majorBidi"/>
          <w:b/>
          <w:iCs/>
          <w:color w:val="000000" w:themeColor="text1"/>
        </w:rPr>
        <w:t>OBJETO Y SUJETOS</w:t>
      </w:r>
    </w:p>
    <w:p w14:paraId="682BAD9D" w14:textId="77777777" w:rsidR="003F4F4C" w:rsidRPr="00622049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</w:p>
    <w:p w14:paraId="6EB04DCD" w14:textId="6AA63B0C" w:rsidR="003F4F4C" w:rsidRPr="00622049" w:rsidRDefault="003F4F4C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622049">
        <w:rPr>
          <w:rFonts w:ascii="Museo Sans 300" w:hAnsi="Museo Sans 300"/>
          <w:b/>
          <w:lang w:val="es-ES_tradnl"/>
        </w:rPr>
        <w:t>Art. 1.-</w:t>
      </w:r>
      <w:r w:rsidRPr="00622049">
        <w:rPr>
          <w:rFonts w:ascii="Museo Sans 300" w:hAnsi="Museo Sans 300"/>
          <w:lang w:val="es-ES_tradnl"/>
        </w:rPr>
        <w:t xml:space="preserve"> El objeto de estas Normas es establecer los requisitos y los trámites que deben </w:t>
      </w:r>
      <w:r w:rsidRPr="00CA25D9">
        <w:rPr>
          <w:rFonts w:ascii="Museo Sans 300" w:hAnsi="Museo Sans 300"/>
          <w:lang w:val="es-ES_tradnl"/>
        </w:rPr>
        <w:t xml:space="preserve">cumplir los </w:t>
      </w:r>
      <w:r w:rsidRPr="00680914">
        <w:rPr>
          <w:rFonts w:ascii="Museo Sans 300" w:hAnsi="Museo Sans 300"/>
          <w:lang w:val="es-ES_tradnl"/>
        </w:rPr>
        <w:t>bancos</w:t>
      </w:r>
      <w:r w:rsidR="00593EA4" w:rsidRPr="00680914">
        <w:rPr>
          <w:rFonts w:ascii="Museo Sans 300" w:hAnsi="Museo Sans 300"/>
          <w:lang w:val="es-ES_tradnl"/>
        </w:rPr>
        <w:t xml:space="preserve">, </w:t>
      </w:r>
      <w:r w:rsidR="008C5C84" w:rsidRPr="00680914">
        <w:rPr>
          <w:rFonts w:ascii="Museo Sans 300" w:hAnsi="Museo Sans 300"/>
          <w:lang w:val="es-ES_tradnl"/>
        </w:rPr>
        <w:t xml:space="preserve">federaciones, </w:t>
      </w:r>
      <w:r w:rsidR="00593EA4" w:rsidRPr="00680914">
        <w:rPr>
          <w:rFonts w:ascii="Museo Sans 300" w:hAnsi="Museo Sans 300"/>
          <w:lang w:val="es-ES_tradnl"/>
        </w:rPr>
        <w:t>bancos cooperativos, sociedades de ahorro y crédito,</w:t>
      </w:r>
      <w:r w:rsidR="00593EA4" w:rsidRPr="00CA25D9">
        <w:rPr>
          <w:rFonts w:ascii="Museo Sans 300" w:hAnsi="Museo Sans 300"/>
          <w:i/>
          <w:iCs/>
          <w:u w:val="single"/>
          <w:lang w:val="es-ES_tradnl"/>
        </w:rPr>
        <w:t xml:space="preserve"> </w:t>
      </w:r>
      <w:r w:rsidRPr="00622049">
        <w:rPr>
          <w:rFonts w:ascii="Museo Sans 300" w:hAnsi="Museo Sans 300"/>
          <w:lang w:val="es-ES_tradnl"/>
        </w:rPr>
        <w:t xml:space="preserve">y las sociedades controladoras de finalidad exclusiva, interesadas en obtener autorización para invertir en acciones de sociedades salvadoreñas con el carácter de subsidiarias o sociedades de inversión conjunta. </w:t>
      </w:r>
      <w:r w:rsidR="00593EA4">
        <w:rPr>
          <w:rFonts w:ascii="Museo Sans 300" w:hAnsi="Museo Sans 300"/>
          <w:lang w:val="es-ES_tradnl"/>
        </w:rPr>
        <w:t>(1)</w:t>
      </w:r>
    </w:p>
    <w:p w14:paraId="7CA5B5A5" w14:textId="77777777" w:rsidR="003F4F4C" w:rsidRPr="00622049" w:rsidRDefault="003F4F4C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C3664A9" w14:textId="3DC77FE6" w:rsidR="003F4F4C" w:rsidRPr="00622049" w:rsidRDefault="003F4F4C" w:rsidP="008656A1">
      <w:pPr>
        <w:spacing w:after="120" w:line="240" w:lineRule="auto"/>
        <w:jc w:val="both"/>
        <w:rPr>
          <w:rFonts w:ascii="Museo Sans 300" w:hAnsi="Museo Sans 300"/>
          <w:lang w:val="es-ES_tradnl"/>
        </w:rPr>
      </w:pPr>
      <w:r w:rsidRPr="00622049">
        <w:rPr>
          <w:rFonts w:ascii="Museo Sans 300" w:hAnsi="Museo Sans 300"/>
          <w:b/>
          <w:lang w:val="es-ES_tradnl"/>
        </w:rPr>
        <w:t>Art. 2.-</w:t>
      </w:r>
      <w:r w:rsidRPr="00622049">
        <w:rPr>
          <w:rFonts w:ascii="Museo Sans 300" w:hAnsi="Museo Sans 300"/>
          <w:lang w:val="es-ES_tradnl"/>
        </w:rPr>
        <w:t xml:space="preserve"> Los sujetos obligados al cumplimiento de los requisitos y trámites en estas Normas son:</w:t>
      </w:r>
      <w:r w:rsidR="008F7338">
        <w:rPr>
          <w:rFonts w:ascii="Museo Sans 300" w:hAnsi="Museo Sans 300"/>
          <w:lang w:val="es-ES_tradnl"/>
        </w:rPr>
        <w:t xml:space="preserve"> </w:t>
      </w:r>
    </w:p>
    <w:p w14:paraId="4DC0B2FC" w14:textId="66985F23" w:rsidR="003F4F4C" w:rsidRPr="00622049" w:rsidRDefault="003F4F4C" w:rsidP="008656A1">
      <w:pPr>
        <w:numPr>
          <w:ilvl w:val="0"/>
          <w:numId w:val="11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622049">
        <w:rPr>
          <w:rFonts w:ascii="Museo Sans 300" w:hAnsi="Museo Sans 300"/>
          <w:lang w:val="es-ES_tradnl"/>
        </w:rPr>
        <w:t>Los bancos constituidos en el país;</w:t>
      </w:r>
      <w:r w:rsidR="00DD5D1F" w:rsidRPr="00622049">
        <w:rPr>
          <w:rFonts w:ascii="Museo Sans 300" w:hAnsi="Museo Sans 300"/>
          <w:lang w:val="es-ES_tradnl"/>
        </w:rPr>
        <w:t xml:space="preserve"> </w:t>
      </w:r>
    </w:p>
    <w:p w14:paraId="749F56AB" w14:textId="43B71122" w:rsidR="003F4F4C" w:rsidRDefault="003F4F4C" w:rsidP="008656A1">
      <w:pPr>
        <w:numPr>
          <w:ilvl w:val="0"/>
          <w:numId w:val="11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622049">
        <w:rPr>
          <w:rFonts w:ascii="Museo Sans 300" w:hAnsi="Museo Sans 300"/>
          <w:lang w:val="es-ES_tradnl"/>
        </w:rPr>
        <w:t>Las sociedades controladoras de finalidad exclusiva</w:t>
      </w:r>
      <w:r w:rsidR="002D11AF">
        <w:rPr>
          <w:rFonts w:ascii="Museo Sans 300" w:hAnsi="Museo Sans 300"/>
          <w:lang w:val="es-ES_tradnl"/>
        </w:rPr>
        <w:t>;</w:t>
      </w:r>
    </w:p>
    <w:p w14:paraId="7E7D5C60" w14:textId="397A0A15" w:rsidR="008F7338" w:rsidRPr="00680914" w:rsidRDefault="008F7338" w:rsidP="008656A1">
      <w:pPr>
        <w:numPr>
          <w:ilvl w:val="0"/>
          <w:numId w:val="11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bCs/>
          <w:lang w:val="es-ES_tradnl"/>
        </w:rPr>
      </w:pPr>
      <w:r w:rsidRPr="00680914">
        <w:rPr>
          <w:rFonts w:ascii="Museo Sans 300" w:hAnsi="Museo Sans 300"/>
          <w:bCs/>
          <w:lang w:val="es-ES_tradnl"/>
        </w:rPr>
        <w:t>Las sociedades de ahorro y crédito</w:t>
      </w:r>
      <w:r w:rsidR="002D11AF" w:rsidRPr="00680914">
        <w:rPr>
          <w:rFonts w:ascii="Museo Sans 300" w:hAnsi="Museo Sans 300"/>
          <w:bCs/>
          <w:lang w:val="es-ES_tradnl"/>
        </w:rPr>
        <w:t>;</w:t>
      </w:r>
      <w:r w:rsidRPr="00680914">
        <w:rPr>
          <w:rFonts w:ascii="Museo Sans 300" w:hAnsi="Museo Sans 300"/>
          <w:bCs/>
          <w:lang w:val="es-ES_tradnl"/>
        </w:rPr>
        <w:t xml:space="preserve"> (1)</w:t>
      </w:r>
    </w:p>
    <w:p w14:paraId="2A4DC710" w14:textId="689786E0" w:rsidR="008F7338" w:rsidRPr="00680914" w:rsidRDefault="008F7338" w:rsidP="008656A1">
      <w:pPr>
        <w:numPr>
          <w:ilvl w:val="0"/>
          <w:numId w:val="11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bCs/>
          <w:lang w:val="es-ES_tradnl"/>
        </w:rPr>
      </w:pPr>
      <w:r w:rsidRPr="00680914">
        <w:rPr>
          <w:rFonts w:ascii="Museo Sans 300" w:hAnsi="Museo Sans 300"/>
          <w:bCs/>
          <w:lang w:val="es-ES_tradnl"/>
        </w:rPr>
        <w:t>Los bancos cooperativos</w:t>
      </w:r>
      <w:r w:rsidR="002D11AF" w:rsidRPr="00680914">
        <w:rPr>
          <w:rFonts w:ascii="Museo Sans 300" w:hAnsi="Museo Sans 300"/>
          <w:bCs/>
          <w:lang w:val="es-ES_tradnl"/>
        </w:rPr>
        <w:t>; y</w:t>
      </w:r>
      <w:r w:rsidR="009F1657" w:rsidRPr="00680914">
        <w:rPr>
          <w:rFonts w:ascii="Museo Sans 300" w:hAnsi="Museo Sans 300"/>
          <w:bCs/>
          <w:lang w:val="es-ES_tradnl"/>
        </w:rPr>
        <w:t xml:space="preserve"> (1)</w:t>
      </w:r>
    </w:p>
    <w:p w14:paraId="42D0A3DC" w14:textId="3EF0ECB6" w:rsidR="002D11AF" w:rsidRPr="00680914" w:rsidRDefault="002D11AF" w:rsidP="008656A1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Museo Sans 300" w:hAnsi="Museo Sans 300"/>
          <w:bCs/>
          <w:lang w:val="es-ES_tradnl"/>
        </w:rPr>
      </w:pPr>
      <w:r w:rsidRPr="00680914">
        <w:rPr>
          <w:rFonts w:ascii="Museo Sans 300" w:hAnsi="Museo Sans 300"/>
          <w:bCs/>
          <w:lang w:val="es-ES_tradnl"/>
        </w:rPr>
        <w:t>Las Federaciones, tanto de bancos cooperativos como de sociedades de ahorro y crédito.</w:t>
      </w:r>
      <w:r w:rsidR="009F1657" w:rsidRPr="00680914">
        <w:rPr>
          <w:rFonts w:ascii="Museo Sans 300" w:hAnsi="Museo Sans 300"/>
          <w:bCs/>
          <w:lang w:val="es-ES_tradnl"/>
        </w:rPr>
        <w:t xml:space="preserve"> </w:t>
      </w:r>
      <w:r w:rsidRPr="00680914">
        <w:rPr>
          <w:rFonts w:ascii="Museo Sans 300" w:hAnsi="Museo Sans 300"/>
          <w:bCs/>
          <w:lang w:val="es-ES_tradnl"/>
        </w:rPr>
        <w:t>(1)</w:t>
      </w:r>
    </w:p>
    <w:p w14:paraId="1FCCD842" w14:textId="77777777" w:rsidR="003F4F4C" w:rsidRPr="00641E2D" w:rsidRDefault="003F4F4C" w:rsidP="008656A1">
      <w:pPr>
        <w:tabs>
          <w:tab w:val="num" w:pos="1134"/>
        </w:tabs>
        <w:spacing w:after="0" w:line="240" w:lineRule="auto"/>
        <w:jc w:val="both"/>
        <w:rPr>
          <w:rFonts w:ascii="Museo Sans 300" w:hAnsi="Museo Sans 300"/>
          <w:color w:val="FF0000"/>
          <w:lang w:val="es-ES_tradnl"/>
        </w:rPr>
      </w:pPr>
    </w:p>
    <w:p w14:paraId="506A3A54" w14:textId="77777777" w:rsidR="00DE463D" w:rsidRPr="00790038" w:rsidRDefault="003F4F4C" w:rsidP="008656A1">
      <w:pPr>
        <w:spacing w:after="0" w:line="240" w:lineRule="auto"/>
        <w:jc w:val="both"/>
        <w:rPr>
          <w:rFonts w:ascii="Museo Sans 300" w:hAnsi="Museo Sans 300"/>
          <w:strike/>
          <w:lang w:val="es-ES_tradnl"/>
        </w:rPr>
      </w:pPr>
      <w:r w:rsidRPr="00622049">
        <w:rPr>
          <w:rFonts w:ascii="Museo Sans 300" w:hAnsi="Museo Sans 300"/>
          <w:b/>
          <w:lang w:val="es-ES_tradnl"/>
        </w:rPr>
        <w:t>Art. 3.-</w:t>
      </w:r>
      <w:r w:rsidRPr="00622049">
        <w:rPr>
          <w:rFonts w:ascii="Museo Sans 300" w:hAnsi="Museo Sans 300"/>
          <w:lang w:val="es-ES_tradnl"/>
        </w:rPr>
        <w:t xml:space="preserve"> Cuando en estas Normas se mencione a la Superintendencia, se entenderá que se trata de la Superintendencia del Sistema Financiero. </w:t>
      </w:r>
      <w:r w:rsidRPr="00622796">
        <w:rPr>
          <w:rFonts w:ascii="Museo Sans 300" w:hAnsi="Museo Sans 300"/>
          <w:lang w:val="es-ES_tradnl"/>
        </w:rPr>
        <w:t>La expresión banco es comprensiva de las sociedades controladoras de finalidad exclusiva.</w:t>
      </w:r>
      <w:r w:rsidR="0054389F" w:rsidRPr="00790038">
        <w:rPr>
          <w:rFonts w:ascii="Museo Sans 300" w:hAnsi="Museo Sans 300"/>
          <w:strike/>
          <w:lang w:val="es-ES_tradnl"/>
        </w:rPr>
        <w:t xml:space="preserve"> </w:t>
      </w:r>
    </w:p>
    <w:p w14:paraId="140022E4" w14:textId="77777777" w:rsidR="00DE463D" w:rsidRDefault="00DE463D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20AE5888" w14:textId="38B640CB" w:rsidR="00DE463D" w:rsidRPr="00680914" w:rsidRDefault="00DE463D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680914">
        <w:rPr>
          <w:rFonts w:ascii="Museo Sans 300" w:hAnsi="Museo Sans 300"/>
          <w:lang w:val="es-ES_tradnl"/>
        </w:rPr>
        <w:t>El término</w:t>
      </w:r>
      <w:r w:rsidR="0054389F" w:rsidRPr="00680914">
        <w:rPr>
          <w:rFonts w:ascii="Museo Sans 300" w:hAnsi="Museo Sans 300"/>
          <w:lang w:val="es-ES_tradnl"/>
        </w:rPr>
        <w:t xml:space="preserve"> Accionista se refiere a los propietarios de las acciones de los sujetos obligados a la aplicación de las presentes Normas; el término también servirá para referirse a los asociados de las Asociaciones Cooperativas sujetas a la aplicación de las presentes Normas. </w:t>
      </w:r>
      <w:r w:rsidRPr="00680914">
        <w:rPr>
          <w:rFonts w:ascii="Museo Sans 300" w:hAnsi="Museo Sans 300"/>
          <w:lang w:val="es-ES_tradnl"/>
        </w:rPr>
        <w:t>(1)</w:t>
      </w:r>
    </w:p>
    <w:p w14:paraId="42E08FED" w14:textId="3BFE4B51" w:rsidR="00DE463D" w:rsidRPr="00680914" w:rsidRDefault="00DE463D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259C4290" w14:textId="63292093" w:rsidR="00DE463D" w:rsidRPr="00680914" w:rsidRDefault="00DE463D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680914">
        <w:rPr>
          <w:rFonts w:ascii="Museo Sans 300" w:hAnsi="Museo Sans 300"/>
          <w:lang w:val="es-ES_tradnl"/>
        </w:rPr>
        <w:t xml:space="preserve">La Junta General de Accionistas o su equivalente, es la autoridad máxima de la entidad. En el Pacto Social o Estatutos debe reconocerse esta atribución al igual que sus funciones fundamentales y competencias para adoptar toda clase de acuerdos referentes a su gobierno y en general, a todas las medidas que reclamen el cumplimiento del Pacto Social y el interés común de los accionistas. Este término también servirá para hacer referencia a las Asambleas Generales de Asociados de las Asociaciones Cooperativas sujetas a las presentes Normas. </w:t>
      </w:r>
      <w:r w:rsidR="007B4179" w:rsidRPr="00680914">
        <w:rPr>
          <w:rFonts w:ascii="Museo Sans 300" w:hAnsi="Museo Sans 300"/>
          <w:lang w:val="es-ES_tradnl"/>
        </w:rPr>
        <w:t>(1)</w:t>
      </w:r>
    </w:p>
    <w:p w14:paraId="6B69F934" w14:textId="77777777" w:rsidR="00DE463D" w:rsidRPr="00680914" w:rsidRDefault="00DE463D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26D0A0EE" w14:textId="3BD39835" w:rsidR="00DE463D" w:rsidRPr="00680914" w:rsidRDefault="0054389F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680914">
        <w:rPr>
          <w:rFonts w:ascii="Museo Sans 300" w:hAnsi="Museo Sans 300"/>
          <w:lang w:val="es-ES_tradnl"/>
        </w:rPr>
        <w:t xml:space="preserve">La expresión Junta Directiva </w:t>
      </w:r>
      <w:r w:rsidR="00DE463D" w:rsidRPr="00680914">
        <w:rPr>
          <w:rFonts w:ascii="Museo Sans 300" w:hAnsi="Museo Sans 300"/>
          <w:lang w:val="es-ES_tradnl"/>
        </w:rPr>
        <w:t>se refiere a</w:t>
      </w:r>
      <w:r w:rsidRPr="00680914">
        <w:rPr>
          <w:rFonts w:ascii="Museo Sans 300" w:hAnsi="Museo Sans 300"/>
          <w:lang w:val="es-ES_tradnl"/>
        </w:rPr>
        <w:t>l órgano colegiado encargado de la administración de la entidad, con funciones de supervisión, dirección y control u órgano equivalente; para el caso de las Asociaciones Cooperativas será el Consejo de Administración.</w:t>
      </w:r>
      <w:r w:rsidR="006929C0" w:rsidRPr="00680914">
        <w:rPr>
          <w:rFonts w:ascii="Museo Sans 300" w:hAnsi="Museo Sans 300"/>
          <w:lang w:val="es-ES_tradnl"/>
        </w:rPr>
        <w:t xml:space="preserve"> </w:t>
      </w:r>
      <w:r w:rsidR="007B4179" w:rsidRPr="00680914">
        <w:rPr>
          <w:rFonts w:ascii="Museo Sans 300" w:hAnsi="Museo Sans 300"/>
          <w:lang w:val="es-ES_tradnl"/>
        </w:rPr>
        <w:t>(1)</w:t>
      </w:r>
    </w:p>
    <w:p w14:paraId="0DED9EC7" w14:textId="77777777" w:rsidR="00DE463D" w:rsidRPr="00680914" w:rsidRDefault="00DE463D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6AEDE93" w14:textId="77777777" w:rsidR="003F4F4C" w:rsidRPr="00641E2D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</w:rPr>
      </w:pPr>
      <w:r w:rsidRPr="00641E2D">
        <w:rPr>
          <w:rFonts w:ascii="Museo Sans 300" w:eastAsiaTheme="majorEastAsia" w:hAnsi="Museo Sans 300" w:cstheme="majorBidi"/>
          <w:b/>
          <w:iCs/>
        </w:rPr>
        <w:t>CAPÍTULO II</w:t>
      </w:r>
    </w:p>
    <w:p w14:paraId="2D9DB0FA" w14:textId="77777777" w:rsidR="003F4F4C" w:rsidRPr="00641E2D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</w:rPr>
      </w:pPr>
      <w:r w:rsidRPr="00641E2D">
        <w:rPr>
          <w:rFonts w:ascii="Museo Sans 300" w:eastAsiaTheme="majorEastAsia" w:hAnsi="Museo Sans 300" w:cstheme="majorBidi"/>
          <w:b/>
          <w:iCs/>
        </w:rPr>
        <w:t>CONDICIONES Y REQUERIMIENTOS DE INFORMACIÓN PARA LA AUTORIZACIÓN</w:t>
      </w:r>
    </w:p>
    <w:p w14:paraId="159B3F2A" w14:textId="77777777" w:rsidR="003F4F4C" w:rsidRPr="00641E2D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</w:rPr>
      </w:pPr>
    </w:p>
    <w:p w14:paraId="7FD2E7A6" w14:textId="7C355844" w:rsidR="003F4F4C" w:rsidRDefault="003F4F4C" w:rsidP="008656A1">
      <w:pPr>
        <w:spacing w:after="0" w:line="240" w:lineRule="auto"/>
        <w:jc w:val="both"/>
        <w:rPr>
          <w:rFonts w:ascii="Museo Sans 300" w:hAnsi="Museo Sans 300"/>
        </w:rPr>
      </w:pPr>
      <w:r w:rsidRPr="00680914">
        <w:rPr>
          <w:rFonts w:ascii="Museo Sans 300" w:hAnsi="Museo Sans 300"/>
          <w:b/>
        </w:rPr>
        <w:t>Art. 4.-</w:t>
      </w:r>
      <w:r w:rsidRPr="00680914">
        <w:rPr>
          <w:rFonts w:ascii="Museo Sans 300" w:hAnsi="Museo Sans 300"/>
        </w:rPr>
        <w:t xml:space="preserve"> Los bancos </w:t>
      </w:r>
      <w:r w:rsidR="00122E8D" w:rsidRPr="00680914">
        <w:rPr>
          <w:rFonts w:ascii="Museo Sans 300" w:hAnsi="Museo Sans 300"/>
          <w:lang w:val="es-ES_tradnl"/>
        </w:rPr>
        <w:t xml:space="preserve">y las </w:t>
      </w:r>
      <w:r w:rsidR="00573BA6" w:rsidRPr="00680914">
        <w:rPr>
          <w:rFonts w:ascii="Museo Sans 300" w:hAnsi="Museo Sans 300"/>
          <w:lang w:val="es-ES_tradnl"/>
        </w:rPr>
        <w:t>s</w:t>
      </w:r>
      <w:r w:rsidR="00122E8D" w:rsidRPr="00680914">
        <w:rPr>
          <w:rFonts w:ascii="Museo Sans 300" w:hAnsi="Museo Sans 300"/>
          <w:lang w:val="es-ES_tradnl"/>
        </w:rPr>
        <w:t xml:space="preserve">ociedades de </w:t>
      </w:r>
      <w:r w:rsidR="00573BA6" w:rsidRPr="00680914">
        <w:rPr>
          <w:rFonts w:ascii="Museo Sans 300" w:hAnsi="Museo Sans 300"/>
          <w:lang w:val="es-ES_tradnl"/>
        </w:rPr>
        <w:t>a</w:t>
      </w:r>
      <w:r w:rsidR="00122E8D" w:rsidRPr="00680914">
        <w:rPr>
          <w:rFonts w:ascii="Museo Sans 300" w:hAnsi="Museo Sans 300"/>
          <w:lang w:val="es-ES_tradnl"/>
        </w:rPr>
        <w:t xml:space="preserve">horro y </w:t>
      </w:r>
      <w:r w:rsidR="00573BA6" w:rsidRPr="00680914">
        <w:rPr>
          <w:rFonts w:ascii="Museo Sans 300" w:hAnsi="Museo Sans 300"/>
          <w:lang w:val="es-ES_tradnl"/>
        </w:rPr>
        <w:t>c</w:t>
      </w:r>
      <w:r w:rsidR="00122E8D" w:rsidRPr="00680914">
        <w:rPr>
          <w:rFonts w:ascii="Museo Sans 300" w:hAnsi="Museo Sans 300"/>
          <w:lang w:val="es-ES_tradnl"/>
        </w:rPr>
        <w:t>rédito</w:t>
      </w:r>
      <w:r w:rsidR="00122E8D" w:rsidRPr="00680914">
        <w:rPr>
          <w:rFonts w:ascii="Museo Sans 300" w:hAnsi="Museo Sans 300"/>
        </w:rPr>
        <w:t xml:space="preserve"> </w:t>
      </w:r>
      <w:r w:rsidRPr="00680914">
        <w:rPr>
          <w:rFonts w:ascii="Museo Sans 300" w:hAnsi="Museo Sans 300"/>
        </w:rPr>
        <w:t>podrán solicitar autorización para</w:t>
      </w:r>
      <w:r w:rsidRPr="00641E2D">
        <w:rPr>
          <w:rFonts w:ascii="Museo Sans 300" w:hAnsi="Museo Sans 300"/>
        </w:rPr>
        <w:t xml:space="preserve"> invertir en sociedades salvadoreñas de capital cuya finalidad o giro exclusivo del negocio trate de casas de cambio de moneda extranjera, casas de corredores de bolsa, empresas emisoras de tarjetas de crédito</w:t>
      </w:r>
      <w:r w:rsidRPr="00622049">
        <w:rPr>
          <w:rFonts w:ascii="Museo Sans 300" w:hAnsi="Museo Sans 300"/>
        </w:rPr>
        <w:t>, almacenes generales de depósito, sociedades que presten servicio de pago, custodia y transporte de valores, sociedades de depósito y custodia de valores, sociedades de arrendamiento financiero y otras sociedades que complementen los servicios financieros de los bancos. Las controladoras de finalidad exclusiva, además, podrán invertir en subsidiarias que tengan el giro de sociedades de seguros y administradoras de fondos de pensiones.</w:t>
      </w:r>
      <w:r w:rsidR="00122E8D">
        <w:rPr>
          <w:rFonts w:ascii="Museo Sans 300" w:hAnsi="Museo Sans 300"/>
        </w:rPr>
        <w:t xml:space="preserve"> (1)</w:t>
      </w:r>
    </w:p>
    <w:p w14:paraId="7A395E13" w14:textId="05DAF55E" w:rsidR="008F7338" w:rsidRPr="007F0E96" w:rsidRDefault="008F7338" w:rsidP="008656A1">
      <w:pPr>
        <w:spacing w:after="0" w:line="240" w:lineRule="auto"/>
        <w:jc w:val="both"/>
        <w:rPr>
          <w:rFonts w:ascii="Museo Sans 300" w:hAnsi="Museo Sans 300"/>
          <w:sz w:val="24"/>
          <w:szCs w:val="24"/>
        </w:rPr>
      </w:pPr>
    </w:p>
    <w:p w14:paraId="5387FEA8" w14:textId="727F4AA5" w:rsidR="008F7338" w:rsidRPr="00680914" w:rsidRDefault="008F7338" w:rsidP="008656A1">
      <w:pPr>
        <w:spacing w:after="0" w:line="240" w:lineRule="auto"/>
        <w:jc w:val="both"/>
        <w:rPr>
          <w:rFonts w:ascii="Museo Sans 300" w:hAnsi="Museo Sans 300"/>
          <w:bCs/>
        </w:rPr>
      </w:pPr>
      <w:r w:rsidRPr="00680914">
        <w:rPr>
          <w:rFonts w:ascii="Museo Sans 300" w:hAnsi="Museo Sans 300"/>
          <w:bCs/>
        </w:rPr>
        <w:t xml:space="preserve">Por su parte, </w:t>
      </w:r>
      <w:r w:rsidR="00E77F3C" w:rsidRPr="00680914">
        <w:rPr>
          <w:rFonts w:ascii="Museo Sans 300" w:hAnsi="Museo Sans 300"/>
          <w:bCs/>
        </w:rPr>
        <w:t xml:space="preserve">las </w:t>
      </w:r>
      <w:r w:rsidR="00573BA6" w:rsidRPr="00680914">
        <w:rPr>
          <w:rFonts w:ascii="Museo Sans 300" w:hAnsi="Museo Sans 300"/>
          <w:bCs/>
        </w:rPr>
        <w:t>f</w:t>
      </w:r>
      <w:r w:rsidR="00E77F3C" w:rsidRPr="00680914">
        <w:rPr>
          <w:rFonts w:ascii="Museo Sans 300" w:hAnsi="Museo Sans 300"/>
          <w:bCs/>
        </w:rPr>
        <w:t xml:space="preserve">ederaciones y </w:t>
      </w:r>
      <w:r w:rsidRPr="00680914">
        <w:rPr>
          <w:rFonts w:ascii="Museo Sans 300" w:hAnsi="Museo Sans 300"/>
          <w:bCs/>
        </w:rPr>
        <w:t>los bancos cooperativos podrán solicitar autorización para efectuar inversiones en acciones de cooperativas, en organismos internacionales de integración cooperativa, sociedades salvadoreñas y sociedades de otros países dedicadas a efectuar actividades que complementen sus servicios financieros. En ningún caso podrán operar como controladoras de un conglomerado financiero. (1)</w:t>
      </w:r>
    </w:p>
    <w:p w14:paraId="590DD0C0" w14:textId="77777777" w:rsidR="003F4F4C" w:rsidRPr="00622049" w:rsidRDefault="003F4F4C" w:rsidP="008656A1">
      <w:pPr>
        <w:pStyle w:val="Ttulo3"/>
        <w:rPr>
          <w:rFonts w:ascii="Museo Sans 300" w:hAnsi="Museo Sans 300"/>
          <w:sz w:val="22"/>
          <w:szCs w:val="22"/>
        </w:rPr>
      </w:pPr>
    </w:p>
    <w:p w14:paraId="020E42ED" w14:textId="77777777" w:rsidR="003F4F4C" w:rsidRPr="00622049" w:rsidRDefault="003F4F4C" w:rsidP="008656A1">
      <w:pPr>
        <w:spacing w:after="0" w:line="240" w:lineRule="auto"/>
        <w:rPr>
          <w:rFonts w:ascii="Museo Sans 300" w:hAnsi="Museo Sans 300"/>
          <w:b/>
        </w:rPr>
      </w:pPr>
      <w:r w:rsidRPr="00622049">
        <w:rPr>
          <w:rFonts w:ascii="Museo Sans 300" w:hAnsi="Museo Sans 300"/>
          <w:b/>
        </w:rPr>
        <w:t>Inversión en sociedades en proceso de constitución</w:t>
      </w:r>
    </w:p>
    <w:p w14:paraId="3FBC5AFA" w14:textId="185F9361" w:rsidR="002D2136" w:rsidRPr="00680914" w:rsidRDefault="003F4F4C" w:rsidP="008656A1">
      <w:pPr>
        <w:spacing w:after="120" w:line="240" w:lineRule="auto"/>
        <w:jc w:val="both"/>
        <w:rPr>
          <w:rFonts w:ascii="Museo Sans 300" w:hAnsi="Museo Sans 300"/>
        </w:rPr>
      </w:pPr>
      <w:r w:rsidRPr="00680914">
        <w:rPr>
          <w:rFonts w:ascii="Museo Sans 300" w:hAnsi="Museo Sans 300"/>
          <w:b/>
        </w:rPr>
        <w:t>Art. 5.-</w:t>
      </w:r>
      <w:r w:rsidRPr="00680914">
        <w:rPr>
          <w:rFonts w:ascii="Museo Sans 300" w:hAnsi="Museo Sans 300"/>
        </w:rPr>
        <w:t xml:space="preserve"> Los </w:t>
      </w:r>
      <w:r w:rsidR="00615DCE" w:rsidRPr="00680914">
        <w:rPr>
          <w:rFonts w:ascii="Museo Sans 300" w:hAnsi="Museo Sans 300"/>
        </w:rPr>
        <w:t xml:space="preserve">sujetos obligados </w:t>
      </w:r>
      <w:r w:rsidRPr="00680914">
        <w:rPr>
          <w:rFonts w:ascii="Museo Sans 300" w:hAnsi="Museo Sans 300"/>
        </w:rPr>
        <w:t>interesados en invertir en una subsidiaria o sociedad de</w:t>
      </w:r>
      <w:r w:rsidRPr="00593EA4">
        <w:rPr>
          <w:rFonts w:ascii="Museo Sans 300" w:hAnsi="Museo Sans 300"/>
        </w:rPr>
        <w:t xml:space="preserve"> inversión conjunta, a constituirse, deberán presentar solicitud suscrita por el representante legal y </w:t>
      </w:r>
      <w:r w:rsidRPr="00641E2D">
        <w:rPr>
          <w:rFonts w:ascii="Museo Sans 300" w:hAnsi="Museo Sans 300"/>
        </w:rPr>
        <w:t>dirigida a</w:t>
      </w:r>
      <w:r w:rsidR="006822E6" w:rsidRPr="00641E2D">
        <w:rPr>
          <w:rFonts w:ascii="Museo Sans 300" w:hAnsi="Museo Sans 300"/>
        </w:rPr>
        <w:t xml:space="preserve"> </w:t>
      </w:r>
      <w:r w:rsidRPr="00641E2D">
        <w:rPr>
          <w:rFonts w:ascii="Museo Sans 300" w:hAnsi="Museo Sans 300"/>
        </w:rPr>
        <w:t>l</w:t>
      </w:r>
      <w:r w:rsidR="006822E6" w:rsidRPr="00641E2D">
        <w:rPr>
          <w:rFonts w:ascii="Museo Sans 300" w:hAnsi="Museo Sans 300"/>
        </w:rPr>
        <w:t>a</w:t>
      </w:r>
      <w:r w:rsidRPr="00641E2D">
        <w:rPr>
          <w:rFonts w:ascii="Museo Sans 300" w:hAnsi="Museo Sans 300"/>
        </w:rPr>
        <w:t xml:space="preserve"> Superintenden</w:t>
      </w:r>
      <w:r w:rsidR="006822E6" w:rsidRPr="00641E2D">
        <w:rPr>
          <w:rFonts w:ascii="Museo Sans 300" w:hAnsi="Museo Sans 300"/>
        </w:rPr>
        <w:t>cia</w:t>
      </w:r>
      <w:r w:rsidRPr="00641E2D">
        <w:rPr>
          <w:rFonts w:ascii="Museo Sans 300" w:hAnsi="Museo Sans 300"/>
        </w:rPr>
        <w:t>, acompañada de la información siguiente:</w:t>
      </w:r>
      <w:r w:rsidR="00615DCE" w:rsidRPr="00641E2D">
        <w:rPr>
          <w:rFonts w:ascii="Museo Sans 300" w:hAnsi="Museo Sans 300"/>
        </w:rPr>
        <w:t xml:space="preserve"> </w:t>
      </w:r>
      <w:r w:rsidR="00615DCE" w:rsidRPr="00680914">
        <w:rPr>
          <w:rFonts w:ascii="Museo Sans 300" w:hAnsi="Museo Sans 300"/>
        </w:rPr>
        <w:t>(1)</w:t>
      </w:r>
    </w:p>
    <w:p w14:paraId="16000CDE" w14:textId="2A77A3EA" w:rsidR="003F4F4C" w:rsidRPr="00622049" w:rsidRDefault="003F4F4C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641E2D">
        <w:rPr>
          <w:rFonts w:ascii="Museo Sans 300" w:hAnsi="Museo Sans 300"/>
          <w:lang w:val="es-ES_tradnl"/>
        </w:rPr>
        <w:t xml:space="preserve">Certificación del acuerdo de junta general de accionistas o de junta directiva, según lo requiere el pacto social </w:t>
      </w:r>
      <w:r w:rsidR="007B4179" w:rsidRPr="00680914">
        <w:rPr>
          <w:rFonts w:ascii="Museo Sans 300" w:hAnsi="Museo Sans 300"/>
          <w:lang w:val="es-ES_tradnl"/>
        </w:rPr>
        <w:t xml:space="preserve">de los </w:t>
      </w:r>
      <w:r w:rsidR="007B4179" w:rsidRPr="00680914">
        <w:rPr>
          <w:rFonts w:ascii="Museo Sans 300" w:hAnsi="Museo Sans 300"/>
        </w:rPr>
        <w:t>sujetos obligados</w:t>
      </w:r>
      <w:r w:rsidRPr="00641E2D">
        <w:rPr>
          <w:rFonts w:ascii="Museo Sans 300" w:hAnsi="Museo Sans 300"/>
          <w:lang w:val="es-ES_tradnl"/>
        </w:rPr>
        <w:t xml:space="preserve">, </w:t>
      </w:r>
      <w:r w:rsidRPr="00622049">
        <w:rPr>
          <w:rFonts w:ascii="Museo Sans 300" w:hAnsi="Museo Sans 300"/>
          <w:lang w:val="es-ES_tradnl"/>
        </w:rPr>
        <w:t>en donde se autoriza la inversión</w:t>
      </w:r>
      <w:r w:rsidR="00573BA6">
        <w:rPr>
          <w:rFonts w:ascii="Museo Sans 300" w:hAnsi="Museo Sans 300"/>
          <w:lang w:val="es-ES_tradnl"/>
        </w:rPr>
        <w:t>;</w:t>
      </w:r>
      <w:r w:rsidR="00D9260A">
        <w:rPr>
          <w:rFonts w:ascii="Museo Sans 300" w:hAnsi="Museo Sans 300"/>
          <w:lang w:val="es-ES_tradnl"/>
        </w:rPr>
        <w:t xml:space="preserve"> (1)</w:t>
      </w:r>
    </w:p>
    <w:p w14:paraId="1AFA6F7A" w14:textId="603877C5" w:rsidR="003F4F4C" w:rsidRDefault="003F4F4C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622049">
        <w:rPr>
          <w:rFonts w:ascii="Museo Sans 300" w:hAnsi="Museo Sans 300"/>
          <w:lang w:val="es-ES_tradnl"/>
        </w:rPr>
        <w:t>Proyecto de escritura de constitución y estatutos de la sociedad</w:t>
      </w:r>
      <w:r w:rsidR="00DD3A85" w:rsidRPr="00DD3A85">
        <w:rPr>
          <w:rFonts w:ascii="Museo Sans 300" w:hAnsi="Museo Sans 300"/>
          <w:lang w:val="es-ES_tradnl"/>
        </w:rPr>
        <w:t xml:space="preserve"> en proceso de constitución</w:t>
      </w:r>
      <w:r w:rsidR="00573BA6">
        <w:rPr>
          <w:rFonts w:ascii="Museo Sans 300" w:hAnsi="Museo Sans 300"/>
          <w:lang w:val="es-ES_tradnl"/>
        </w:rPr>
        <w:t>;</w:t>
      </w:r>
    </w:p>
    <w:p w14:paraId="3D7DBE7B" w14:textId="4BDC1626" w:rsidR="00DD3A85" w:rsidRPr="00680914" w:rsidRDefault="002B79E9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680914">
        <w:rPr>
          <w:rFonts w:ascii="Museo Sans 300" w:hAnsi="Museo Sans 300"/>
        </w:rPr>
        <w:t>Plan de negocio</w:t>
      </w:r>
      <w:r w:rsidR="008852A7" w:rsidRPr="00680914">
        <w:rPr>
          <w:rFonts w:ascii="Museo Sans 300" w:hAnsi="Museo Sans 300"/>
        </w:rPr>
        <w:t>s</w:t>
      </w:r>
      <w:r w:rsidRPr="00680914">
        <w:rPr>
          <w:rFonts w:ascii="Museo Sans 300" w:hAnsi="Museo Sans 300"/>
        </w:rPr>
        <w:t xml:space="preserve"> </w:t>
      </w:r>
      <w:r w:rsidR="00CA25D9" w:rsidRPr="00680914">
        <w:rPr>
          <w:rFonts w:ascii="Museo Sans 300" w:hAnsi="Museo Sans 300"/>
        </w:rPr>
        <w:t>que incluya lo siguiente:</w:t>
      </w:r>
      <w:r w:rsidR="00CA25D9" w:rsidRPr="00680914">
        <w:rPr>
          <w:rFonts w:ascii="Museo Sans 300" w:hAnsi="Museo Sans 300"/>
          <w:lang w:val="es-ES_tradnl"/>
        </w:rPr>
        <w:t xml:space="preserve"> </w:t>
      </w:r>
      <w:r w:rsidR="00CA25D9" w:rsidRPr="00680914">
        <w:rPr>
          <w:rFonts w:ascii="Museo Sans 300" w:hAnsi="Museo Sans 300"/>
        </w:rPr>
        <w:t xml:space="preserve">antecedentes, objetivos, ventajas y beneficios al realizar la inversión, proyecciones de negocio de dos años y perspectivas con la </w:t>
      </w:r>
      <w:bookmarkStart w:id="0" w:name="_Hlk99458229"/>
      <w:r w:rsidR="00CA25D9" w:rsidRPr="00680914">
        <w:rPr>
          <w:rFonts w:ascii="Museo Sans 300" w:hAnsi="Museo Sans 300"/>
        </w:rPr>
        <w:t>sociedad u oficina que se constituirá</w:t>
      </w:r>
      <w:bookmarkEnd w:id="0"/>
      <w:r w:rsidR="00573BA6" w:rsidRPr="00680914">
        <w:rPr>
          <w:rFonts w:ascii="Museo Sans 300" w:hAnsi="Museo Sans 300"/>
        </w:rPr>
        <w:t>;</w:t>
      </w:r>
      <w:r w:rsidR="00DD3A85" w:rsidRPr="00680914">
        <w:rPr>
          <w:rFonts w:ascii="Museo Sans 300" w:hAnsi="Museo Sans 300"/>
          <w:szCs w:val="18"/>
        </w:rPr>
        <w:t xml:space="preserve"> (1)</w:t>
      </w:r>
    </w:p>
    <w:p w14:paraId="6D4B8262" w14:textId="25A0E6DC" w:rsidR="002D2136" w:rsidRPr="00680914" w:rsidRDefault="003F4F4C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680914">
        <w:rPr>
          <w:rFonts w:ascii="Museo Sans 300" w:hAnsi="Museo Sans 300"/>
          <w:lang w:val="es-ES_tradnl"/>
        </w:rPr>
        <w:t xml:space="preserve">Listado de los futuros accionistas de la sociedad con su participación accionaria y su vinculación con </w:t>
      </w:r>
      <w:r w:rsidR="0041459D" w:rsidRPr="00680914">
        <w:rPr>
          <w:rFonts w:ascii="Museo Sans 300" w:hAnsi="Museo Sans 300"/>
          <w:lang w:val="es-ES_tradnl"/>
        </w:rPr>
        <w:t xml:space="preserve">los </w:t>
      </w:r>
      <w:r w:rsidR="0041459D" w:rsidRPr="00680914">
        <w:rPr>
          <w:rFonts w:ascii="Museo Sans 300" w:hAnsi="Museo Sans 300"/>
        </w:rPr>
        <w:t>sujetos obligados</w:t>
      </w:r>
      <w:r w:rsidR="00573BA6" w:rsidRPr="00680914">
        <w:rPr>
          <w:rFonts w:ascii="Museo Sans 300" w:hAnsi="Museo Sans 300"/>
        </w:rPr>
        <w:t>;</w:t>
      </w:r>
      <w:r w:rsidR="00D9260A" w:rsidRPr="00680914">
        <w:rPr>
          <w:rFonts w:ascii="Museo Sans 300" w:hAnsi="Museo Sans 300"/>
          <w:lang w:val="es-ES_tradnl"/>
        </w:rPr>
        <w:t xml:space="preserve"> (1)</w:t>
      </w:r>
    </w:p>
    <w:p w14:paraId="65DEEE94" w14:textId="33E3F0F3" w:rsidR="003F4F4C" w:rsidRPr="001112C4" w:rsidRDefault="003F4F4C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641E2D">
        <w:rPr>
          <w:rFonts w:ascii="Museo Sans 300" w:hAnsi="Museo Sans 300"/>
          <w:lang w:val="es-ES_tradnl"/>
        </w:rPr>
        <w:t xml:space="preserve">Cuando se trate de inversiones por más del cincuenta por ciento en acciones comunes de la sociedad, indicar la forma en que </w:t>
      </w:r>
      <w:r w:rsidR="0041459D" w:rsidRPr="00680914">
        <w:rPr>
          <w:rFonts w:ascii="Museo Sans 300" w:hAnsi="Museo Sans 300"/>
          <w:lang w:val="es-ES_tradnl"/>
        </w:rPr>
        <w:t xml:space="preserve">el </w:t>
      </w:r>
      <w:r w:rsidR="0041459D" w:rsidRPr="00680914">
        <w:rPr>
          <w:rFonts w:ascii="Museo Sans 300" w:hAnsi="Museo Sans 300"/>
        </w:rPr>
        <w:t>sujeto obligado</w:t>
      </w:r>
      <w:r w:rsidR="0041459D" w:rsidRPr="00680914">
        <w:rPr>
          <w:rFonts w:ascii="Museo Sans 300" w:hAnsi="Museo Sans 300"/>
          <w:lang w:val="es-ES_tradnl"/>
        </w:rPr>
        <w:t xml:space="preserve"> </w:t>
      </w:r>
      <w:r w:rsidRPr="00680914">
        <w:rPr>
          <w:rFonts w:ascii="Museo Sans 300" w:hAnsi="Museo Sans 300"/>
          <w:lang w:val="es-ES_tradnl"/>
        </w:rPr>
        <w:t xml:space="preserve">prevé dirigir y controlar la gestión de la sociedad, como es el caso de la fijación de políticas y </w:t>
      </w:r>
      <w:r w:rsidRPr="00680914">
        <w:rPr>
          <w:rFonts w:ascii="Museo Sans 300" w:hAnsi="Museo Sans 300"/>
          <w:lang w:val="es-ES_tradnl"/>
        </w:rPr>
        <w:lastRenderedPageBreak/>
        <w:t xml:space="preserve">manejo de riesgos, grado de autonomía, sistemas de control interno, flujos de información previstos, etc. Cuando se trate de inversiones minoritarias tendrá que indicarse los propósitos que </w:t>
      </w:r>
      <w:r w:rsidR="0041459D" w:rsidRPr="00680914">
        <w:rPr>
          <w:rFonts w:ascii="Museo Sans 300" w:hAnsi="Museo Sans 300"/>
          <w:lang w:val="es-ES_tradnl"/>
        </w:rPr>
        <w:t xml:space="preserve">el </w:t>
      </w:r>
      <w:r w:rsidR="0041459D" w:rsidRPr="00680914">
        <w:rPr>
          <w:rFonts w:ascii="Museo Sans 300" w:hAnsi="Museo Sans 300"/>
        </w:rPr>
        <w:t>sujeto obligado</w:t>
      </w:r>
      <w:r w:rsidR="0041459D" w:rsidRPr="001112C4">
        <w:rPr>
          <w:rFonts w:ascii="Museo Sans 300" w:hAnsi="Museo Sans 300"/>
          <w:lang w:val="es-ES_tradnl"/>
        </w:rPr>
        <w:t xml:space="preserve"> </w:t>
      </w:r>
      <w:r w:rsidRPr="001112C4">
        <w:rPr>
          <w:rFonts w:ascii="Museo Sans 300" w:hAnsi="Museo Sans 300"/>
          <w:lang w:val="es-ES_tradnl"/>
        </w:rPr>
        <w:t>persigue al invertir en una sociedad que no controlará</w:t>
      </w:r>
      <w:r w:rsidR="00573BA6">
        <w:rPr>
          <w:rFonts w:ascii="Museo Sans 300" w:hAnsi="Museo Sans 300"/>
          <w:lang w:val="es-ES_tradnl"/>
        </w:rPr>
        <w:t>;</w:t>
      </w:r>
      <w:r w:rsidR="00D9260A" w:rsidRPr="001112C4">
        <w:rPr>
          <w:rFonts w:ascii="Museo Sans 300" w:hAnsi="Museo Sans 300"/>
          <w:lang w:val="es-ES_tradnl"/>
        </w:rPr>
        <w:t xml:space="preserve"> (1)</w:t>
      </w:r>
    </w:p>
    <w:p w14:paraId="34739B6D" w14:textId="5EE39AD9" w:rsidR="003F4F4C" w:rsidRPr="001112C4" w:rsidRDefault="003F4F4C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1112C4">
        <w:rPr>
          <w:rFonts w:ascii="Museo Sans 300" w:hAnsi="Museo Sans 300"/>
          <w:lang w:val="es-ES_tradnl"/>
        </w:rPr>
        <w:t>Presentar solicitud para adquirir acciones en exceso del diez por ciento, para el caso de los accionistas relevantes</w:t>
      </w:r>
      <w:r w:rsidR="00573BA6">
        <w:rPr>
          <w:rFonts w:ascii="Museo Sans 300" w:hAnsi="Museo Sans 300"/>
          <w:lang w:val="es-ES_tradnl"/>
        </w:rPr>
        <w:t>;</w:t>
      </w:r>
    </w:p>
    <w:p w14:paraId="521E8182" w14:textId="2A7F342B" w:rsidR="003F4F4C" w:rsidRPr="001112C4" w:rsidRDefault="003F4F4C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1112C4">
        <w:rPr>
          <w:rFonts w:ascii="Museo Sans 300" w:hAnsi="Museo Sans 300"/>
          <w:lang w:val="es-ES_tradnl"/>
        </w:rPr>
        <w:t>Currículum vitae de los futuros ejecutivos de más alto nivel de la subsidiaria, entendiéndose como tales, el gerente general y los gerentes o subgerentes de áreas o, en todo caso, los que desempeñen cargos equivalentes a los mencionados</w:t>
      </w:r>
      <w:r w:rsidR="00573BA6">
        <w:rPr>
          <w:rFonts w:ascii="Museo Sans 300" w:hAnsi="Museo Sans 300"/>
          <w:lang w:val="es-ES_tradnl"/>
        </w:rPr>
        <w:t>;</w:t>
      </w:r>
    </w:p>
    <w:p w14:paraId="775B3B0E" w14:textId="60672078" w:rsidR="003F4F4C" w:rsidRPr="008656A1" w:rsidRDefault="003F4F4C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 xml:space="preserve">Efecto en el fondo patrimonial </w:t>
      </w:r>
      <w:r w:rsidR="0041459D" w:rsidRPr="008656A1">
        <w:rPr>
          <w:rFonts w:ascii="Museo Sans 300" w:hAnsi="Museo Sans 300"/>
          <w:lang w:val="es-ES_tradnl"/>
        </w:rPr>
        <w:t xml:space="preserve">del </w:t>
      </w:r>
      <w:r w:rsidR="0041459D" w:rsidRPr="008656A1">
        <w:rPr>
          <w:rFonts w:ascii="Museo Sans 300" w:hAnsi="Museo Sans 300"/>
        </w:rPr>
        <w:t>sujeto obligado</w:t>
      </w:r>
      <w:r w:rsidR="0041459D" w:rsidRPr="008656A1">
        <w:rPr>
          <w:rFonts w:ascii="Museo Sans 300" w:hAnsi="Museo Sans 300"/>
          <w:lang w:val="es-ES_tradnl"/>
        </w:rPr>
        <w:t xml:space="preserve"> </w:t>
      </w:r>
      <w:r w:rsidRPr="008656A1">
        <w:rPr>
          <w:rFonts w:ascii="Museo Sans 300" w:hAnsi="Museo Sans 300"/>
          <w:lang w:val="es-ES_tradnl"/>
        </w:rPr>
        <w:t>de la inversión a realizar, tanto en forma individual como consolidada, de conformidad con la Ley de Bancos</w:t>
      </w:r>
      <w:r w:rsidR="0041459D" w:rsidRPr="008656A1">
        <w:rPr>
          <w:rFonts w:ascii="Museo Sans 300" w:hAnsi="Museo Sans 300"/>
          <w:lang w:val="es-ES_tradnl"/>
        </w:rPr>
        <w:t xml:space="preserve"> y la Ley de Bancos Cooperativos y Sociedades de Ahorro y Crédito</w:t>
      </w:r>
      <w:r w:rsidR="00573BA6" w:rsidRPr="008656A1">
        <w:rPr>
          <w:rFonts w:ascii="Museo Sans 300" w:hAnsi="Museo Sans 300"/>
          <w:lang w:val="es-ES_tradnl"/>
        </w:rPr>
        <w:t>;</w:t>
      </w:r>
      <w:r w:rsidR="008F7338" w:rsidRPr="008656A1">
        <w:rPr>
          <w:rFonts w:ascii="Museo Sans 300" w:hAnsi="Museo Sans 300"/>
          <w:lang w:val="es-ES_tradnl"/>
        </w:rPr>
        <w:t xml:space="preserve"> (1)</w:t>
      </w:r>
    </w:p>
    <w:p w14:paraId="6B268E0F" w14:textId="1176FD7F" w:rsidR="008F7338" w:rsidRPr="008656A1" w:rsidRDefault="008F7338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bCs/>
          <w:lang w:val="es-ES_tradnl"/>
        </w:rPr>
      </w:pPr>
      <w:r w:rsidRPr="008656A1">
        <w:rPr>
          <w:rFonts w:ascii="Museo Sans 300" w:hAnsi="Museo Sans 300"/>
          <w:bCs/>
          <w:lang w:val="es-ES_tradnl"/>
        </w:rPr>
        <w:t>Informe emitido por la Unidad de Riesgos, sobre el análisis de los riesgos que se asumirán al hacer la inversión y de las operaciones de la nueva sociedad</w:t>
      </w:r>
      <w:r w:rsidR="00573BA6" w:rsidRPr="008656A1">
        <w:rPr>
          <w:rFonts w:ascii="Museo Sans 300" w:hAnsi="Museo Sans 300"/>
          <w:bCs/>
          <w:lang w:val="es-ES_tradnl"/>
        </w:rPr>
        <w:t>; y</w:t>
      </w:r>
      <w:r w:rsidRPr="008656A1">
        <w:rPr>
          <w:rFonts w:ascii="Museo Sans 300" w:hAnsi="Museo Sans 300"/>
          <w:bCs/>
          <w:lang w:val="es-ES_tradnl"/>
        </w:rPr>
        <w:t xml:space="preserve"> (1)</w:t>
      </w:r>
    </w:p>
    <w:p w14:paraId="4124CA7D" w14:textId="7272FF06" w:rsidR="008F7338" w:rsidRPr="008656A1" w:rsidRDefault="008F7338" w:rsidP="008656A1">
      <w:pPr>
        <w:numPr>
          <w:ilvl w:val="0"/>
          <w:numId w:val="13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bCs/>
          <w:color w:val="FF0000"/>
          <w:lang w:val="es-ES_tradnl"/>
        </w:rPr>
      </w:pPr>
      <w:r w:rsidRPr="008656A1">
        <w:rPr>
          <w:rFonts w:ascii="Museo Sans 300" w:hAnsi="Museo Sans 300"/>
          <w:bCs/>
          <w:lang w:val="es-ES_tradnl"/>
        </w:rPr>
        <w:t xml:space="preserve">Descripción de los </w:t>
      </w:r>
      <w:r w:rsidR="00573BA6" w:rsidRPr="008656A1">
        <w:rPr>
          <w:rFonts w:ascii="Museo Sans 300" w:hAnsi="Museo Sans 300"/>
          <w:bCs/>
          <w:lang w:val="es-ES_tradnl"/>
        </w:rPr>
        <w:t>s</w:t>
      </w:r>
      <w:r w:rsidR="007C7D80" w:rsidRPr="008656A1">
        <w:rPr>
          <w:rFonts w:ascii="Museo Sans 300" w:hAnsi="Museo Sans 300"/>
          <w:bCs/>
          <w:lang w:val="es-ES_tradnl"/>
        </w:rPr>
        <w:t xml:space="preserve">istemas </w:t>
      </w:r>
      <w:r w:rsidR="00B046CB" w:rsidRPr="008656A1">
        <w:rPr>
          <w:rFonts w:ascii="Museo Sans 300" w:hAnsi="Museo Sans 300"/>
          <w:bCs/>
          <w:lang w:val="es-ES_tradnl"/>
        </w:rPr>
        <w:t>o</w:t>
      </w:r>
      <w:r w:rsidR="007C7D80" w:rsidRPr="008656A1">
        <w:rPr>
          <w:rFonts w:ascii="Museo Sans 300" w:hAnsi="Museo Sans 300"/>
          <w:bCs/>
          <w:lang w:val="es-ES_tradnl"/>
        </w:rPr>
        <w:t xml:space="preserve"> </w:t>
      </w:r>
      <w:r w:rsidR="00573BA6" w:rsidRPr="008656A1">
        <w:rPr>
          <w:rFonts w:ascii="Museo Sans 300" w:hAnsi="Museo Sans 300"/>
          <w:bCs/>
          <w:lang w:val="es-ES_tradnl"/>
        </w:rPr>
        <w:t>m</w:t>
      </w:r>
      <w:r w:rsidR="00615DCE" w:rsidRPr="008656A1">
        <w:rPr>
          <w:rFonts w:ascii="Museo Sans 300" w:hAnsi="Museo Sans 300"/>
          <w:bCs/>
          <w:lang w:val="es-ES_tradnl"/>
        </w:rPr>
        <w:t xml:space="preserve">ecanismos </w:t>
      </w:r>
      <w:r w:rsidRPr="008656A1">
        <w:rPr>
          <w:rFonts w:ascii="Museo Sans 300" w:hAnsi="Museo Sans 300"/>
          <w:bCs/>
          <w:lang w:val="es-ES_tradnl"/>
        </w:rPr>
        <w:t xml:space="preserve">de monitoreo relacionados con la </w:t>
      </w:r>
      <w:r w:rsidR="00573BA6" w:rsidRPr="008656A1">
        <w:rPr>
          <w:rFonts w:ascii="Museo Sans 300" w:hAnsi="Museo Sans 300"/>
          <w:bCs/>
          <w:lang w:val="es-ES_tradnl"/>
        </w:rPr>
        <w:t>p</w:t>
      </w:r>
      <w:r w:rsidRPr="008656A1">
        <w:rPr>
          <w:rFonts w:ascii="Museo Sans 300" w:hAnsi="Museo Sans 300"/>
          <w:bCs/>
          <w:lang w:val="es-ES_tradnl"/>
        </w:rPr>
        <w:t xml:space="preserve">revención de </w:t>
      </w:r>
      <w:r w:rsidR="00573BA6" w:rsidRPr="008656A1">
        <w:rPr>
          <w:rFonts w:ascii="Museo Sans 300" w:hAnsi="Museo Sans 300"/>
          <w:bCs/>
          <w:lang w:val="es-ES_tradnl"/>
        </w:rPr>
        <w:t>l</w:t>
      </w:r>
      <w:r w:rsidRPr="008656A1">
        <w:rPr>
          <w:rFonts w:ascii="Museo Sans 300" w:hAnsi="Museo Sans 300"/>
          <w:bCs/>
          <w:lang w:val="es-ES_tradnl"/>
        </w:rPr>
        <w:t xml:space="preserve">avado de </w:t>
      </w:r>
      <w:r w:rsidR="00573BA6" w:rsidRPr="008656A1">
        <w:rPr>
          <w:rFonts w:ascii="Museo Sans 300" w:hAnsi="Museo Sans 300"/>
          <w:bCs/>
          <w:lang w:val="es-ES_tradnl"/>
        </w:rPr>
        <w:t>d</w:t>
      </w:r>
      <w:r w:rsidRPr="008656A1">
        <w:rPr>
          <w:rFonts w:ascii="Museo Sans 300" w:hAnsi="Museo Sans 300"/>
          <w:bCs/>
          <w:lang w:val="es-ES_tradnl"/>
        </w:rPr>
        <w:t xml:space="preserve">inero y </w:t>
      </w:r>
      <w:r w:rsidR="00B050C6" w:rsidRPr="008656A1">
        <w:rPr>
          <w:rFonts w:ascii="Museo Sans 300" w:hAnsi="Museo Sans 300"/>
          <w:bCs/>
          <w:lang w:val="es-ES_tradnl"/>
        </w:rPr>
        <w:t>de</w:t>
      </w:r>
      <w:r w:rsidRPr="008656A1">
        <w:rPr>
          <w:rFonts w:ascii="Museo Sans 300" w:hAnsi="Museo Sans 300"/>
          <w:bCs/>
          <w:lang w:val="es-ES_tradnl"/>
        </w:rPr>
        <w:t xml:space="preserve"> activos</w:t>
      </w:r>
      <w:r w:rsidR="00E92F47" w:rsidRPr="008656A1">
        <w:rPr>
          <w:rFonts w:ascii="Museo Sans 300" w:hAnsi="Museo Sans 300"/>
        </w:rPr>
        <w:t xml:space="preserve">, </w:t>
      </w:r>
      <w:r w:rsidR="00573BA6" w:rsidRPr="008656A1">
        <w:rPr>
          <w:rFonts w:ascii="Museo Sans 300" w:hAnsi="Museo Sans 300"/>
        </w:rPr>
        <w:t>fi</w:t>
      </w:r>
      <w:r w:rsidR="00E92F47" w:rsidRPr="008656A1">
        <w:rPr>
          <w:rFonts w:ascii="Museo Sans 300" w:hAnsi="Museo Sans 300"/>
        </w:rPr>
        <w:t>nancia</w:t>
      </w:r>
      <w:r w:rsidR="0081133F" w:rsidRPr="008656A1">
        <w:rPr>
          <w:rFonts w:ascii="Museo Sans 300" w:hAnsi="Museo Sans 300"/>
        </w:rPr>
        <w:t>ción de</w:t>
      </w:r>
      <w:r w:rsidR="00E92F47" w:rsidRPr="008656A1">
        <w:rPr>
          <w:rFonts w:ascii="Museo Sans 300" w:hAnsi="Museo Sans 300"/>
        </w:rPr>
        <w:t xml:space="preserve">l </w:t>
      </w:r>
      <w:r w:rsidR="00573BA6" w:rsidRPr="008656A1">
        <w:rPr>
          <w:rFonts w:ascii="Museo Sans 300" w:hAnsi="Museo Sans 300"/>
        </w:rPr>
        <w:t>t</w:t>
      </w:r>
      <w:r w:rsidR="00E92F47" w:rsidRPr="008656A1">
        <w:rPr>
          <w:rFonts w:ascii="Museo Sans 300" w:hAnsi="Museo Sans 300"/>
        </w:rPr>
        <w:t xml:space="preserve">errorismo </w:t>
      </w:r>
      <w:r w:rsidR="00CA25D9" w:rsidRPr="008656A1">
        <w:rPr>
          <w:rFonts w:ascii="Museo Sans 300" w:hAnsi="Museo Sans 300"/>
        </w:rPr>
        <w:t xml:space="preserve">y </w:t>
      </w:r>
      <w:r w:rsidR="00573BA6" w:rsidRPr="008656A1">
        <w:rPr>
          <w:rFonts w:ascii="Museo Sans 300" w:hAnsi="Museo Sans 300"/>
        </w:rPr>
        <w:t>f</w:t>
      </w:r>
      <w:r w:rsidR="00CA25D9" w:rsidRPr="008656A1">
        <w:rPr>
          <w:rFonts w:ascii="Museo Sans 300" w:hAnsi="Museo Sans 300"/>
        </w:rPr>
        <w:t>inanciación</w:t>
      </w:r>
      <w:r w:rsidR="00E92F47" w:rsidRPr="008656A1">
        <w:rPr>
          <w:rFonts w:ascii="Museo Sans 300" w:hAnsi="Museo Sans 300"/>
        </w:rPr>
        <w:t xml:space="preserve"> de la proliferación de </w:t>
      </w:r>
      <w:r w:rsidR="00573BA6" w:rsidRPr="008656A1">
        <w:rPr>
          <w:rFonts w:ascii="Museo Sans 300" w:hAnsi="Museo Sans 300"/>
        </w:rPr>
        <w:t>a</w:t>
      </w:r>
      <w:r w:rsidR="00E92F47" w:rsidRPr="008656A1">
        <w:rPr>
          <w:rFonts w:ascii="Museo Sans 300" w:hAnsi="Museo Sans 300"/>
        </w:rPr>
        <w:t xml:space="preserve">rmas de </w:t>
      </w:r>
      <w:r w:rsidR="00573BA6" w:rsidRPr="008656A1">
        <w:rPr>
          <w:rFonts w:ascii="Museo Sans 300" w:hAnsi="Museo Sans 300"/>
        </w:rPr>
        <w:t>d</w:t>
      </w:r>
      <w:r w:rsidR="00E92F47" w:rsidRPr="008656A1">
        <w:rPr>
          <w:rFonts w:ascii="Museo Sans 300" w:hAnsi="Museo Sans 300"/>
        </w:rPr>
        <w:t xml:space="preserve">estrucción </w:t>
      </w:r>
      <w:r w:rsidR="00573BA6" w:rsidRPr="008656A1">
        <w:rPr>
          <w:rFonts w:ascii="Museo Sans 300" w:hAnsi="Museo Sans 300"/>
        </w:rPr>
        <w:t>m</w:t>
      </w:r>
      <w:r w:rsidR="00E92F47" w:rsidRPr="008656A1">
        <w:rPr>
          <w:rFonts w:ascii="Museo Sans 300" w:hAnsi="Museo Sans 300"/>
        </w:rPr>
        <w:t>asiva</w:t>
      </w:r>
      <w:r w:rsidRPr="008656A1">
        <w:rPr>
          <w:rFonts w:ascii="Museo Sans 300" w:hAnsi="Museo Sans 300"/>
          <w:bCs/>
          <w:lang w:val="es-ES_tradnl"/>
        </w:rPr>
        <w:t>. (1)</w:t>
      </w:r>
    </w:p>
    <w:p w14:paraId="0F2C9A6E" w14:textId="77777777" w:rsidR="00D9260A" w:rsidRPr="008656A1" w:rsidRDefault="00D9260A" w:rsidP="008656A1">
      <w:pPr>
        <w:spacing w:after="0" w:line="240" w:lineRule="auto"/>
        <w:ind w:left="425"/>
        <w:jc w:val="both"/>
        <w:rPr>
          <w:rFonts w:ascii="Museo Sans 300" w:hAnsi="Museo Sans 300"/>
          <w:bCs/>
          <w:color w:val="FF0000"/>
          <w:lang w:val="es-ES_tradnl"/>
        </w:rPr>
      </w:pPr>
    </w:p>
    <w:p w14:paraId="5CA849A4" w14:textId="763975CC" w:rsidR="003152DC" w:rsidRPr="008656A1" w:rsidRDefault="003152DC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>La solicitud y documentación podrá ser presentada a través de los medios que ponga a disposición la Superintendencia, los cuales podrán ser electrónicos. En todo caso</w:t>
      </w:r>
      <w:r w:rsidR="00F7175C">
        <w:rPr>
          <w:rFonts w:ascii="Museo Sans 300" w:hAnsi="Museo Sans 300"/>
          <w:lang w:val="es-ES_tradnl"/>
        </w:rPr>
        <w:t>,</w:t>
      </w:r>
      <w:r w:rsidRPr="008656A1">
        <w:rPr>
          <w:rFonts w:ascii="Museo Sans 300" w:hAnsi="Museo Sans 300"/>
          <w:lang w:val="es-ES_tradnl"/>
        </w:rPr>
        <w:t xml:space="preserve"> el plazo a</w:t>
      </w:r>
      <w:r w:rsidR="00F7175C">
        <w:rPr>
          <w:rFonts w:ascii="Museo Sans 300" w:hAnsi="Museo Sans 300"/>
          <w:lang w:val="es-ES_tradnl"/>
        </w:rPr>
        <w:t>l</w:t>
      </w:r>
      <w:r w:rsidRPr="008656A1">
        <w:rPr>
          <w:rFonts w:ascii="Museo Sans 300" w:hAnsi="Museo Sans 300"/>
          <w:lang w:val="es-ES_tradnl"/>
        </w:rPr>
        <w:t xml:space="preserve"> que se refiere el inciso primero del artículo 7 de las presentes Normas empezará a contar a partir del día hábil siguiente de haber presentado la solicitud. (1)</w:t>
      </w:r>
    </w:p>
    <w:p w14:paraId="72610DB2" w14:textId="77777777" w:rsidR="008F7338" w:rsidRPr="001112C4" w:rsidRDefault="008F7338" w:rsidP="008656A1">
      <w:pPr>
        <w:spacing w:after="0" w:line="240" w:lineRule="auto"/>
        <w:rPr>
          <w:rFonts w:ascii="Museo Sans 300" w:hAnsi="Museo Sans 300"/>
          <w:b/>
          <w:lang w:val="es-MX"/>
        </w:rPr>
      </w:pPr>
    </w:p>
    <w:p w14:paraId="41160C40" w14:textId="4BCF7FA7" w:rsidR="003F4F4C" w:rsidRPr="001112C4" w:rsidRDefault="003F4F4C" w:rsidP="008656A1">
      <w:pPr>
        <w:spacing w:after="0" w:line="240" w:lineRule="auto"/>
        <w:rPr>
          <w:rFonts w:ascii="Museo Sans 300" w:hAnsi="Museo Sans 300"/>
          <w:b/>
          <w:lang w:val="es-MX"/>
        </w:rPr>
      </w:pPr>
      <w:r w:rsidRPr="001112C4">
        <w:rPr>
          <w:rFonts w:ascii="Museo Sans 300" w:hAnsi="Museo Sans 300"/>
          <w:b/>
          <w:lang w:val="es-MX"/>
        </w:rPr>
        <w:t>Inversiones en sociedades en marcha</w:t>
      </w:r>
    </w:p>
    <w:p w14:paraId="05E0D603" w14:textId="40AE8A48" w:rsidR="003F4F4C" w:rsidRPr="008656A1" w:rsidRDefault="00DD5D1F" w:rsidP="008656A1">
      <w:pPr>
        <w:spacing w:after="120" w:line="240" w:lineRule="auto"/>
        <w:jc w:val="both"/>
        <w:rPr>
          <w:rFonts w:ascii="Museo Sans 300" w:hAnsi="Museo Sans 300"/>
        </w:rPr>
      </w:pPr>
      <w:r w:rsidRPr="008656A1">
        <w:rPr>
          <w:rFonts w:ascii="Museo Sans 300" w:hAnsi="Museo Sans 300"/>
          <w:b/>
        </w:rPr>
        <w:t>Art. 6.-</w:t>
      </w:r>
      <w:r w:rsidR="003F4F4C" w:rsidRPr="008656A1">
        <w:rPr>
          <w:rFonts w:ascii="Museo Sans 300" w:hAnsi="Museo Sans 300"/>
        </w:rPr>
        <w:t xml:space="preserve"> Los </w:t>
      </w:r>
      <w:bookmarkStart w:id="1" w:name="_Hlk102728056"/>
      <w:r w:rsidR="007F0E96" w:rsidRPr="008656A1">
        <w:rPr>
          <w:rFonts w:ascii="Museo Sans 300" w:hAnsi="Museo Sans 300"/>
        </w:rPr>
        <w:t xml:space="preserve">sujetos obligados </w:t>
      </w:r>
      <w:bookmarkEnd w:id="1"/>
      <w:r w:rsidR="003F4F4C" w:rsidRPr="008656A1">
        <w:rPr>
          <w:rFonts w:ascii="Museo Sans 300" w:hAnsi="Museo Sans 300"/>
        </w:rPr>
        <w:t xml:space="preserve">interesados en invertir en sociedades que se encuentren operando, deberán presentar solicitud </w:t>
      </w:r>
      <w:r w:rsidR="00103E1E" w:rsidRPr="008656A1">
        <w:rPr>
          <w:rFonts w:ascii="Museo Sans 300" w:hAnsi="Museo Sans 300"/>
        </w:rPr>
        <w:t>suscrita</w:t>
      </w:r>
      <w:r w:rsidR="003F4F4C" w:rsidRPr="008656A1">
        <w:rPr>
          <w:rFonts w:ascii="Museo Sans 300" w:hAnsi="Museo Sans 300"/>
        </w:rPr>
        <w:t xml:space="preserve"> por el representante legal y dirigida a</w:t>
      </w:r>
      <w:r w:rsidR="006822E6" w:rsidRPr="008656A1">
        <w:rPr>
          <w:rFonts w:ascii="Museo Sans 300" w:hAnsi="Museo Sans 300"/>
        </w:rPr>
        <w:t xml:space="preserve"> </w:t>
      </w:r>
      <w:r w:rsidR="003F4F4C" w:rsidRPr="008656A1">
        <w:rPr>
          <w:rFonts w:ascii="Museo Sans 300" w:hAnsi="Museo Sans 300"/>
        </w:rPr>
        <w:t>l</w:t>
      </w:r>
      <w:r w:rsidR="006822E6" w:rsidRPr="008656A1">
        <w:rPr>
          <w:rFonts w:ascii="Museo Sans 300" w:hAnsi="Museo Sans 300"/>
        </w:rPr>
        <w:t>a</w:t>
      </w:r>
      <w:r w:rsidR="003F4F4C" w:rsidRPr="008656A1">
        <w:rPr>
          <w:rFonts w:ascii="Museo Sans 300" w:hAnsi="Museo Sans 300"/>
        </w:rPr>
        <w:t xml:space="preserve"> Superintenden</w:t>
      </w:r>
      <w:r w:rsidR="006822E6" w:rsidRPr="008656A1">
        <w:rPr>
          <w:rFonts w:ascii="Museo Sans 300" w:hAnsi="Museo Sans 300"/>
        </w:rPr>
        <w:t>cia</w:t>
      </w:r>
      <w:r w:rsidR="003F4F4C" w:rsidRPr="008656A1">
        <w:rPr>
          <w:rFonts w:ascii="Museo Sans 300" w:hAnsi="Museo Sans 300"/>
        </w:rPr>
        <w:t>, acompañada de la información siguiente:</w:t>
      </w:r>
      <w:r w:rsidR="007F0E96" w:rsidRPr="008656A1">
        <w:rPr>
          <w:rFonts w:ascii="Museo Sans 300" w:hAnsi="Museo Sans 300"/>
        </w:rPr>
        <w:t xml:space="preserve"> (1)</w:t>
      </w:r>
    </w:p>
    <w:p w14:paraId="28164038" w14:textId="0FB99B62" w:rsidR="003F4F4C" w:rsidRPr="008656A1" w:rsidRDefault="003F4F4C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 xml:space="preserve">Certificación del acuerdo de junta general de accionista o de junta directiva, según lo requiere el pacto social </w:t>
      </w:r>
      <w:r w:rsidR="0041459D" w:rsidRPr="008656A1">
        <w:rPr>
          <w:rFonts w:ascii="Museo Sans 300" w:hAnsi="Museo Sans 300"/>
          <w:lang w:val="es-ES_tradnl"/>
        </w:rPr>
        <w:t xml:space="preserve">del </w:t>
      </w:r>
      <w:r w:rsidR="0041459D" w:rsidRPr="008656A1">
        <w:rPr>
          <w:rFonts w:ascii="Museo Sans 300" w:hAnsi="Museo Sans 300"/>
        </w:rPr>
        <w:t>sujeto obligado</w:t>
      </w:r>
      <w:r w:rsidRPr="008656A1">
        <w:rPr>
          <w:rFonts w:ascii="Museo Sans 300" w:hAnsi="Museo Sans 300"/>
          <w:lang w:val="es-ES_tradnl"/>
        </w:rPr>
        <w:t>, en donde se autoriza la inversión</w:t>
      </w:r>
      <w:r w:rsidR="00573BA6" w:rsidRPr="008656A1">
        <w:rPr>
          <w:rFonts w:ascii="Museo Sans 300" w:hAnsi="Museo Sans 300"/>
          <w:lang w:val="es-ES_tradnl"/>
        </w:rPr>
        <w:t>;</w:t>
      </w:r>
      <w:r w:rsidR="00D9260A" w:rsidRPr="008656A1">
        <w:rPr>
          <w:rFonts w:ascii="Museo Sans 300" w:hAnsi="Museo Sans 300"/>
          <w:lang w:val="es-ES_tradnl"/>
        </w:rPr>
        <w:t xml:space="preserve"> (1)</w:t>
      </w:r>
    </w:p>
    <w:p w14:paraId="78AA799C" w14:textId="082F6558" w:rsidR="003F4F4C" w:rsidRPr="008656A1" w:rsidRDefault="003F4F4C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>Escritura de constitución y estatutos de la sociedad en que se invertirá, con sus modificaciones si las hubiere</w:t>
      </w:r>
      <w:r w:rsidR="00573BA6" w:rsidRPr="008656A1">
        <w:rPr>
          <w:rFonts w:ascii="Museo Sans 300" w:hAnsi="Museo Sans 300"/>
          <w:lang w:val="es-ES_tradnl"/>
        </w:rPr>
        <w:t>;</w:t>
      </w:r>
    </w:p>
    <w:p w14:paraId="2C6682A3" w14:textId="46F45A03" w:rsidR="00EB6A49" w:rsidRPr="008656A1" w:rsidRDefault="008852A7" w:rsidP="008656A1">
      <w:pPr>
        <w:pStyle w:val="Prrafodelista"/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sz w:val="22"/>
          <w:szCs w:val="22"/>
        </w:rPr>
        <w:t xml:space="preserve">Plan de negocios </w:t>
      </w:r>
      <w:r w:rsidR="00510D58" w:rsidRPr="008656A1">
        <w:rPr>
          <w:rFonts w:ascii="Museo Sans 300" w:hAnsi="Museo Sans 300"/>
          <w:sz w:val="22"/>
          <w:szCs w:val="22"/>
        </w:rPr>
        <w:t xml:space="preserve">que incluya lo siguiente: antecedentes, objetivos, ventajas y beneficios al realizar la inversión, proyecciones de negocio de dos años y perspectivas con la sociedad u oficina </w:t>
      </w:r>
      <w:r w:rsidR="00EB6A49" w:rsidRPr="008656A1">
        <w:rPr>
          <w:rFonts w:ascii="Museo Sans 300" w:hAnsi="Museo Sans 300"/>
          <w:sz w:val="22"/>
          <w:szCs w:val="22"/>
        </w:rPr>
        <w:t>en el que se invert</w:t>
      </w:r>
      <w:r w:rsidR="0081133F" w:rsidRPr="008656A1">
        <w:rPr>
          <w:rFonts w:ascii="Museo Sans 300" w:hAnsi="Museo Sans 300"/>
          <w:sz w:val="22"/>
          <w:szCs w:val="22"/>
        </w:rPr>
        <w:t>irá</w:t>
      </w:r>
      <w:r w:rsidR="00573BA6" w:rsidRPr="008656A1">
        <w:rPr>
          <w:rFonts w:ascii="Museo Sans 300" w:hAnsi="Museo Sans 300"/>
          <w:sz w:val="22"/>
          <w:szCs w:val="22"/>
        </w:rPr>
        <w:t>;</w:t>
      </w:r>
      <w:r w:rsidR="00EB6A49" w:rsidRPr="008656A1">
        <w:rPr>
          <w:rFonts w:ascii="Museo Sans 300" w:hAnsi="Museo Sans 300"/>
          <w:sz w:val="22"/>
          <w:szCs w:val="22"/>
        </w:rPr>
        <w:t xml:space="preserve"> (1)</w:t>
      </w:r>
    </w:p>
    <w:p w14:paraId="4FA72E05" w14:textId="631893D6" w:rsidR="003F4F4C" w:rsidRPr="008656A1" w:rsidRDefault="003F4F4C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6" w:hanging="426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 xml:space="preserve">Listado de los actuales accionistas de la sociedad con su participación accionaria y su vinculación con </w:t>
      </w:r>
      <w:r w:rsidR="0041459D" w:rsidRPr="008656A1">
        <w:rPr>
          <w:rFonts w:ascii="Museo Sans 300" w:hAnsi="Museo Sans 300"/>
          <w:lang w:val="es-ES_tradnl"/>
        </w:rPr>
        <w:t xml:space="preserve">el </w:t>
      </w:r>
      <w:r w:rsidR="0041459D" w:rsidRPr="008656A1">
        <w:rPr>
          <w:rFonts w:ascii="Museo Sans 300" w:hAnsi="Museo Sans 300"/>
        </w:rPr>
        <w:t>sujeto obligado</w:t>
      </w:r>
      <w:r w:rsidR="00573BA6" w:rsidRPr="008656A1">
        <w:rPr>
          <w:rFonts w:ascii="Museo Sans 300" w:hAnsi="Museo Sans 300"/>
        </w:rPr>
        <w:t>;</w:t>
      </w:r>
      <w:r w:rsidR="00D9260A" w:rsidRPr="008656A1">
        <w:rPr>
          <w:rFonts w:ascii="Museo Sans 300" w:hAnsi="Museo Sans 300"/>
          <w:lang w:val="es-ES_tradnl"/>
        </w:rPr>
        <w:t xml:space="preserve"> (1)</w:t>
      </w:r>
    </w:p>
    <w:p w14:paraId="5B9D5473" w14:textId="0E319A60" w:rsidR="003F4F4C" w:rsidRPr="001112C4" w:rsidRDefault="003F4F4C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6" w:hanging="426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 xml:space="preserve">Cuando se trate de inversiones por más del cincuenta por ciento en acciones comunes de la sociedad, indicar la forma en que </w:t>
      </w:r>
      <w:r w:rsidR="0041459D" w:rsidRPr="008656A1">
        <w:rPr>
          <w:rFonts w:ascii="Museo Sans 300" w:hAnsi="Museo Sans 300"/>
          <w:lang w:val="es-ES_tradnl"/>
        </w:rPr>
        <w:t xml:space="preserve">el </w:t>
      </w:r>
      <w:r w:rsidR="0041459D" w:rsidRPr="008656A1">
        <w:rPr>
          <w:rFonts w:ascii="Museo Sans 300" w:hAnsi="Museo Sans 300"/>
        </w:rPr>
        <w:t>sujeto obligado</w:t>
      </w:r>
      <w:r w:rsidR="0041459D" w:rsidRPr="008656A1">
        <w:rPr>
          <w:rFonts w:ascii="Museo Sans 300" w:hAnsi="Museo Sans 300"/>
          <w:lang w:val="es-ES_tradnl"/>
        </w:rPr>
        <w:t xml:space="preserve"> </w:t>
      </w:r>
      <w:r w:rsidRPr="008656A1">
        <w:rPr>
          <w:rFonts w:ascii="Museo Sans 300" w:hAnsi="Museo Sans 300"/>
          <w:lang w:val="es-ES_tradnl"/>
        </w:rPr>
        <w:t>prevé dirigir y</w:t>
      </w:r>
      <w:r w:rsidRPr="001112C4">
        <w:rPr>
          <w:rFonts w:ascii="Museo Sans 300" w:hAnsi="Museo Sans 300"/>
          <w:lang w:val="es-ES_tradnl"/>
        </w:rPr>
        <w:t xml:space="preserve"> controlar la gestión de la sociedad, como es el caso de la fijación de políticas y manejo de riesgos, grado de autonomía, sistemas de control interno, flujos de información previstos, etc. Cuando se trate de inversiones minoritarias tendrá que indicarse los propósitos que </w:t>
      </w:r>
      <w:r w:rsidR="006942DE">
        <w:rPr>
          <w:rFonts w:ascii="Museo Sans 300" w:hAnsi="Museo Sans 300"/>
          <w:lang w:val="es-ES_tradnl"/>
        </w:rPr>
        <w:t xml:space="preserve">los </w:t>
      </w:r>
      <w:r w:rsidR="006942DE" w:rsidRPr="008656A1">
        <w:rPr>
          <w:rFonts w:ascii="Museo Sans 300" w:hAnsi="Museo Sans 300"/>
        </w:rPr>
        <w:t xml:space="preserve">sujetos obligados </w:t>
      </w:r>
      <w:r w:rsidRPr="001112C4">
        <w:rPr>
          <w:rFonts w:ascii="Museo Sans 300" w:hAnsi="Museo Sans 300"/>
          <w:lang w:val="es-ES_tradnl"/>
        </w:rPr>
        <w:t>persigue</w:t>
      </w:r>
      <w:r w:rsidR="004641A5">
        <w:rPr>
          <w:rFonts w:ascii="Museo Sans 300" w:hAnsi="Museo Sans 300"/>
          <w:lang w:val="es-ES_tradnl"/>
        </w:rPr>
        <w:t>n</w:t>
      </w:r>
      <w:r w:rsidRPr="001112C4">
        <w:rPr>
          <w:rFonts w:ascii="Museo Sans 300" w:hAnsi="Museo Sans 300"/>
          <w:lang w:val="es-ES_tradnl"/>
        </w:rPr>
        <w:t xml:space="preserve"> al invertir en una sociedad que no controlará</w:t>
      </w:r>
      <w:r w:rsidR="00573BA6">
        <w:rPr>
          <w:rFonts w:ascii="Museo Sans 300" w:hAnsi="Museo Sans 300"/>
          <w:lang w:val="es-ES_tradnl"/>
        </w:rPr>
        <w:t>;</w:t>
      </w:r>
      <w:r w:rsidR="00D9260A" w:rsidRPr="001112C4">
        <w:rPr>
          <w:rFonts w:ascii="Museo Sans 300" w:hAnsi="Museo Sans 300"/>
          <w:lang w:val="es-ES_tradnl"/>
        </w:rPr>
        <w:t xml:space="preserve"> (1)</w:t>
      </w:r>
    </w:p>
    <w:p w14:paraId="3DBDA96D" w14:textId="100CED11" w:rsidR="003F4F4C" w:rsidRPr="001112C4" w:rsidRDefault="003F4F4C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6" w:hanging="426"/>
        <w:jc w:val="both"/>
        <w:rPr>
          <w:rFonts w:ascii="Museo Sans 300" w:hAnsi="Museo Sans 300"/>
          <w:lang w:val="es-ES_tradnl"/>
        </w:rPr>
      </w:pPr>
      <w:r w:rsidRPr="001112C4">
        <w:rPr>
          <w:rFonts w:ascii="Museo Sans 300" w:hAnsi="Museo Sans 300"/>
          <w:lang w:val="es-ES_tradnl"/>
        </w:rPr>
        <w:lastRenderedPageBreak/>
        <w:t>Currículum vitae de los futuros ejecutivos de más alto nivel de la subsidiaria, entendiéndose como tales, el gerente general y los gerentes o subgerentes de áreas o, en todo caso, los que desempeñen cargos equivalentes a los mencionados</w:t>
      </w:r>
      <w:r w:rsidR="00573BA6">
        <w:rPr>
          <w:rFonts w:ascii="Museo Sans 300" w:hAnsi="Museo Sans 300"/>
          <w:lang w:val="es-ES_tradnl"/>
        </w:rPr>
        <w:t>;</w:t>
      </w:r>
    </w:p>
    <w:p w14:paraId="301998C9" w14:textId="2C484369" w:rsidR="003F4F4C" w:rsidRPr="008656A1" w:rsidRDefault="003F4F4C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6" w:hanging="426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 xml:space="preserve">Efecto en el patrimonio </w:t>
      </w:r>
      <w:r w:rsidR="0041459D" w:rsidRPr="008656A1">
        <w:rPr>
          <w:rFonts w:ascii="Museo Sans 300" w:hAnsi="Museo Sans 300"/>
          <w:lang w:val="es-ES_tradnl"/>
        </w:rPr>
        <w:t xml:space="preserve">del </w:t>
      </w:r>
      <w:r w:rsidR="0041459D" w:rsidRPr="008656A1">
        <w:rPr>
          <w:rFonts w:ascii="Museo Sans 300" w:hAnsi="Museo Sans 300"/>
        </w:rPr>
        <w:t>sujeto obligado</w:t>
      </w:r>
      <w:r w:rsidR="0041459D" w:rsidRPr="008656A1">
        <w:rPr>
          <w:rFonts w:ascii="Museo Sans 300" w:hAnsi="Museo Sans 300"/>
          <w:lang w:val="es-ES_tradnl"/>
        </w:rPr>
        <w:t xml:space="preserve"> </w:t>
      </w:r>
      <w:r w:rsidRPr="008656A1">
        <w:rPr>
          <w:rFonts w:ascii="Museo Sans 300" w:hAnsi="Museo Sans 300"/>
          <w:lang w:val="es-ES_tradnl"/>
        </w:rPr>
        <w:t>de la inversión a realizar, tanto en forma individual como consolidada, de conformidad con la Ley de Bancos</w:t>
      </w:r>
      <w:r w:rsidR="003B6AE2" w:rsidRPr="008656A1">
        <w:rPr>
          <w:rFonts w:ascii="Museo Sans 300" w:hAnsi="Museo Sans 300"/>
          <w:lang w:val="es-ES_tradnl"/>
        </w:rPr>
        <w:t xml:space="preserve"> y la Ley de Bancos Cooperativos y Sociedades de Ahorro y Crédito</w:t>
      </w:r>
      <w:r w:rsidR="00573BA6" w:rsidRPr="008656A1">
        <w:rPr>
          <w:rFonts w:ascii="Museo Sans 300" w:hAnsi="Museo Sans 300"/>
          <w:lang w:val="es-ES_tradnl"/>
        </w:rPr>
        <w:t>;</w:t>
      </w:r>
      <w:r w:rsidR="008F7338" w:rsidRPr="008656A1">
        <w:rPr>
          <w:rFonts w:ascii="Museo Sans 300" w:hAnsi="Museo Sans 300"/>
          <w:lang w:val="es-ES_tradnl"/>
        </w:rPr>
        <w:t xml:space="preserve"> (1)</w:t>
      </w:r>
    </w:p>
    <w:p w14:paraId="610716DB" w14:textId="4990C323" w:rsidR="003F4F4C" w:rsidRPr="008656A1" w:rsidRDefault="003F4F4C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6" w:hanging="426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>Estados financieros auditados de los dos últimos años con los informes del auditor externo</w:t>
      </w:r>
      <w:r w:rsidR="00573BA6" w:rsidRPr="008656A1">
        <w:rPr>
          <w:rFonts w:ascii="Museo Sans 300" w:hAnsi="Museo Sans 300"/>
          <w:lang w:val="es-ES_tradnl"/>
        </w:rPr>
        <w:t>;</w:t>
      </w:r>
    </w:p>
    <w:p w14:paraId="6804C678" w14:textId="427FCE41" w:rsidR="003F4F4C" w:rsidRPr="008656A1" w:rsidRDefault="003F4F4C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6" w:hanging="426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>Precio ofertado de las acciones y los posibles vendedores</w:t>
      </w:r>
      <w:r w:rsidR="00573BA6" w:rsidRPr="008656A1">
        <w:rPr>
          <w:rFonts w:ascii="Museo Sans 300" w:hAnsi="Museo Sans 300"/>
          <w:lang w:val="es-ES_tradnl"/>
        </w:rPr>
        <w:t>;</w:t>
      </w:r>
    </w:p>
    <w:p w14:paraId="2D19BD7F" w14:textId="00352F18" w:rsidR="008F7338" w:rsidRPr="008656A1" w:rsidRDefault="008F7338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6" w:hanging="426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 xml:space="preserve">Informe emitido por la </w:t>
      </w:r>
      <w:r w:rsidR="00573BA6" w:rsidRPr="008656A1">
        <w:rPr>
          <w:rFonts w:ascii="Museo Sans 300" w:hAnsi="Museo Sans 300"/>
          <w:lang w:val="es-ES_tradnl"/>
        </w:rPr>
        <w:t>u</w:t>
      </w:r>
      <w:r w:rsidRPr="008656A1">
        <w:rPr>
          <w:rFonts w:ascii="Museo Sans 300" w:hAnsi="Museo Sans 300"/>
          <w:lang w:val="es-ES_tradnl"/>
        </w:rPr>
        <w:t xml:space="preserve">nidad de </w:t>
      </w:r>
      <w:r w:rsidR="00573BA6" w:rsidRPr="008656A1">
        <w:rPr>
          <w:rFonts w:ascii="Museo Sans 300" w:hAnsi="Museo Sans 300"/>
          <w:lang w:val="es-ES_tradnl"/>
        </w:rPr>
        <w:t>r</w:t>
      </w:r>
      <w:r w:rsidRPr="008656A1">
        <w:rPr>
          <w:rFonts w:ascii="Museo Sans 300" w:hAnsi="Museo Sans 300"/>
          <w:lang w:val="es-ES_tradnl"/>
        </w:rPr>
        <w:t>iesgos, sobre el análisis de los riesgos que se asumirán al hacer la inversión y de las operaciones que realiza la sociedad</w:t>
      </w:r>
      <w:r w:rsidR="00573BA6" w:rsidRPr="008656A1">
        <w:rPr>
          <w:rFonts w:ascii="Museo Sans 300" w:hAnsi="Museo Sans 300"/>
          <w:lang w:val="es-ES_tradnl"/>
        </w:rPr>
        <w:t>; y</w:t>
      </w:r>
      <w:r w:rsidRPr="008656A1">
        <w:rPr>
          <w:rFonts w:ascii="Museo Sans 300" w:hAnsi="Museo Sans 300"/>
          <w:lang w:val="es-ES_tradnl"/>
        </w:rPr>
        <w:t xml:space="preserve"> (1)</w:t>
      </w:r>
    </w:p>
    <w:p w14:paraId="4F878043" w14:textId="16F8A4C6" w:rsidR="008F7338" w:rsidRPr="008656A1" w:rsidRDefault="008F7338" w:rsidP="008656A1">
      <w:pPr>
        <w:numPr>
          <w:ilvl w:val="0"/>
          <w:numId w:val="12"/>
        </w:numPr>
        <w:tabs>
          <w:tab w:val="clear" w:pos="720"/>
          <w:tab w:val="num" w:pos="-2127"/>
        </w:tabs>
        <w:spacing w:after="0" w:line="240" w:lineRule="auto"/>
        <w:ind w:left="426" w:hanging="426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>Descripción de los</w:t>
      </w:r>
      <w:r w:rsidR="007C7D80" w:rsidRPr="008656A1">
        <w:rPr>
          <w:rFonts w:ascii="Museo Sans 300" w:hAnsi="Museo Sans 300"/>
          <w:lang w:val="es-ES_tradnl"/>
        </w:rPr>
        <w:t xml:space="preserve"> </w:t>
      </w:r>
      <w:r w:rsidR="00573BA6" w:rsidRPr="008656A1">
        <w:rPr>
          <w:rFonts w:ascii="Museo Sans 300" w:hAnsi="Museo Sans 300"/>
          <w:lang w:val="es-ES_tradnl"/>
        </w:rPr>
        <w:t>s</w:t>
      </w:r>
      <w:r w:rsidR="007C7D80" w:rsidRPr="008656A1">
        <w:rPr>
          <w:rFonts w:ascii="Museo Sans 300" w:hAnsi="Museo Sans 300"/>
          <w:lang w:val="es-ES_tradnl"/>
        </w:rPr>
        <w:t xml:space="preserve">istemas </w:t>
      </w:r>
      <w:r w:rsidR="007A0299" w:rsidRPr="008656A1">
        <w:rPr>
          <w:rFonts w:ascii="Museo Sans 300" w:hAnsi="Museo Sans 300"/>
          <w:lang w:val="es-ES_tradnl"/>
        </w:rPr>
        <w:t>o</w:t>
      </w:r>
      <w:r w:rsidR="007C7D80" w:rsidRPr="008656A1">
        <w:rPr>
          <w:rFonts w:ascii="Museo Sans 300" w:hAnsi="Museo Sans 300"/>
          <w:lang w:val="es-ES_tradnl"/>
        </w:rPr>
        <w:t xml:space="preserve"> </w:t>
      </w:r>
      <w:r w:rsidR="00573BA6" w:rsidRPr="008656A1">
        <w:rPr>
          <w:rFonts w:ascii="Museo Sans 300" w:hAnsi="Museo Sans 300"/>
          <w:lang w:val="es-ES_tradnl"/>
        </w:rPr>
        <w:t>m</w:t>
      </w:r>
      <w:r w:rsidR="00615DCE" w:rsidRPr="008656A1">
        <w:rPr>
          <w:rFonts w:ascii="Museo Sans 300" w:hAnsi="Museo Sans 300"/>
          <w:lang w:val="es-ES_tradnl"/>
        </w:rPr>
        <w:t>ecanismos</w:t>
      </w:r>
      <w:r w:rsidRPr="008656A1">
        <w:rPr>
          <w:rFonts w:ascii="Museo Sans 300" w:hAnsi="Museo Sans 300"/>
          <w:lang w:val="es-ES_tradnl"/>
        </w:rPr>
        <w:t xml:space="preserve"> de monitoreo relacionados con la </w:t>
      </w:r>
      <w:r w:rsidR="00573BA6" w:rsidRPr="008656A1">
        <w:rPr>
          <w:rFonts w:ascii="Museo Sans 300" w:hAnsi="Museo Sans 300"/>
          <w:lang w:val="es-ES_tradnl"/>
        </w:rPr>
        <w:t>p</w:t>
      </w:r>
      <w:r w:rsidRPr="008656A1">
        <w:rPr>
          <w:rFonts w:ascii="Museo Sans 300" w:hAnsi="Museo Sans 300"/>
          <w:lang w:val="es-ES_tradnl"/>
        </w:rPr>
        <w:t xml:space="preserve">revención de </w:t>
      </w:r>
      <w:r w:rsidR="00573BA6" w:rsidRPr="008656A1">
        <w:rPr>
          <w:rFonts w:ascii="Museo Sans 300" w:hAnsi="Museo Sans 300"/>
          <w:lang w:val="es-ES_tradnl"/>
        </w:rPr>
        <w:t>l</w:t>
      </w:r>
      <w:r w:rsidRPr="008656A1">
        <w:rPr>
          <w:rFonts w:ascii="Museo Sans 300" w:hAnsi="Museo Sans 300"/>
          <w:lang w:val="es-ES_tradnl"/>
        </w:rPr>
        <w:t xml:space="preserve">avado de </w:t>
      </w:r>
      <w:r w:rsidR="00573BA6" w:rsidRPr="008656A1">
        <w:rPr>
          <w:rFonts w:ascii="Museo Sans 300" w:hAnsi="Museo Sans 300"/>
          <w:lang w:val="es-ES_tradnl"/>
        </w:rPr>
        <w:t>d</w:t>
      </w:r>
      <w:r w:rsidRPr="008656A1">
        <w:rPr>
          <w:rFonts w:ascii="Museo Sans 300" w:hAnsi="Museo Sans 300"/>
          <w:lang w:val="es-ES_tradnl"/>
        </w:rPr>
        <w:t xml:space="preserve">inero y </w:t>
      </w:r>
      <w:r w:rsidR="00D43520" w:rsidRPr="008656A1">
        <w:rPr>
          <w:rFonts w:ascii="Museo Sans 300" w:hAnsi="Museo Sans 300"/>
          <w:lang w:val="es-ES_tradnl"/>
        </w:rPr>
        <w:t>de</w:t>
      </w:r>
      <w:r w:rsidR="0081133F" w:rsidRPr="008656A1">
        <w:rPr>
          <w:rFonts w:ascii="Museo Sans 300" w:hAnsi="Museo Sans 300"/>
        </w:rPr>
        <w:t xml:space="preserve"> </w:t>
      </w:r>
      <w:r w:rsidR="00573BA6" w:rsidRPr="008656A1">
        <w:rPr>
          <w:rFonts w:ascii="Museo Sans 300" w:hAnsi="Museo Sans 300"/>
        </w:rPr>
        <w:t>f</w:t>
      </w:r>
      <w:r w:rsidR="0081133F" w:rsidRPr="008656A1">
        <w:rPr>
          <w:rFonts w:ascii="Museo Sans 300" w:hAnsi="Museo Sans 300"/>
        </w:rPr>
        <w:t xml:space="preserve">inanciación del </w:t>
      </w:r>
      <w:r w:rsidR="00573BA6" w:rsidRPr="008656A1">
        <w:rPr>
          <w:rFonts w:ascii="Museo Sans 300" w:hAnsi="Museo Sans 300"/>
        </w:rPr>
        <w:t>t</w:t>
      </w:r>
      <w:r w:rsidR="0081133F" w:rsidRPr="008656A1">
        <w:rPr>
          <w:rFonts w:ascii="Museo Sans 300" w:hAnsi="Museo Sans 300"/>
        </w:rPr>
        <w:t xml:space="preserve">errorismo </w:t>
      </w:r>
      <w:r w:rsidR="00510D58" w:rsidRPr="008656A1">
        <w:rPr>
          <w:rFonts w:ascii="Museo Sans 300" w:hAnsi="Museo Sans 300"/>
        </w:rPr>
        <w:t xml:space="preserve">y </w:t>
      </w:r>
      <w:r w:rsidR="00573BA6" w:rsidRPr="008656A1">
        <w:rPr>
          <w:rFonts w:ascii="Museo Sans 300" w:hAnsi="Museo Sans 300"/>
        </w:rPr>
        <w:t>f</w:t>
      </w:r>
      <w:r w:rsidR="00510D58" w:rsidRPr="008656A1">
        <w:rPr>
          <w:rFonts w:ascii="Museo Sans 300" w:hAnsi="Museo Sans 300"/>
        </w:rPr>
        <w:t>inanciación</w:t>
      </w:r>
      <w:r w:rsidR="0081133F" w:rsidRPr="008656A1">
        <w:rPr>
          <w:rFonts w:ascii="Museo Sans 300" w:hAnsi="Museo Sans 300"/>
        </w:rPr>
        <w:t xml:space="preserve"> de la proliferación de </w:t>
      </w:r>
      <w:r w:rsidR="00573BA6" w:rsidRPr="008656A1">
        <w:rPr>
          <w:rFonts w:ascii="Museo Sans 300" w:hAnsi="Museo Sans 300"/>
        </w:rPr>
        <w:t>a</w:t>
      </w:r>
      <w:r w:rsidR="0081133F" w:rsidRPr="008656A1">
        <w:rPr>
          <w:rFonts w:ascii="Museo Sans 300" w:hAnsi="Museo Sans 300"/>
        </w:rPr>
        <w:t xml:space="preserve">rmas de </w:t>
      </w:r>
      <w:r w:rsidR="00573BA6" w:rsidRPr="008656A1">
        <w:rPr>
          <w:rFonts w:ascii="Museo Sans 300" w:hAnsi="Museo Sans 300"/>
        </w:rPr>
        <w:t>d</w:t>
      </w:r>
      <w:r w:rsidR="0081133F" w:rsidRPr="008656A1">
        <w:rPr>
          <w:rFonts w:ascii="Museo Sans 300" w:hAnsi="Museo Sans 300"/>
        </w:rPr>
        <w:t xml:space="preserve">estrucción </w:t>
      </w:r>
      <w:r w:rsidR="00573BA6" w:rsidRPr="008656A1">
        <w:rPr>
          <w:rFonts w:ascii="Museo Sans 300" w:hAnsi="Museo Sans 300"/>
        </w:rPr>
        <w:t>m</w:t>
      </w:r>
      <w:r w:rsidR="0081133F" w:rsidRPr="008656A1">
        <w:rPr>
          <w:rFonts w:ascii="Museo Sans 300" w:hAnsi="Museo Sans 300"/>
        </w:rPr>
        <w:t>asiva</w:t>
      </w:r>
      <w:r w:rsidRPr="008656A1">
        <w:rPr>
          <w:rFonts w:ascii="Museo Sans 300" w:hAnsi="Museo Sans 300"/>
          <w:lang w:val="es-ES_tradnl"/>
        </w:rPr>
        <w:t>. (1)</w:t>
      </w:r>
    </w:p>
    <w:p w14:paraId="762C27A5" w14:textId="77777777" w:rsidR="00D9260A" w:rsidRPr="008656A1" w:rsidRDefault="00D9260A" w:rsidP="008656A1">
      <w:pPr>
        <w:spacing w:after="0" w:line="240" w:lineRule="auto"/>
        <w:ind w:left="426"/>
        <w:jc w:val="both"/>
        <w:rPr>
          <w:rFonts w:ascii="Museo Sans 300" w:hAnsi="Museo Sans 300"/>
          <w:lang w:val="es-ES_tradnl"/>
        </w:rPr>
      </w:pPr>
    </w:p>
    <w:p w14:paraId="750FC792" w14:textId="70F30C51" w:rsidR="00EB6A49" w:rsidRPr="008656A1" w:rsidRDefault="00EB6A49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>Si las sociedades en que se realizará la inversión son integrantes del sistema financiero</w:t>
      </w:r>
      <w:r w:rsidR="00573BA6" w:rsidRPr="008656A1">
        <w:rPr>
          <w:rFonts w:ascii="Museo Sans 300" w:hAnsi="Museo Sans 300"/>
          <w:lang w:val="es-ES_tradnl"/>
        </w:rPr>
        <w:t>,</w:t>
      </w:r>
      <w:r w:rsidRPr="008656A1">
        <w:rPr>
          <w:rFonts w:ascii="Museo Sans 300" w:hAnsi="Museo Sans 300"/>
          <w:lang w:val="es-ES_tradnl"/>
        </w:rPr>
        <w:t xml:space="preserve"> se except</w:t>
      </w:r>
      <w:r w:rsidR="00573BA6" w:rsidRPr="008656A1">
        <w:rPr>
          <w:rFonts w:ascii="Museo Sans 300" w:hAnsi="Museo Sans 300"/>
          <w:lang w:val="es-ES_tradnl"/>
        </w:rPr>
        <w:t>uará</w:t>
      </w:r>
      <w:r w:rsidRPr="008656A1">
        <w:rPr>
          <w:rFonts w:ascii="Museo Sans 300" w:hAnsi="Museo Sans 300"/>
          <w:lang w:val="es-ES_tradnl"/>
        </w:rPr>
        <w:t xml:space="preserve"> la presentación de los requisitos establecidos en los literales b), d), f) y h) del presente artículo.</w:t>
      </w:r>
      <w:r w:rsidR="009E693F" w:rsidRPr="008656A1">
        <w:rPr>
          <w:rFonts w:ascii="Museo Sans 300" w:hAnsi="Museo Sans 300"/>
          <w:lang w:val="es-ES_tradnl"/>
        </w:rPr>
        <w:t xml:space="preserve"> (1)</w:t>
      </w:r>
    </w:p>
    <w:p w14:paraId="68E08D73" w14:textId="02A0DA40" w:rsidR="00EB6A49" w:rsidRPr="001112C4" w:rsidRDefault="00EB6A49" w:rsidP="008656A1">
      <w:pPr>
        <w:spacing w:after="0" w:line="240" w:lineRule="auto"/>
        <w:jc w:val="both"/>
        <w:rPr>
          <w:rFonts w:ascii="Museo Sans 300" w:hAnsi="Museo Sans 300"/>
          <w:i/>
          <w:iCs/>
          <w:u w:val="single"/>
          <w:lang w:val="es-ES_tradnl"/>
        </w:rPr>
      </w:pPr>
    </w:p>
    <w:p w14:paraId="6FE17036" w14:textId="31279746" w:rsidR="00A23606" w:rsidRPr="008656A1" w:rsidRDefault="00B50714" w:rsidP="008656A1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  <w:r w:rsidRPr="008656A1">
        <w:rPr>
          <w:rFonts w:ascii="Museo Sans 300" w:hAnsi="Museo Sans 300"/>
          <w:b/>
          <w:bCs/>
          <w:lang w:val="es-ES_tradnl"/>
        </w:rPr>
        <w:t>Aumentos de participación</w:t>
      </w:r>
      <w:r w:rsidR="009E693F" w:rsidRPr="008656A1">
        <w:rPr>
          <w:rFonts w:ascii="Museo Sans 300" w:hAnsi="Museo Sans 300"/>
          <w:b/>
          <w:bCs/>
          <w:lang w:val="es-ES_tradnl"/>
        </w:rPr>
        <w:t xml:space="preserve"> accionaria (1)</w:t>
      </w:r>
    </w:p>
    <w:p w14:paraId="1A14B2F2" w14:textId="3E943700" w:rsidR="009E693F" w:rsidRPr="008656A1" w:rsidRDefault="009E693F" w:rsidP="008656A1">
      <w:pPr>
        <w:spacing w:after="120" w:line="240" w:lineRule="auto"/>
        <w:jc w:val="both"/>
        <w:rPr>
          <w:rFonts w:ascii="Museo Sans 300" w:hAnsi="Museo Sans 300"/>
        </w:rPr>
      </w:pPr>
      <w:r w:rsidRPr="008656A1">
        <w:rPr>
          <w:rFonts w:ascii="Museo Sans 300" w:hAnsi="Museo Sans 300"/>
          <w:b/>
          <w:bCs/>
        </w:rPr>
        <w:t>Art. 6-A.-</w:t>
      </w:r>
      <w:r w:rsidRPr="008656A1">
        <w:rPr>
          <w:rFonts w:ascii="Museo Sans 300" w:hAnsi="Museo Sans 300"/>
        </w:rPr>
        <w:t xml:space="preserve"> Los sujetos obligados interesados en </w:t>
      </w:r>
      <w:r w:rsidRPr="008656A1">
        <w:rPr>
          <w:rFonts w:ascii="Museo Sans 300" w:hAnsi="Museo Sans 300"/>
          <w:lang w:val="es-ES_tradnl"/>
        </w:rPr>
        <w:t xml:space="preserve">aumentar su participación accionaria posterior a la inicial, y que sumados no pasen del 50% de propiedad accionaria, </w:t>
      </w:r>
      <w:r w:rsidRPr="008656A1">
        <w:rPr>
          <w:rFonts w:ascii="Museo Sans 300" w:hAnsi="Museo Sans 300"/>
        </w:rPr>
        <w:t>deberán presentar solicitud suscrita por el representante legal y dirigida a la Superintendencia, acompañada de la información siguiente: (1)</w:t>
      </w:r>
    </w:p>
    <w:p w14:paraId="7142EA78" w14:textId="0AB6ED29" w:rsidR="005F574D" w:rsidRPr="008656A1" w:rsidRDefault="005F574D" w:rsidP="008656A1">
      <w:pPr>
        <w:pStyle w:val="Prrafodelista"/>
        <w:numPr>
          <w:ilvl w:val="0"/>
          <w:numId w:val="16"/>
        </w:numPr>
        <w:jc w:val="both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sz w:val="22"/>
          <w:szCs w:val="22"/>
        </w:rPr>
        <w:t>Carta solicitud de autorización de aumento de participación accionaria, indicando el tipo de inversión (conjunta o minoritaria)</w:t>
      </w:r>
      <w:r w:rsidR="00A23606" w:rsidRPr="008656A1">
        <w:rPr>
          <w:rFonts w:ascii="Museo Sans 300" w:hAnsi="Museo Sans 300"/>
          <w:sz w:val="22"/>
          <w:szCs w:val="22"/>
        </w:rPr>
        <w:t>,</w:t>
      </w:r>
      <w:r w:rsidRPr="008656A1">
        <w:rPr>
          <w:rFonts w:ascii="Museo Sans 300" w:hAnsi="Museo Sans 300"/>
          <w:sz w:val="22"/>
          <w:szCs w:val="22"/>
        </w:rPr>
        <w:t xml:space="preserve"> monto de la inversión a realizar, porcentaje accionario actual y el proyectado con el aumento de la inversión, mención de quienes son los ofertantes de las acciones si aplica</w:t>
      </w:r>
      <w:r w:rsidR="00A23606" w:rsidRPr="008656A1">
        <w:rPr>
          <w:rFonts w:ascii="Museo Sans 300" w:hAnsi="Museo Sans 300"/>
          <w:sz w:val="22"/>
          <w:szCs w:val="22"/>
        </w:rPr>
        <w:t>,</w:t>
      </w:r>
      <w:r w:rsidRPr="008656A1">
        <w:rPr>
          <w:rFonts w:ascii="Museo Sans 300" w:hAnsi="Museo Sans 300"/>
          <w:sz w:val="22"/>
          <w:szCs w:val="22"/>
        </w:rPr>
        <w:t xml:space="preserve"> y el origen de los fondos para la inversión cuando se trate de compra de acciones; </w:t>
      </w:r>
      <w:r w:rsidR="00857D36" w:rsidRPr="008656A1">
        <w:rPr>
          <w:rFonts w:ascii="Museo Sans 300" w:hAnsi="Museo Sans 300"/>
          <w:sz w:val="22"/>
          <w:szCs w:val="22"/>
        </w:rPr>
        <w:t>(1)</w:t>
      </w:r>
    </w:p>
    <w:p w14:paraId="2F29E79E" w14:textId="181E3BAF" w:rsidR="005F574D" w:rsidRPr="008656A1" w:rsidRDefault="005F574D" w:rsidP="008656A1">
      <w:pPr>
        <w:pStyle w:val="Prrafodelista"/>
        <w:numPr>
          <w:ilvl w:val="0"/>
          <w:numId w:val="16"/>
        </w:numPr>
        <w:jc w:val="both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sz w:val="22"/>
          <w:szCs w:val="22"/>
        </w:rPr>
        <w:t xml:space="preserve">Certificación del acuerdo de Junta General de Accionistas o del Órgano </w:t>
      </w:r>
      <w:proofErr w:type="gramStart"/>
      <w:r w:rsidRPr="008656A1">
        <w:rPr>
          <w:rFonts w:ascii="Museo Sans 300" w:hAnsi="Museo Sans 300"/>
          <w:sz w:val="22"/>
          <w:szCs w:val="22"/>
        </w:rPr>
        <w:t>Director</w:t>
      </w:r>
      <w:proofErr w:type="gramEnd"/>
      <w:r w:rsidRPr="008656A1">
        <w:rPr>
          <w:rFonts w:ascii="Museo Sans 300" w:hAnsi="Museo Sans 300"/>
          <w:sz w:val="22"/>
          <w:szCs w:val="22"/>
        </w:rPr>
        <w:t>, según lo requiere el pacto social, en donde se autoriza la inversión; y</w:t>
      </w:r>
      <w:r w:rsidR="00857D36" w:rsidRPr="008656A1">
        <w:rPr>
          <w:rFonts w:ascii="Museo Sans 300" w:hAnsi="Museo Sans 300"/>
          <w:sz w:val="22"/>
          <w:szCs w:val="22"/>
        </w:rPr>
        <w:t xml:space="preserve"> (1)</w:t>
      </w:r>
    </w:p>
    <w:p w14:paraId="75A77322" w14:textId="7E2C1B1F" w:rsidR="005F574D" w:rsidRPr="008656A1" w:rsidRDefault="008852A7" w:rsidP="008656A1">
      <w:pPr>
        <w:pStyle w:val="Prrafodelista"/>
        <w:numPr>
          <w:ilvl w:val="0"/>
          <w:numId w:val="16"/>
        </w:numPr>
        <w:jc w:val="both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sz w:val="22"/>
          <w:szCs w:val="22"/>
        </w:rPr>
        <w:t xml:space="preserve">Plan de negocios </w:t>
      </w:r>
      <w:r w:rsidR="00857D36" w:rsidRPr="008656A1">
        <w:rPr>
          <w:rFonts w:ascii="Museo Sans 300" w:hAnsi="Museo Sans 300"/>
          <w:sz w:val="22"/>
          <w:szCs w:val="22"/>
        </w:rPr>
        <w:t>que incluya lo siguiente: antecedentes, objetivos, ventajas y beneficios al realizar la inversión, proyecciones de negocio de dos años y perspectivas con la sociedad u oficina en el que se invertirá</w:t>
      </w:r>
      <w:r w:rsidR="005F574D" w:rsidRPr="008656A1">
        <w:rPr>
          <w:rFonts w:ascii="Museo Sans 300" w:hAnsi="Museo Sans 300"/>
          <w:sz w:val="22"/>
          <w:szCs w:val="22"/>
        </w:rPr>
        <w:t>; se exime este requisito cuando el aumento en la propiedad accionaria sea mediante capitalización de utilidades.</w:t>
      </w:r>
      <w:r w:rsidR="00857D36" w:rsidRPr="008656A1">
        <w:rPr>
          <w:rFonts w:ascii="Museo Sans 300" w:hAnsi="Museo Sans 300"/>
          <w:sz w:val="22"/>
          <w:szCs w:val="22"/>
        </w:rPr>
        <w:t xml:space="preserve"> (1)</w:t>
      </w:r>
    </w:p>
    <w:p w14:paraId="33F8DE48" w14:textId="039982C2" w:rsidR="005F574D" w:rsidRPr="008656A1" w:rsidRDefault="005F574D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D743E9B" w14:textId="0AF99543" w:rsidR="005F574D" w:rsidRPr="008656A1" w:rsidRDefault="005F574D" w:rsidP="008656A1">
      <w:pPr>
        <w:spacing w:after="0" w:line="240" w:lineRule="auto"/>
        <w:jc w:val="both"/>
        <w:rPr>
          <w:rFonts w:ascii="Museo Sans 300" w:hAnsi="Museo Sans 300"/>
          <w:lang w:eastAsia="es-SV"/>
        </w:rPr>
      </w:pPr>
      <w:r w:rsidRPr="008656A1">
        <w:rPr>
          <w:rFonts w:ascii="Museo Sans 300" w:hAnsi="Museo Sans 300"/>
          <w:lang w:val="es-ES_tradnl"/>
        </w:rPr>
        <w:t>Lo anterior, aplicará también en el caso que el inversionista sea una sociedad controladora y el aumento en la participación accionaria sea para consolidar el control que ya tiene en las sociedades miembros del conglomerado financiero</w:t>
      </w:r>
      <w:r w:rsidRPr="008656A1">
        <w:rPr>
          <w:rFonts w:ascii="Museo Sans 300" w:hAnsi="Museo Sans 300"/>
          <w:lang w:eastAsia="es-SV"/>
        </w:rPr>
        <w:t>.</w:t>
      </w:r>
      <w:r w:rsidR="00857D36" w:rsidRPr="008656A1">
        <w:rPr>
          <w:rFonts w:ascii="Museo Sans 300" w:hAnsi="Museo Sans 300"/>
          <w:lang w:eastAsia="es-SV"/>
        </w:rPr>
        <w:t xml:space="preserve"> (1)</w:t>
      </w:r>
    </w:p>
    <w:p w14:paraId="5E04F04D" w14:textId="7E83A498" w:rsidR="00315832" w:rsidRPr="001112C4" w:rsidRDefault="00315832" w:rsidP="008656A1">
      <w:pPr>
        <w:spacing w:after="0" w:line="240" w:lineRule="auto"/>
        <w:jc w:val="both"/>
        <w:rPr>
          <w:rFonts w:ascii="Museo Sans 300" w:hAnsi="Museo Sans 300"/>
          <w:i/>
          <w:iCs/>
          <w:lang w:eastAsia="es-SV"/>
        </w:rPr>
      </w:pPr>
    </w:p>
    <w:p w14:paraId="48AF37BF" w14:textId="26822D72" w:rsidR="00C611CF" w:rsidRPr="008656A1" w:rsidRDefault="00C611CF" w:rsidP="008656A1">
      <w:pPr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8656A1">
        <w:rPr>
          <w:rFonts w:ascii="Museo Sans 300" w:hAnsi="Museo Sans 300"/>
          <w:lang w:val="es-ES_tradnl"/>
        </w:rPr>
        <w:t xml:space="preserve">La solicitud y documentación podrá ser presentada a través de los medios que ponga a disposición la Superintendencia, los cuales podrán ser electrónicos. En todo caso el plazo </w:t>
      </w:r>
      <w:r w:rsidRPr="008656A1">
        <w:rPr>
          <w:rFonts w:ascii="Museo Sans 300" w:hAnsi="Museo Sans 300"/>
          <w:lang w:val="es-ES_tradnl"/>
        </w:rPr>
        <w:lastRenderedPageBreak/>
        <w:t>a que se refiere el inciso primero del artículo 7 de las presentes Normas empezará a contar a partir del día hábil siguiente de haber presentado la solicitud. (1)</w:t>
      </w:r>
    </w:p>
    <w:p w14:paraId="6B164601" w14:textId="77777777" w:rsidR="008656A1" w:rsidRDefault="008656A1" w:rsidP="008656A1">
      <w:pPr>
        <w:spacing w:after="0" w:line="240" w:lineRule="auto"/>
        <w:jc w:val="both"/>
        <w:rPr>
          <w:rFonts w:ascii="Museo Sans 300" w:hAnsi="Museo Sans 300"/>
          <w:i/>
          <w:iCs/>
          <w:u w:val="single"/>
          <w:lang w:val="es-ES_tradnl"/>
        </w:rPr>
      </w:pPr>
    </w:p>
    <w:p w14:paraId="76605989" w14:textId="77777777" w:rsidR="003F4F4C" w:rsidRPr="00622049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  <w:r w:rsidRPr="00622049">
        <w:rPr>
          <w:rFonts w:ascii="Museo Sans 300" w:eastAsiaTheme="majorEastAsia" w:hAnsi="Museo Sans 300" w:cstheme="majorBidi"/>
          <w:b/>
          <w:iCs/>
          <w:color w:val="000000" w:themeColor="text1"/>
        </w:rPr>
        <w:t>CAPÍTULO III</w:t>
      </w:r>
    </w:p>
    <w:p w14:paraId="6957C943" w14:textId="77777777" w:rsidR="003F4F4C" w:rsidRPr="00622049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  <w:r w:rsidRPr="00622049">
        <w:rPr>
          <w:rFonts w:ascii="Museo Sans 300" w:eastAsiaTheme="majorEastAsia" w:hAnsi="Museo Sans 300" w:cstheme="majorBidi"/>
          <w:b/>
          <w:iCs/>
          <w:color w:val="000000" w:themeColor="text1"/>
        </w:rPr>
        <w:t>TRAMITACIÓN DE LA SOLICITUD</w:t>
      </w:r>
    </w:p>
    <w:p w14:paraId="67D11024" w14:textId="77777777" w:rsidR="003F4F4C" w:rsidRPr="00622049" w:rsidRDefault="003F4F4C" w:rsidP="008656A1">
      <w:pPr>
        <w:pStyle w:val="Textoindependiente"/>
        <w:jc w:val="left"/>
        <w:rPr>
          <w:rFonts w:ascii="Museo Sans 300" w:hAnsi="Museo Sans 300"/>
          <w:b/>
          <w:sz w:val="22"/>
          <w:szCs w:val="22"/>
        </w:rPr>
      </w:pPr>
    </w:p>
    <w:p w14:paraId="001AA65F" w14:textId="51AEA2FE" w:rsidR="006560E4" w:rsidRPr="008656A1" w:rsidRDefault="006560E4" w:rsidP="008656A1">
      <w:pPr>
        <w:pStyle w:val="Textoindependiente"/>
        <w:rPr>
          <w:rFonts w:ascii="Museo Sans 300" w:hAnsi="Museo Sans 300"/>
          <w:b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Solicitud de autorización para realizar inversiones accionarias en sociedades salvadoreñas (1)</w:t>
      </w:r>
    </w:p>
    <w:p w14:paraId="196D4BA1" w14:textId="14629DFB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Art. 7.-</w:t>
      </w:r>
      <w:r w:rsidRPr="008656A1">
        <w:rPr>
          <w:rFonts w:ascii="Museo Sans 300" w:hAnsi="Museo Sans 300"/>
          <w:bCs/>
          <w:sz w:val="22"/>
          <w:szCs w:val="22"/>
        </w:rPr>
        <w:t xml:space="preserve"> Recibida la solicitud de autorización para realizar inversiones accionarias en sociedades salvadoreñas de acuerdo con lo establecido en los artículos 5</w:t>
      </w:r>
      <w:r w:rsidR="00857D36" w:rsidRPr="008656A1">
        <w:rPr>
          <w:rFonts w:ascii="Museo Sans 300" w:hAnsi="Museo Sans 300"/>
          <w:bCs/>
          <w:sz w:val="22"/>
          <w:szCs w:val="22"/>
        </w:rPr>
        <w:t>,</w:t>
      </w:r>
      <w:r w:rsidRPr="008656A1">
        <w:rPr>
          <w:rFonts w:ascii="Museo Sans 300" w:hAnsi="Museo Sans 300"/>
          <w:bCs/>
          <w:sz w:val="22"/>
          <w:szCs w:val="22"/>
        </w:rPr>
        <w:t xml:space="preserve"> 6</w:t>
      </w:r>
      <w:r w:rsidR="00857D36" w:rsidRPr="008656A1">
        <w:rPr>
          <w:rFonts w:ascii="Museo Sans 300" w:hAnsi="Museo Sans 300"/>
          <w:bCs/>
          <w:sz w:val="22"/>
          <w:szCs w:val="22"/>
        </w:rPr>
        <w:t xml:space="preserve"> y 6-A</w:t>
      </w:r>
      <w:r w:rsidRPr="008656A1">
        <w:rPr>
          <w:rFonts w:ascii="Museo Sans 300" w:hAnsi="Museo Sans 300"/>
          <w:bCs/>
          <w:sz w:val="22"/>
          <w:szCs w:val="22"/>
        </w:rPr>
        <w:t xml:space="preserve"> de las presentes Normas, la Superintendencia procederá a verificar el cumplimiento de los requisitos definidos en la Ley y en estas Normas, disponiendo de los sesenta días siguientes, para la autorización o denegatoria de la solicitud de autorización para realizar inversiones accionarias en sociedades salvadoreñas. (1)</w:t>
      </w:r>
    </w:p>
    <w:p w14:paraId="265352D8" w14:textId="77777777" w:rsidR="00857D36" w:rsidRPr="008656A1" w:rsidRDefault="00857D36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</w:p>
    <w:p w14:paraId="0A3057FD" w14:textId="4FCFD4FA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Cs/>
          <w:sz w:val="22"/>
          <w:szCs w:val="22"/>
        </w:rPr>
        <w:t xml:space="preserve">Si la solicitud no viene acompañada de la información completa y en debida forma, que se detalla en los artículos </w:t>
      </w:r>
      <w:r w:rsidR="00857D36" w:rsidRPr="008656A1">
        <w:rPr>
          <w:rFonts w:ascii="Museo Sans 300" w:hAnsi="Museo Sans 300"/>
          <w:bCs/>
          <w:sz w:val="22"/>
          <w:szCs w:val="22"/>
        </w:rPr>
        <w:t xml:space="preserve">5, 6 y 6-A </w:t>
      </w:r>
      <w:r w:rsidRPr="008656A1">
        <w:rPr>
          <w:rFonts w:ascii="Museo Sans 300" w:hAnsi="Museo Sans 300"/>
          <w:bCs/>
          <w:sz w:val="22"/>
          <w:szCs w:val="22"/>
        </w:rPr>
        <w:t xml:space="preserve">de las presentes Normas, la Superintendencia ante la falta de requisitos necesarios, podrá requerir </w:t>
      </w:r>
      <w:r w:rsidR="00FE0693" w:rsidRPr="008656A1">
        <w:rPr>
          <w:rFonts w:ascii="Museo Sans 300" w:hAnsi="Museo Sans 300"/>
          <w:bCs/>
          <w:sz w:val="22"/>
          <w:szCs w:val="22"/>
        </w:rPr>
        <w:t>al solicitante</w:t>
      </w:r>
      <w:r w:rsidRPr="008656A1">
        <w:rPr>
          <w:rFonts w:ascii="Museo Sans 300" w:hAnsi="Museo Sans 300"/>
          <w:bCs/>
          <w:sz w:val="22"/>
          <w:szCs w:val="22"/>
        </w:rPr>
        <w:t xml:space="preserve"> que en el plazo de diez días hábiles contados a partir del día siguiente al de la notificación, presente los documentos que faltaren, plazo que podrá ampliarse a solicitud de dich</w:t>
      </w:r>
      <w:r w:rsidR="000F26BB" w:rsidRPr="008656A1">
        <w:rPr>
          <w:rFonts w:ascii="Museo Sans 300" w:hAnsi="Museo Sans 300"/>
          <w:bCs/>
          <w:sz w:val="22"/>
          <w:szCs w:val="22"/>
        </w:rPr>
        <w:t>os</w:t>
      </w:r>
      <w:r w:rsidRPr="008656A1">
        <w:rPr>
          <w:rFonts w:ascii="Museo Sans 300" w:hAnsi="Museo Sans 300"/>
          <w:bCs/>
          <w:sz w:val="22"/>
          <w:szCs w:val="22"/>
        </w:rPr>
        <w:t xml:space="preserve"> </w:t>
      </w:r>
      <w:r w:rsidR="000F26BB" w:rsidRPr="008656A1">
        <w:rPr>
          <w:rFonts w:ascii="Museo Sans 300" w:hAnsi="Museo Sans 300"/>
          <w:bCs/>
          <w:sz w:val="22"/>
          <w:szCs w:val="22"/>
        </w:rPr>
        <w:t xml:space="preserve">sujetos obligados </w:t>
      </w:r>
      <w:r w:rsidRPr="008656A1">
        <w:rPr>
          <w:rFonts w:ascii="Museo Sans 300" w:hAnsi="Museo Sans 300"/>
          <w:bCs/>
          <w:sz w:val="22"/>
          <w:szCs w:val="22"/>
        </w:rPr>
        <w:t>cuando existan razones que así lo justifiquen. (1)</w:t>
      </w:r>
    </w:p>
    <w:p w14:paraId="113BC85E" w14:textId="77777777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</w:p>
    <w:p w14:paraId="7BAC4DA5" w14:textId="7BE2CCE1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Cs/>
          <w:sz w:val="22"/>
          <w:szCs w:val="22"/>
        </w:rPr>
        <w:t xml:space="preserve">La Superintendencia en la misma prevención indicará al solicitante que si no completa la información en el plazo antes mencionado, procederá sin más trámite a archivar la solicitud, quedándole a salvo su derecho de presentar una nueva solicitud. (1) </w:t>
      </w:r>
    </w:p>
    <w:p w14:paraId="1C2BA2F1" w14:textId="77777777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</w:p>
    <w:p w14:paraId="5116C819" w14:textId="610B9735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Cs/>
          <w:sz w:val="22"/>
          <w:szCs w:val="22"/>
        </w:rPr>
        <w:t xml:space="preserve">Si luego del análisis de la documentación presentada de acuerdo a los artículos </w:t>
      </w:r>
      <w:r w:rsidR="00857D36" w:rsidRPr="008656A1">
        <w:rPr>
          <w:rFonts w:ascii="Museo Sans 300" w:hAnsi="Museo Sans 300"/>
          <w:bCs/>
          <w:sz w:val="22"/>
          <w:szCs w:val="22"/>
        </w:rPr>
        <w:t xml:space="preserve">5, 6 y 6-A </w:t>
      </w:r>
      <w:r w:rsidRPr="008656A1">
        <w:rPr>
          <w:rFonts w:ascii="Museo Sans 300" w:hAnsi="Museo Sans 300"/>
          <w:bCs/>
          <w:sz w:val="22"/>
          <w:szCs w:val="22"/>
        </w:rPr>
        <w:t xml:space="preserve">de las presentes Normas, la Superintendencia tuviere observaciones o cuando la documentación o información que haya sido </w:t>
      </w:r>
      <w:proofErr w:type="gramStart"/>
      <w:r w:rsidRPr="008656A1">
        <w:rPr>
          <w:rFonts w:ascii="Museo Sans 300" w:hAnsi="Museo Sans 300"/>
          <w:bCs/>
          <w:sz w:val="22"/>
          <w:szCs w:val="22"/>
        </w:rPr>
        <w:t>presentada,</w:t>
      </w:r>
      <w:proofErr w:type="gramEnd"/>
      <w:r w:rsidRPr="008656A1">
        <w:rPr>
          <w:rFonts w:ascii="Museo Sans 300" w:hAnsi="Museo Sans 300"/>
          <w:bCs/>
          <w:sz w:val="22"/>
          <w:szCs w:val="22"/>
        </w:rPr>
        <w:t xml:space="preserve"> no resultare suficiente para establecer los hechos o información que pretenda acreditarse; la Superintendencia prevendrá al solicitante respectivo para que subsane las deficiencias que se le comuniquen o presente documentación o información adicional que se le requiera. (1)</w:t>
      </w:r>
    </w:p>
    <w:p w14:paraId="64CFF0DB" w14:textId="77777777" w:rsidR="00224CC1" w:rsidRPr="008656A1" w:rsidRDefault="00224CC1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</w:p>
    <w:p w14:paraId="1CD67DF3" w14:textId="537E583B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Cs/>
          <w:sz w:val="22"/>
          <w:szCs w:val="22"/>
        </w:rPr>
        <w:t>El solicitante dispondrá de un plazo máximo de diez días hábiles contados a partir del día siguiente al de la notificación, para solventar las observaciones o presentar la información adicional requerida por la Superintendencia. (1)</w:t>
      </w:r>
    </w:p>
    <w:p w14:paraId="6BAA997C" w14:textId="77777777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</w:p>
    <w:p w14:paraId="0ACF0B75" w14:textId="2880878F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Cs/>
          <w:sz w:val="22"/>
          <w:szCs w:val="22"/>
        </w:rPr>
        <w:t>La Superintendencia podrá mediante resolución fundamentada ampliar hasta por otros diez días hábiles el plazo señalado en el inciso anterior, cuando la naturaleza de las observaciones o deficiencias prevenidas lo exijan. (1)</w:t>
      </w:r>
    </w:p>
    <w:p w14:paraId="13D91A9D" w14:textId="77777777" w:rsidR="006560E4" w:rsidRPr="006560E4" w:rsidRDefault="006560E4" w:rsidP="008656A1">
      <w:pPr>
        <w:spacing w:after="0" w:line="240" w:lineRule="auto"/>
        <w:jc w:val="both"/>
        <w:rPr>
          <w:rFonts w:ascii="Museo Sans 300" w:hAnsi="Museo Sans 300"/>
          <w:strike/>
        </w:rPr>
      </w:pPr>
    </w:p>
    <w:p w14:paraId="7FC62C64" w14:textId="33595558" w:rsidR="006560E4" w:rsidRPr="008656A1" w:rsidRDefault="006560E4" w:rsidP="008656A1">
      <w:pPr>
        <w:pStyle w:val="Textoindependiente"/>
        <w:rPr>
          <w:rFonts w:ascii="Museo Sans 300" w:hAnsi="Museo Sans 300"/>
          <w:b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Plazo de prórroga</w:t>
      </w:r>
      <w:r w:rsidR="00351A49" w:rsidRPr="008656A1">
        <w:rPr>
          <w:rFonts w:ascii="Museo Sans 300" w:hAnsi="Museo Sans 300"/>
          <w:b/>
          <w:sz w:val="22"/>
          <w:szCs w:val="22"/>
        </w:rPr>
        <w:t xml:space="preserve"> (1)</w:t>
      </w:r>
    </w:p>
    <w:p w14:paraId="70A1E725" w14:textId="0F8D179D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lastRenderedPageBreak/>
        <w:t>Art. 8.-</w:t>
      </w:r>
      <w:r w:rsidRPr="008656A1">
        <w:rPr>
          <w:rFonts w:ascii="Museo Sans 300" w:hAnsi="Museo Sans 300"/>
          <w:bCs/>
          <w:sz w:val="22"/>
          <w:szCs w:val="22"/>
        </w:rPr>
        <w:t xml:space="preserve"> El solicitante podrá presentar a la Superintendencia una solicitud de prórroga del plazo señalado en </w:t>
      </w:r>
      <w:r w:rsidR="00FE0693" w:rsidRPr="008656A1">
        <w:rPr>
          <w:rFonts w:ascii="Museo Sans 300" w:hAnsi="Museo Sans 300"/>
          <w:bCs/>
          <w:sz w:val="22"/>
          <w:szCs w:val="22"/>
        </w:rPr>
        <w:t>e</w:t>
      </w:r>
      <w:r w:rsidRPr="008656A1">
        <w:rPr>
          <w:rFonts w:ascii="Museo Sans 300" w:hAnsi="Museo Sans 300"/>
          <w:bCs/>
          <w:sz w:val="22"/>
          <w:szCs w:val="22"/>
        </w:rPr>
        <w:t xml:space="preserve">l inciso quinto del artículo 7 de las presentes Normas, antes del vencimiento de dicho plazo, debiendo expresar los motivos en que se fundamenta y proponer, en su caso, la prueba pertinente. </w:t>
      </w:r>
      <w:r w:rsidR="00351A49" w:rsidRPr="008656A1">
        <w:rPr>
          <w:rFonts w:ascii="Museo Sans 300" w:hAnsi="Museo Sans 300"/>
          <w:bCs/>
          <w:sz w:val="22"/>
          <w:szCs w:val="22"/>
        </w:rPr>
        <w:t>(1)</w:t>
      </w:r>
    </w:p>
    <w:p w14:paraId="0E2D6929" w14:textId="77777777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</w:p>
    <w:p w14:paraId="7F2800F7" w14:textId="6E2F3E9F" w:rsidR="006560E4" w:rsidRPr="008656A1" w:rsidRDefault="006560E4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Cs/>
          <w:sz w:val="22"/>
          <w:szCs w:val="22"/>
        </w:rPr>
        <w:t>El plazo de la prórroga no podrá exceder de diez días hábiles e iniciará a partir del día hábil siguiente a la fecha de vencimiento del plazo original.</w:t>
      </w:r>
      <w:r w:rsidR="00351A49" w:rsidRPr="008656A1">
        <w:rPr>
          <w:rFonts w:ascii="Museo Sans 300" w:hAnsi="Museo Sans 300"/>
          <w:bCs/>
          <w:sz w:val="22"/>
          <w:szCs w:val="22"/>
        </w:rPr>
        <w:t xml:space="preserve"> (1)</w:t>
      </w:r>
    </w:p>
    <w:p w14:paraId="74429DA2" w14:textId="3AA645A4" w:rsidR="006560E4" w:rsidRPr="008656A1" w:rsidRDefault="006560E4" w:rsidP="008656A1">
      <w:pPr>
        <w:pStyle w:val="Textoindependiente"/>
        <w:rPr>
          <w:rFonts w:ascii="Museo Sans 300" w:hAnsi="Museo Sans 300"/>
          <w:sz w:val="22"/>
          <w:szCs w:val="22"/>
        </w:rPr>
      </w:pPr>
    </w:p>
    <w:p w14:paraId="3A385A28" w14:textId="15EC4EC1" w:rsidR="00351A49" w:rsidRPr="008656A1" w:rsidRDefault="00351A49" w:rsidP="008656A1">
      <w:pPr>
        <w:pStyle w:val="Textoindependiente"/>
        <w:rPr>
          <w:rFonts w:ascii="Museo Sans 300" w:hAnsi="Museo Sans 300"/>
          <w:b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Suspensión del plazo (1)</w:t>
      </w:r>
    </w:p>
    <w:p w14:paraId="1EE78CC5" w14:textId="133D6DCB" w:rsidR="00351A49" w:rsidRPr="008656A1" w:rsidRDefault="00351A49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Art. 8-A.-</w:t>
      </w:r>
      <w:r w:rsidRPr="008656A1">
        <w:rPr>
          <w:rFonts w:ascii="Museo Sans 300" w:hAnsi="Museo Sans 300"/>
          <w:bCs/>
          <w:sz w:val="22"/>
          <w:szCs w:val="22"/>
        </w:rPr>
        <w:t xml:space="preserve"> El plazo de sesenta días señalado en el inciso primero del artículo 7 de las presentes Normas, se suspenderá por los días que medien entre la notificación del requerimiento de información o documentación a que se refieren los incisos segundo y quinto del referido artículo, hasta que se subsanen las observaciones requeridas por la Superintendencia. (1)</w:t>
      </w:r>
    </w:p>
    <w:p w14:paraId="34102C0C" w14:textId="77777777" w:rsidR="00351A49" w:rsidRPr="008656A1" w:rsidRDefault="00351A49" w:rsidP="008656A1">
      <w:pPr>
        <w:pStyle w:val="Textoindependiente"/>
        <w:rPr>
          <w:rFonts w:ascii="Museo Sans 300" w:hAnsi="Museo Sans 300"/>
          <w:bCs/>
          <w:sz w:val="22"/>
          <w:szCs w:val="22"/>
        </w:rPr>
      </w:pPr>
    </w:p>
    <w:p w14:paraId="6B7690F6" w14:textId="26B28B96" w:rsidR="00351A49" w:rsidRPr="008656A1" w:rsidRDefault="00351A49" w:rsidP="008656A1">
      <w:pPr>
        <w:pStyle w:val="Textoindependiente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bCs/>
          <w:sz w:val="22"/>
          <w:szCs w:val="22"/>
        </w:rPr>
        <w:t xml:space="preserve">Una vez presentados los documentos en debida forma, la Superintendencia </w:t>
      </w:r>
      <w:r w:rsidRPr="008656A1">
        <w:rPr>
          <w:rFonts w:ascii="Museo Sans 300" w:hAnsi="Museo Sans 300"/>
          <w:sz w:val="22"/>
          <w:szCs w:val="22"/>
        </w:rPr>
        <w:t>efectuará los análisis correspondientes y evaluará la factibilidad de la inversión, considerando además los requerimientos de solvencia del banco</w:t>
      </w:r>
      <w:r w:rsidR="00B939D9" w:rsidRPr="008656A1">
        <w:rPr>
          <w:rFonts w:ascii="Museo Sans 300" w:hAnsi="Museo Sans 300"/>
          <w:sz w:val="22"/>
          <w:szCs w:val="22"/>
        </w:rPr>
        <w:t>, banco cooperativo y sociedad de ahorro y crédito,</w:t>
      </w:r>
      <w:r w:rsidRPr="008656A1">
        <w:rPr>
          <w:rFonts w:ascii="Museo Sans 300" w:hAnsi="Museo Sans 300"/>
          <w:sz w:val="22"/>
          <w:szCs w:val="22"/>
        </w:rPr>
        <w:t xml:space="preserve"> y de la sociedad en que se va a invertir. </w:t>
      </w:r>
      <w:r w:rsidRPr="008656A1">
        <w:rPr>
          <w:rFonts w:ascii="Museo Sans 300" w:hAnsi="Museo Sans 300"/>
          <w:bCs/>
          <w:sz w:val="22"/>
          <w:szCs w:val="22"/>
        </w:rPr>
        <w:t>(1)</w:t>
      </w:r>
    </w:p>
    <w:p w14:paraId="3EA42DF2" w14:textId="77777777" w:rsidR="00351A49" w:rsidRPr="008656A1" w:rsidRDefault="00351A49" w:rsidP="008656A1">
      <w:pPr>
        <w:pStyle w:val="Textoindependiente"/>
        <w:rPr>
          <w:rFonts w:ascii="Museo Sans 300" w:hAnsi="Museo Sans 300"/>
          <w:sz w:val="22"/>
          <w:szCs w:val="22"/>
        </w:rPr>
      </w:pPr>
    </w:p>
    <w:p w14:paraId="3B836B11" w14:textId="72E4F954" w:rsidR="00351A49" w:rsidRPr="008656A1" w:rsidRDefault="00351A49" w:rsidP="008656A1">
      <w:pPr>
        <w:pStyle w:val="Textoindependiente"/>
        <w:rPr>
          <w:rFonts w:ascii="Museo Sans 300" w:hAnsi="Museo Sans 300"/>
          <w:sz w:val="22"/>
          <w:szCs w:val="22"/>
        </w:rPr>
      </w:pPr>
      <w:bookmarkStart w:id="2" w:name="_Hlk90300226"/>
      <w:r w:rsidRPr="008656A1">
        <w:rPr>
          <w:rFonts w:ascii="Museo Sans 300" w:hAnsi="Museo Sans 300"/>
          <w:bCs/>
          <w:color w:val="000000" w:themeColor="text1"/>
          <w:sz w:val="22"/>
          <w:szCs w:val="22"/>
        </w:rPr>
        <w:t xml:space="preserve">La Superintendencia procederá a notificar al solicitante la resolución en la cual autoriza o deniega la solicitud </w:t>
      </w:r>
      <w:r w:rsidRPr="008656A1">
        <w:rPr>
          <w:rFonts w:ascii="Museo Sans 300" w:hAnsi="Museo Sans 300"/>
          <w:bCs/>
          <w:sz w:val="22"/>
          <w:szCs w:val="22"/>
        </w:rPr>
        <w:t>de autorización para realizar inversiones accionarias en sociedades salvadoreñas</w:t>
      </w:r>
      <w:r w:rsidRPr="008656A1">
        <w:rPr>
          <w:rFonts w:ascii="Museo Sans 300" w:hAnsi="Museo Sans 300"/>
          <w:bCs/>
          <w:color w:val="000000" w:themeColor="text1"/>
          <w:sz w:val="22"/>
          <w:szCs w:val="22"/>
        </w:rPr>
        <w:t xml:space="preserve">, en un plazo máximo de tres días hábiles a partir del día de emitida la resolución. </w:t>
      </w:r>
      <w:r w:rsidRPr="008656A1">
        <w:rPr>
          <w:rFonts w:ascii="Museo Sans 300" w:hAnsi="Museo Sans 300"/>
          <w:bCs/>
          <w:sz w:val="22"/>
          <w:szCs w:val="22"/>
        </w:rPr>
        <w:t>(1)</w:t>
      </w:r>
    </w:p>
    <w:bookmarkEnd w:id="2"/>
    <w:p w14:paraId="35EBD766" w14:textId="77777777" w:rsidR="00351A49" w:rsidRPr="008656A1" w:rsidRDefault="00351A49" w:rsidP="008656A1">
      <w:pPr>
        <w:pStyle w:val="Textoindependiente"/>
        <w:rPr>
          <w:rFonts w:ascii="Museo Sans 300" w:hAnsi="Museo Sans 300"/>
          <w:sz w:val="22"/>
          <w:szCs w:val="22"/>
        </w:rPr>
      </w:pPr>
    </w:p>
    <w:p w14:paraId="42E57FEF" w14:textId="638E3985" w:rsidR="003F4F4C" w:rsidRPr="008656A1" w:rsidRDefault="003F4F4C" w:rsidP="008656A1">
      <w:pPr>
        <w:pStyle w:val="Textoindependiente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Art. 9.-</w:t>
      </w:r>
      <w:r w:rsidRPr="008656A1">
        <w:rPr>
          <w:rFonts w:ascii="Museo Sans 300" w:hAnsi="Museo Sans 300"/>
          <w:sz w:val="22"/>
          <w:szCs w:val="22"/>
        </w:rPr>
        <w:t xml:space="preserve"> Si la resolución que menciona el artículo anterior es favorable, </w:t>
      </w:r>
      <w:r w:rsidR="0041459D" w:rsidRPr="008656A1">
        <w:rPr>
          <w:rFonts w:ascii="Museo Sans 300" w:hAnsi="Museo Sans 300"/>
          <w:sz w:val="22"/>
          <w:szCs w:val="18"/>
          <w:lang w:val="es-ES_tradnl"/>
        </w:rPr>
        <w:t xml:space="preserve">el </w:t>
      </w:r>
      <w:r w:rsidR="0041459D" w:rsidRPr="008656A1">
        <w:rPr>
          <w:rFonts w:ascii="Museo Sans 300" w:hAnsi="Museo Sans 300"/>
          <w:sz w:val="22"/>
          <w:szCs w:val="18"/>
        </w:rPr>
        <w:t>sujeto obligado</w:t>
      </w:r>
      <w:r w:rsidR="0041459D" w:rsidRPr="008656A1">
        <w:rPr>
          <w:rFonts w:ascii="Museo Sans 300" w:hAnsi="Museo Sans 300"/>
          <w:sz w:val="22"/>
          <w:szCs w:val="18"/>
          <w:lang w:val="es-ES_tradnl"/>
        </w:rPr>
        <w:t xml:space="preserve"> </w:t>
      </w:r>
      <w:r w:rsidRPr="008656A1">
        <w:rPr>
          <w:rFonts w:ascii="Museo Sans 300" w:hAnsi="Museo Sans 300"/>
          <w:sz w:val="22"/>
          <w:szCs w:val="22"/>
        </w:rPr>
        <w:t xml:space="preserve">tendrá un plazo de hasta treinta días para realizar la inversión; cuando se trate de futuras sociedades estas deberán constituirse en los siguientes noventa días posteriores a la autorización. A solicitud </w:t>
      </w:r>
      <w:r w:rsidR="0041459D" w:rsidRPr="008656A1">
        <w:rPr>
          <w:rFonts w:ascii="Museo Sans 300" w:hAnsi="Museo Sans 300"/>
          <w:sz w:val="22"/>
          <w:szCs w:val="18"/>
          <w:lang w:val="es-ES_tradnl"/>
        </w:rPr>
        <w:t xml:space="preserve">del </w:t>
      </w:r>
      <w:r w:rsidR="0041459D" w:rsidRPr="008656A1">
        <w:rPr>
          <w:rFonts w:ascii="Museo Sans 300" w:hAnsi="Museo Sans 300"/>
          <w:sz w:val="22"/>
          <w:szCs w:val="18"/>
        </w:rPr>
        <w:t>sujeto obligado</w:t>
      </w:r>
      <w:r w:rsidRPr="008656A1">
        <w:rPr>
          <w:rFonts w:ascii="Museo Sans 300" w:hAnsi="Museo Sans 300"/>
          <w:sz w:val="22"/>
          <w:szCs w:val="22"/>
        </w:rPr>
        <w:t>, el plazo podrá prorrogarse por una sola vez y por no más de treinta días.</w:t>
      </w:r>
      <w:r w:rsidR="006929C0" w:rsidRPr="008656A1">
        <w:rPr>
          <w:rFonts w:ascii="Museo Sans 300" w:hAnsi="Museo Sans 300"/>
          <w:sz w:val="22"/>
          <w:szCs w:val="22"/>
        </w:rPr>
        <w:t xml:space="preserve"> (1)</w:t>
      </w:r>
    </w:p>
    <w:p w14:paraId="73C5A271" w14:textId="77777777" w:rsidR="007E4AC3" w:rsidRPr="00641E2D" w:rsidRDefault="007E4AC3" w:rsidP="008656A1">
      <w:pPr>
        <w:pStyle w:val="Textoindependiente"/>
        <w:rPr>
          <w:rFonts w:ascii="Museo Sans 300" w:hAnsi="Museo Sans 300"/>
          <w:sz w:val="22"/>
          <w:szCs w:val="22"/>
        </w:rPr>
      </w:pPr>
    </w:p>
    <w:p w14:paraId="6C1D77C1" w14:textId="77777777" w:rsidR="003F4F4C" w:rsidRPr="00641E2D" w:rsidRDefault="003F4F4C" w:rsidP="008656A1">
      <w:pPr>
        <w:pStyle w:val="Textoindependiente"/>
        <w:rPr>
          <w:rFonts w:ascii="Museo Sans 300" w:hAnsi="Museo Sans 300"/>
          <w:sz w:val="22"/>
          <w:szCs w:val="22"/>
        </w:rPr>
      </w:pPr>
      <w:r w:rsidRPr="00641E2D">
        <w:rPr>
          <w:rFonts w:ascii="Museo Sans 300" w:hAnsi="Museo Sans 300"/>
          <w:sz w:val="22"/>
          <w:szCs w:val="22"/>
        </w:rPr>
        <w:t>En el caso que no se cumplan los plazos establecidos, la Superintendencia podrá revocar la autorización.</w:t>
      </w:r>
    </w:p>
    <w:p w14:paraId="418812A3" w14:textId="77777777" w:rsidR="003F4F4C" w:rsidRPr="00641E2D" w:rsidRDefault="003F4F4C" w:rsidP="008656A1">
      <w:pPr>
        <w:pStyle w:val="Textoindependiente"/>
        <w:rPr>
          <w:rFonts w:ascii="Museo Sans 300" w:hAnsi="Museo Sans 300"/>
          <w:sz w:val="22"/>
          <w:szCs w:val="22"/>
        </w:rPr>
      </w:pPr>
    </w:p>
    <w:p w14:paraId="1C3FC3DE" w14:textId="77777777" w:rsidR="003F4F4C" w:rsidRPr="00641E2D" w:rsidRDefault="003F4F4C" w:rsidP="008656A1">
      <w:pPr>
        <w:pStyle w:val="Textoindependiente"/>
        <w:rPr>
          <w:rFonts w:ascii="Museo Sans 300" w:hAnsi="Museo Sans 300"/>
          <w:sz w:val="22"/>
          <w:szCs w:val="22"/>
        </w:rPr>
      </w:pPr>
      <w:r w:rsidRPr="00641E2D">
        <w:rPr>
          <w:rFonts w:ascii="Museo Sans 300" w:hAnsi="Museo Sans 300"/>
          <w:b/>
          <w:sz w:val="22"/>
          <w:szCs w:val="22"/>
        </w:rPr>
        <w:t>Art. 10.-</w:t>
      </w:r>
      <w:r w:rsidRPr="00641E2D">
        <w:rPr>
          <w:rFonts w:ascii="Museo Sans 300" w:hAnsi="Museo Sans 300"/>
          <w:sz w:val="22"/>
          <w:szCs w:val="22"/>
        </w:rPr>
        <w:t xml:space="preserve"> Si la resolución fuere denegatoria, la notificación contendrá de manera razonada las causas por las cuales se deniega. </w:t>
      </w:r>
    </w:p>
    <w:p w14:paraId="5549EE85" w14:textId="77777777" w:rsidR="003F4F4C" w:rsidRPr="00641E2D" w:rsidRDefault="003F4F4C" w:rsidP="008656A1">
      <w:pPr>
        <w:pStyle w:val="Textoindependiente"/>
        <w:rPr>
          <w:rFonts w:ascii="Museo Sans 300" w:hAnsi="Museo Sans 300"/>
          <w:sz w:val="22"/>
          <w:szCs w:val="22"/>
        </w:rPr>
      </w:pPr>
      <w:r w:rsidRPr="00641E2D">
        <w:rPr>
          <w:rFonts w:ascii="Museo Sans 300" w:hAnsi="Museo Sans 300"/>
          <w:sz w:val="22"/>
          <w:szCs w:val="22"/>
        </w:rPr>
        <w:tab/>
      </w:r>
    </w:p>
    <w:p w14:paraId="10503A1D" w14:textId="77777777" w:rsidR="003F4F4C" w:rsidRPr="00641E2D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</w:rPr>
      </w:pPr>
      <w:r w:rsidRPr="00641E2D">
        <w:rPr>
          <w:rFonts w:ascii="Museo Sans 300" w:eastAsiaTheme="majorEastAsia" w:hAnsi="Museo Sans 300" w:cstheme="majorBidi"/>
          <w:b/>
          <w:iCs/>
        </w:rPr>
        <w:t>CAPÍTULO IV</w:t>
      </w:r>
    </w:p>
    <w:p w14:paraId="70D21D2F" w14:textId="77777777" w:rsidR="003F4F4C" w:rsidRPr="00641E2D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</w:rPr>
      </w:pPr>
      <w:r w:rsidRPr="00641E2D">
        <w:rPr>
          <w:rFonts w:ascii="Museo Sans 300" w:eastAsiaTheme="majorEastAsia" w:hAnsi="Museo Sans 300" w:cstheme="majorBidi"/>
          <w:b/>
          <w:iCs/>
        </w:rPr>
        <w:t>OTRAS DISPOSICIONES, DEROGATORIA Y VIGENCIA</w:t>
      </w:r>
    </w:p>
    <w:p w14:paraId="47B68C2F" w14:textId="77777777" w:rsidR="003F4F4C" w:rsidRPr="00641E2D" w:rsidRDefault="003F4F4C" w:rsidP="008656A1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</w:rPr>
      </w:pPr>
    </w:p>
    <w:p w14:paraId="412CC782" w14:textId="45DE4253" w:rsidR="003F4F4C" w:rsidRPr="008656A1" w:rsidRDefault="00DD5D1F" w:rsidP="008656A1">
      <w:pPr>
        <w:pStyle w:val="Textoindependiente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Art. 11.-</w:t>
      </w:r>
      <w:r w:rsidR="003F4F4C" w:rsidRPr="008656A1">
        <w:rPr>
          <w:rFonts w:ascii="Museo Sans 300" w:hAnsi="Museo Sans 300"/>
          <w:sz w:val="22"/>
          <w:szCs w:val="22"/>
        </w:rPr>
        <w:t xml:space="preserve"> La Superintendencia mediante resolución de carácter general autorizará los otros giros financieros que complementan los servicios financieros </w:t>
      </w:r>
      <w:r w:rsidR="0041459D" w:rsidRPr="008656A1">
        <w:rPr>
          <w:rFonts w:ascii="Museo Sans 300" w:hAnsi="Museo Sans 300"/>
          <w:sz w:val="22"/>
          <w:szCs w:val="18"/>
          <w:lang w:val="es-ES_tradnl"/>
        </w:rPr>
        <w:t xml:space="preserve">del </w:t>
      </w:r>
      <w:r w:rsidR="0041459D" w:rsidRPr="008656A1">
        <w:rPr>
          <w:rFonts w:ascii="Museo Sans 300" w:hAnsi="Museo Sans 300"/>
          <w:sz w:val="22"/>
          <w:szCs w:val="18"/>
        </w:rPr>
        <w:t>sujeto obligado</w:t>
      </w:r>
      <w:r w:rsidR="003F4F4C" w:rsidRPr="008656A1">
        <w:rPr>
          <w:rFonts w:ascii="Museo Sans 300" w:hAnsi="Museo Sans 300"/>
          <w:sz w:val="22"/>
          <w:szCs w:val="22"/>
        </w:rPr>
        <w:t>, siempre que no hubiere prohibición legal expresa para ello.</w:t>
      </w:r>
      <w:r w:rsidR="006929C0" w:rsidRPr="008656A1">
        <w:rPr>
          <w:rFonts w:ascii="Museo Sans 300" w:hAnsi="Museo Sans 300"/>
          <w:sz w:val="22"/>
          <w:szCs w:val="22"/>
        </w:rPr>
        <w:t xml:space="preserve"> (1)</w:t>
      </w:r>
    </w:p>
    <w:p w14:paraId="7AA34C4F" w14:textId="77777777" w:rsidR="001F260F" w:rsidRPr="008656A1" w:rsidRDefault="001F260F" w:rsidP="008656A1">
      <w:pPr>
        <w:pStyle w:val="Textoindependiente"/>
        <w:rPr>
          <w:rFonts w:ascii="Museo Sans 300" w:hAnsi="Museo Sans 300"/>
          <w:sz w:val="22"/>
          <w:szCs w:val="22"/>
        </w:rPr>
      </w:pPr>
    </w:p>
    <w:p w14:paraId="752F2CFA" w14:textId="730FD569" w:rsidR="003F4F4C" w:rsidRPr="008656A1" w:rsidRDefault="003F4F4C" w:rsidP="008656A1">
      <w:pPr>
        <w:pStyle w:val="Textoindependiente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Art. 12.-</w:t>
      </w:r>
      <w:r w:rsidRPr="008656A1">
        <w:rPr>
          <w:rFonts w:ascii="Museo Sans 300" w:hAnsi="Museo Sans 300"/>
          <w:sz w:val="22"/>
          <w:szCs w:val="22"/>
        </w:rPr>
        <w:t xml:space="preserve"> Las modificaciones que posteriormente se introduzcan al pacto social y estatutos de la sociedad, deberán ser informadas a esta Superintendencia. </w:t>
      </w:r>
      <w:r w:rsidR="007E4AC3" w:rsidRPr="008656A1">
        <w:rPr>
          <w:rFonts w:ascii="Museo Sans 300" w:hAnsi="Museo Sans 300"/>
          <w:sz w:val="22"/>
          <w:szCs w:val="22"/>
        </w:rPr>
        <w:t>(1)</w:t>
      </w:r>
    </w:p>
    <w:p w14:paraId="2DDD6217" w14:textId="77777777" w:rsidR="003F4F4C" w:rsidRPr="008656A1" w:rsidRDefault="003F4F4C" w:rsidP="008656A1">
      <w:pPr>
        <w:pStyle w:val="Textoindependiente"/>
        <w:rPr>
          <w:rFonts w:ascii="Museo Sans 300" w:hAnsi="Museo Sans 300"/>
          <w:sz w:val="22"/>
          <w:szCs w:val="22"/>
        </w:rPr>
      </w:pPr>
    </w:p>
    <w:p w14:paraId="2108DC28" w14:textId="299502ED" w:rsidR="003F4F4C" w:rsidRPr="008656A1" w:rsidRDefault="003F4F4C" w:rsidP="008656A1">
      <w:pPr>
        <w:pStyle w:val="Textoindependiente"/>
        <w:rPr>
          <w:rFonts w:ascii="Museo Sans 300" w:hAnsi="Museo Sans 300"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</w:rPr>
        <w:t>Art. 13.-</w:t>
      </w:r>
      <w:r w:rsidRPr="008656A1">
        <w:rPr>
          <w:rFonts w:ascii="Museo Sans 300" w:hAnsi="Museo Sans 300"/>
          <w:sz w:val="22"/>
          <w:szCs w:val="22"/>
        </w:rPr>
        <w:t xml:space="preserve"> Las subsidiarias y sociedades de inversión conjunta quedan sujetas a la fiscalización de esta Superintendencia, con todas las facultades que </w:t>
      </w:r>
      <w:r w:rsidR="00E97D44" w:rsidRPr="008656A1">
        <w:rPr>
          <w:rFonts w:ascii="Museo Sans 300" w:hAnsi="Museo Sans 300"/>
          <w:sz w:val="22"/>
          <w:szCs w:val="22"/>
        </w:rPr>
        <w:t xml:space="preserve">la Ley de Supervisión y Regulación del Sistema Financiero </w:t>
      </w:r>
      <w:r w:rsidRPr="008656A1">
        <w:rPr>
          <w:rFonts w:ascii="Museo Sans 300" w:hAnsi="Museo Sans 300"/>
          <w:sz w:val="22"/>
          <w:szCs w:val="22"/>
        </w:rPr>
        <w:t>le confiere, sin perjuicio de las facultades de los demás organismos supervisores nacionales o extranjeros tengan respecto de la fiscalización de tales sociedades. La Superintendencia tendrá acceso a la información de cada una de ellas con el objeto de ejercer la supervisión consolidada, velar por su solvencia y en general, desarrollar sus tareas de vigilancia y control.</w:t>
      </w:r>
      <w:r w:rsidR="00641E2D" w:rsidRPr="008656A1">
        <w:rPr>
          <w:rFonts w:ascii="Museo Sans 300" w:hAnsi="Museo Sans 300"/>
          <w:sz w:val="22"/>
          <w:szCs w:val="22"/>
        </w:rPr>
        <w:t xml:space="preserve"> (1)</w:t>
      </w:r>
    </w:p>
    <w:p w14:paraId="549E17B6" w14:textId="77777777" w:rsidR="00857D36" w:rsidRPr="001112C4" w:rsidRDefault="00857D36" w:rsidP="008656A1">
      <w:pPr>
        <w:pStyle w:val="Textoindependiente"/>
        <w:rPr>
          <w:rFonts w:ascii="Museo Sans 300" w:hAnsi="Museo Sans 300"/>
          <w:sz w:val="22"/>
          <w:szCs w:val="22"/>
        </w:rPr>
      </w:pPr>
    </w:p>
    <w:p w14:paraId="5836C6C8" w14:textId="3ECADB18" w:rsidR="003F4F4C" w:rsidRPr="001112C4" w:rsidRDefault="003F4F4C" w:rsidP="008656A1">
      <w:pPr>
        <w:spacing w:after="0" w:line="240" w:lineRule="auto"/>
        <w:jc w:val="both"/>
        <w:rPr>
          <w:rFonts w:ascii="Museo Sans 300" w:hAnsi="Museo Sans 300"/>
          <w:lang w:val="es-GT"/>
        </w:rPr>
      </w:pPr>
      <w:r w:rsidRPr="001112C4">
        <w:rPr>
          <w:rFonts w:ascii="Museo Sans 300" w:hAnsi="Museo Sans 300"/>
          <w:b/>
          <w:lang w:val="es-GT"/>
        </w:rPr>
        <w:t xml:space="preserve">Art. 14.- </w:t>
      </w:r>
      <w:r w:rsidRPr="001112C4">
        <w:rPr>
          <w:rFonts w:ascii="Museo Sans 300" w:hAnsi="Museo Sans 300"/>
          <w:lang w:val="es-GT"/>
        </w:rPr>
        <w:t xml:space="preserve">Las regulaciones contenidas en este instrumento derogan el </w:t>
      </w:r>
      <w:r w:rsidRPr="001112C4">
        <w:rPr>
          <w:rFonts w:ascii="Museo Sans 300" w:hAnsi="Museo Sans 300"/>
        </w:rPr>
        <w:t>Reglamento para Autorizar a los Bancos y Financieras a Formar Parte como Socios Mayoritarios de Sociedades de Capital Destinadas a Complementar los Servicios Financieros (NPB1-02), y el Reglamento para Autorizar a los Bancos y Financieras a Participar Conjuntamente en Sociedades de Capital, Destinadas a Prestar Servicios de Pago y Financieros (NPB1-03)</w:t>
      </w:r>
      <w:r w:rsidRPr="001112C4">
        <w:rPr>
          <w:rFonts w:ascii="Museo Sans 300" w:hAnsi="Museo Sans 300"/>
          <w:lang w:val="es-GT"/>
        </w:rPr>
        <w:t>, aprobados por el Consejo Directivo de la Superintendencia del Sistema Financiero en Sesión CD 20/91 del 9 de octubre de 1993.</w:t>
      </w:r>
    </w:p>
    <w:p w14:paraId="4874CF7B" w14:textId="3F168960" w:rsidR="003F4F4C" w:rsidRPr="001112C4" w:rsidRDefault="003F4F4C" w:rsidP="008656A1">
      <w:pPr>
        <w:spacing w:after="0" w:line="240" w:lineRule="auto"/>
        <w:jc w:val="both"/>
        <w:rPr>
          <w:rFonts w:ascii="Museo Sans 300" w:hAnsi="Museo Sans 300"/>
          <w:lang w:val="es-GT"/>
        </w:rPr>
      </w:pPr>
    </w:p>
    <w:p w14:paraId="75DE0443" w14:textId="13A00885" w:rsidR="00351A49" w:rsidRPr="008656A1" w:rsidRDefault="00351A49" w:rsidP="008656A1">
      <w:pPr>
        <w:pStyle w:val="Sinespaciado"/>
        <w:tabs>
          <w:tab w:val="left" w:pos="4820"/>
        </w:tabs>
        <w:jc w:val="both"/>
        <w:rPr>
          <w:rFonts w:ascii="Museo Sans 300" w:hAnsi="Museo Sans 300"/>
          <w:b/>
          <w:bCs/>
          <w:vertAlign w:val="baseline"/>
          <w:lang w:eastAsia="es-ES"/>
        </w:rPr>
      </w:pPr>
      <w:r w:rsidRPr="008656A1">
        <w:rPr>
          <w:rFonts w:ascii="Museo Sans 300" w:hAnsi="Museo Sans 300"/>
          <w:b/>
          <w:bCs/>
          <w:vertAlign w:val="baseline"/>
          <w:lang w:eastAsia="es-ES"/>
        </w:rPr>
        <w:t>Sanciones (1)</w:t>
      </w:r>
    </w:p>
    <w:p w14:paraId="615686B5" w14:textId="03CCCD05" w:rsidR="00351A49" w:rsidRPr="008656A1" w:rsidRDefault="00351A49" w:rsidP="008656A1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Museo Sans 300" w:hAnsi="Museo Sans 300"/>
        </w:rPr>
      </w:pPr>
      <w:r w:rsidRPr="008656A1">
        <w:rPr>
          <w:rFonts w:ascii="Museo Sans 300" w:hAnsi="Museo Sans 300"/>
          <w:b/>
          <w:lang w:val="es-GT"/>
        </w:rPr>
        <w:t xml:space="preserve">Art. 14-A.- </w:t>
      </w:r>
      <w:r w:rsidRPr="008656A1">
        <w:rPr>
          <w:rFonts w:ascii="Museo Sans 300" w:hAnsi="Museo Sans 300"/>
        </w:rPr>
        <w:t xml:space="preserve">Los incumplimientos a </w:t>
      </w:r>
      <w:r w:rsidR="00BD5DD7" w:rsidRPr="008656A1">
        <w:rPr>
          <w:rFonts w:ascii="Museo Sans 300" w:hAnsi="Museo Sans 300"/>
        </w:rPr>
        <w:t xml:space="preserve">las </w:t>
      </w:r>
      <w:r w:rsidRPr="008656A1">
        <w:rPr>
          <w:rFonts w:ascii="Museo Sans 300" w:hAnsi="Museo Sans 300"/>
        </w:rPr>
        <w:t>disposiciones contenidas en las presentes Normas, serán sancionados de conformidad a lo establecido en la Ley de Supervisión y Regulación del Sistema Financiero. (1)</w:t>
      </w:r>
    </w:p>
    <w:p w14:paraId="69582AAD" w14:textId="766A16C5" w:rsidR="00351A49" w:rsidRPr="008656A1" w:rsidRDefault="00351A49" w:rsidP="008656A1">
      <w:pPr>
        <w:spacing w:after="0" w:line="240" w:lineRule="auto"/>
        <w:jc w:val="both"/>
        <w:rPr>
          <w:rFonts w:ascii="Museo Sans 300" w:hAnsi="Museo Sans 300"/>
          <w:strike/>
          <w:lang w:val="es-GT"/>
        </w:rPr>
      </w:pPr>
    </w:p>
    <w:p w14:paraId="1F0F33B1" w14:textId="1BB18EEE" w:rsidR="00351A49" w:rsidRPr="008656A1" w:rsidRDefault="00351A49" w:rsidP="008656A1">
      <w:pPr>
        <w:spacing w:after="0" w:line="240" w:lineRule="auto"/>
        <w:contextualSpacing/>
        <w:jc w:val="both"/>
        <w:rPr>
          <w:rFonts w:ascii="Museo Sans 300" w:hAnsi="Museo Sans 300"/>
          <w:b/>
          <w:color w:val="000000" w:themeColor="text1"/>
        </w:rPr>
      </w:pPr>
      <w:r w:rsidRPr="008656A1">
        <w:rPr>
          <w:rFonts w:ascii="Museo Sans 300" w:hAnsi="Museo Sans 300"/>
          <w:b/>
          <w:color w:val="000000" w:themeColor="text1"/>
        </w:rPr>
        <w:t xml:space="preserve">Aspectos no previstos (1) </w:t>
      </w:r>
    </w:p>
    <w:p w14:paraId="253EC280" w14:textId="65FD30FE" w:rsidR="00351A49" w:rsidRPr="008656A1" w:rsidRDefault="00351A49" w:rsidP="008656A1">
      <w:pPr>
        <w:pStyle w:val="Prrafodelista"/>
        <w:widowControl w:val="0"/>
        <w:tabs>
          <w:tab w:val="left" w:pos="851"/>
        </w:tabs>
        <w:ind w:left="0"/>
        <w:contextualSpacing/>
        <w:jc w:val="both"/>
        <w:outlineLvl w:val="0"/>
        <w:rPr>
          <w:rFonts w:ascii="Museo Sans 300" w:eastAsia="Arial Narrow" w:hAnsi="Museo Sans 300"/>
          <w:color w:val="000000" w:themeColor="text1"/>
          <w:sz w:val="22"/>
          <w:szCs w:val="22"/>
        </w:rPr>
      </w:pPr>
      <w:r w:rsidRPr="008656A1">
        <w:rPr>
          <w:rFonts w:ascii="Museo Sans 300" w:hAnsi="Museo Sans 300"/>
          <w:b/>
          <w:sz w:val="22"/>
          <w:szCs w:val="22"/>
          <w:lang w:val="es-GT"/>
        </w:rPr>
        <w:t>Art. 15.-</w:t>
      </w:r>
      <w:r w:rsidRPr="008656A1">
        <w:rPr>
          <w:sz w:val="22"/>
          <w:szCs w:val="22"/>
        </w:rPr>
        <w:t xml:space="preserve"> </w:t>
      </w:r>
      <w:r w:rsidRPr="008656A1">
        <w:rPr>
          <w:rFonts w:ascii="Museo Sans 300" w:eastAsia="Arial Narrow" w:hAnsi="Museo Sans 300"/>
          <w:color w:val="000000" w:themeColor="text1"/>
          <w:sz w:val="22"/>
          <w:szCs w:val="22"/>
        </w:rPr>
        <w:t xml:space="preserve">Los aspectos no previstos en materia de regulación en las presentes Normas, serán resueltos por el Banco </w:t>
      </w:r>
      <w:r w:rsidRPr="008656A1">
        <w:rPr>
          <w:rFonts w:ascii="Museo Sans 300" w:eastAsia="Arial Narrow" w:hAnsi="Museo Sans 300"/>
          <w:sz w:val="22"/>
          <w:szCs w:val="22"/>
        </w:rPr>
        <w:t xml:space="preserve">Central </w:t>
      </w:r>
      <w:r w:rsidR="00882355" w:rsidRPr="008656A1">
        <w:rPr>
          <w:rFonts w:ascii="Museo Sans 300" w:eastAsia="Arial Narrow" w:hAnsi="Museo Sans 300"/>
          <w:sz w:val="22"/>
          <w:szCs w:val="22"/>
        </w:rPr>
        <w:t xml:space="preserve">de Reserva </w:t>
      </w:r>
      <w:r w:rsidR="003F7266" w:rsidRPr="008656A1">
        <w:rPr>
          <w:rFonts w:ascii="Museo Sans 300" w:eastAsia="Arial Narrow" w:hAnsi="Museo Sans 300"/>
          <w:sz w:val="22"/>
          <w:szCs w:val="22"/>
        </w:rPr>
        <w:t xml:space="preserve">de El Salvador </w:t>
      </w:r>
      <w:r w:rsidRPr="008656A1">
        <w:rPr>
          <w:rFonts w:ascii="Museo Sans 300" w:eastAsia="Arial Narrow" w:hAnsi="Museo Sans 300"/>
          <w:sz w:val="22"/>
          <w:szCs w:val="22"/>
        </w:rPr>
        <w:t>por medio de su Comité de Normas. (1)</w:t>
      </w:r>
      <w:r w:rsidR="00AF4BBF" w:rsidRPr="008656A1">
        <w:rPr>
          <w:rFonts w:ascii="Museo Sans 300" w:eastAsia="Arial Narrow" w:hAnsi="Museo Sans 300"/>
          <w:sz w:val="22"/>
          <w:szCs w:val="22"/>
        </w:rPr>
        <w:t xml:space="preserve"> </w:t>
      </w:r>
    </w:p>
    <w:p w14:paraId="03E4B88B" w14:textId="77777777" w:rsidR="007E4AC3" w:rsidRPr="008656A1" w:rsidRDefault="007E4AC3" w:rsidP="008656A1">
      <w:pPr>
        <w:pStyle w:val="Prrafodelista"/>
        <w:widowControl w:val="0"/>
        <w:tabs>
          <w:tab w:val="left" w:pos="851"/>
        </w:tabs>
        <w:ind w:left="0"/>
        <w:contextualSpacing/>
        <w:jc w:val="both"/>
        <w:outlineLvl w:val="0"/>
        <w:rPr>
          <w:rFonts w:ascii="Museo Sans 300" w:eastAsia="Arial Narrow" w:hAnsi="Museo Sans 300"/>
          <w:color w:val="000000" w:themeColor="text1"/>
          <w:sz w:val="22"/>
          <w:szCs w:val="22"/>
        </w:rPr>
      </w:pPr>
    </w:p>
    <w:p w14:paraId="1E62DD7D" w14:textId="77777777" w:rsidR="00351A49" w:rsidRPr="001112C4" w:rsidRDefault="003F4F4C" w:rsidP="008656A1">
      <w:pPr>
        <w:spacing w:after="0" w:line="240" w:lineRule="auto"/>
        <w:jc w:val="both"/>
        <w:rPr>
          <w:rFonts w:ascii="Museo Sans 300" w:hAnsi="Museo Sans 300"/>
          <w:lang w:val="es-GT"/>
        </w:rPr>
      </w:pPr>
      <w:r w:rsidRPr="001112C4">
        <w:rPr>
          <w:rFonts w:ascii="Museo Sans 300" w:hAnsi="Museo Sans 300"/>
          <w:b/>
          <w:lang w:val="es-GT"/>
        </w:rPr>
        <w:t>Art. 16.-</w:t>
      </w:r>
      <w:r w:rsidRPr="001112C4">
        <w:rPr>
          <w:rFonts w:ascii="Museo Sans 300" w:hAnsi="Museo Sans 300"/>
          <w:lang w:val="es-GT"/>
        </w:rPr>
        <w:t xml:space="preserve"> Las presentes Normas </w:t>
      </w:r>
      <w:proofErr w:type="gramStart"/>
      <w:r w:rsidRPr="001112C4">
        <w:rPr>
          <w:rFonts w:ascii="Museo Sans 300" w:hAnsi="Museo Sans 300"/>
          <w:lang w:val="es-GT"/>
        </w:rPr>
        <w:t>entrarán en vigencia</w:t>
      </w:r>
      <w:proofErr w:type="gramEnd"/>
      <w:r w:rsidRPr="001112C4">
        <w:rPr>
          <w:rFonts w:ascii="Museo Sans 300" w:hAnsi="Museo Sans 300"/>
          <w:lang w:val="es-GT"/>
        </w:rPr>
        <w:t xml:space="preserve"> a partir del primero de diciembre del año dos mil.</w:t>
      </w:r>
    </w:p>
    <w:p w14:paraId="7C031EF5" w14:textId="32BF6936" w:rsidR="00351A49" w:rsidRPr="001112C4" w:rsidRDefault="00351A49" w:rsidP="008656A1">
      <w:pPr>
        <w:spacing w:after="0" w:line="240" w:lineRule="auto"/>
        <w:jc w:val="both"/>
        <w:rPr>
          <w:rFonts w:ascii="Museo Sans 300" w:hAnsi="Museo Sans 300"/>
          <w:lang w:val="es-GT"/>
        </w:rPr>
      </w:pPr>
    </w:p>
    <w:p w14:paraId="2D5A8693" w14:textId="77777777" w:rsidR="008656A1" w:rsidRDefault="008656A1" w:rsidP="008656A1">
      <w:pPr>
        <w:widowControl w:val="0"/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val="es-ES_tradnl"/>
        </w:rPr>
      </w:pPr>
    </w:p>
    <w:p w14:paraId="0C49304E" w14:textId="77777777" w:rsidR="008656A1" w:rsidRDefault="008656A1" w:rsidP="008656A1">
      <w:pPr>
        <w:widowControl w:val="0"/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val="es-ES_tradnl"/>
        </w:rPr>
      </w:pPr>
    </w:p>
    <w:p w14:paraId="126F43E8" w14:textId="77777777" w:rsidR="008656A1" w:rsidRDefault="008656A1" w:rsidP="008656A1">
      <w:pPr>
        <w:widowControl w:val="0"/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val="es-ES_tradnl"/>
        </w:rPr>
      </w:pPr>
    </w:p>
    <w:p w14:paraId="22A8315B" w14:textId="77777777" w:rsidR="008656A1" w:rsidRDefault="008656A1" w:rsidP="008656A1">
      <w:pPr>
        <w:widowControl w:val="0"/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val="es-ES_tradnl"/>
        </w:rPr>
      </w:pPr>
    </w:p>
    <w:p w14:paraId="51A0232D" w14:textId="77777777" w:rsidR="008656A1" w:rsidRDefault="008656A1" w:rsidP="008656A1">
      <w:pPr>
        <w:widowControl w:val="0"/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val="es-ES_tradnl"/>
        </w:rPr>
      </w:pPr>
    </w:p>
    <w:p w14:paraId="03CA0D26" w14:textId="07725E2D" w:rsidR="00E23DCF" w:rsidRDefault="00E23DCF" w:rsidP="008656A1">
      <w:pPr>
        <w:widowControl w:val="0"/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val="es-ES_tradnl"/>
        </w:rPr>
      </w:pPr>
      <w:r w:rsidRPr="00096991">
        <w:rPr>
          <w:rFonts w:ascii="Museo Sans 300" w:hAnsi="Museo Sans 300"/>
          <w:b/>
          <w:sz w:val="20"/>
          <w:szCs w:val="20"/>
          <w:lang w:val="es-ES_tradnl"/>
        </w:rPr>
        <w:t xml:space="preserve">MODIFICACIONES: </w:t>
      </w:r>
    </w:p>
    <w:p w14:paraId="49939C3E" w14:textId="77777777" w:rsidR="008656A1" w:rsidRPr="00096991" w:rsidRDefault="008656A1" w:rsidP="008656A1">
      <w:pPr>
        <w:widowControl w:val="0"/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val="es-ES_tradnl"/>
        </w:rPr>
      </w:pPr>
    </w:p>
    <w:p w14:paraId="585D1836" w14:textId="4B7DC6EB" w:rsidR="00622049" w:rsidRPr="008656A1" w:rsidRDefault="00E23DCF" w:rsidP="008656A1">
      <w:pPr>
        <w:keepNext/>
        <w:keepLines/>
        <w:widowControl w:val="0"/>
        <w:spacing w:line="240" w:lineRule="auto"/>
        <w:ind w:left="425" w:hanging="425"/>
        <w:jc w:val="both"/>
        <w:rPr>
          <w:rFonts w:ascii="Museo Sans 300" w:hAnsi="Museo Sans 300"/>
          <w:color w:val="000000" w:themeColor="text1"/>
        </w:rPr>
      </w:pPr>
      <w:r w:rsidRPr="008656A1">
        <w:rPr>
          <w:rFonts w:ascii="Museo Sans 300" w:hAnsi="Museo Sans 300"/>
          <w:b/>
          <w:bCs/>
          <w:sz w:val="20"/>
          <w:szCs w:val="20"/>
        </w:rPr>
        <w:lastRenderedPageBreak/>
        <w:t>(1)</w:t>
      </w:r>
      <w:r w:rsidRPr="008656A1">
        <w:rPr>
          <w:rFonts w:ascii="Museo Sans 300" w:hAnsi="Museo Sans 300"/>
          <w:b/>
          <w:bCs/>
          <w:sz w:val="20"/>
          <w:szCs w:val="20"/>
        </w:rPr>
        <w:tab/>
      </w:r>
      <w:r w:rsidR="008656A1" w:rsidRP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Modificaci</w:t>
      </w:r>
      <w:r w:rsidR="00C073DF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ones en el nombre de las Normas, </w:t>
      </w:r>
      <w:r w:rsidR="008656A1" w:rsidRP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en </w:t>
      </w:r>
      <w:r w:rsidR="00F57C59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la </w:t>
      </w:r>
      <w:r w:rsidR="000A1BFB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base legal del </w:t>
      </w:r>
      <w:r w:rsidR="008656A1" w:rsidRP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Considerando, artículos 1, 2, 3, 4, 5, 6, 9, 11, 12, 13 y 15, y en el Glosario numeral 2, sustitución de los artículos 7 y 8, e incorporación de los artículos </w:t>
      </w:r>
      <w:r w:rsidR="00660BD6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</w:t>
      </w:r>
      <w:r w:rsidR="008656A1" w:rsidRP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6-A, 8-A y 14-A</w:t>
      </w:r>
      <w:r w:rsid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,</w:t>
      </w:r>
      <w:r w:rsidR="008656A1" w:rsidRP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aprobadas por el Banco Central de Reserva de El Salvador por medio de su Comité de Normas, en Sesión CN-05/2022, de </w:t>
      </w:r>
      <w:r w:rsidR="004F78FC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10</w:t>
      </w:r>
      <w:r w:rsidR="008656A1" w:rsidRP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de junio de dos mil veintidós, con vigencia a partir del día </w:t>
      </w:r>
      <w:r w:rsidR="004F78FC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29</w:t>
      </w:r>
      <w:r w:rsidR="008656A1" w:rsidRP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de </w:t>
      </w:r>
      <w:r w:rsid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junio</w:t>
      </w:r>
      <w:r w:rsidR="008656A1" w:rsidRPr="008656A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de dos mil veintidós.</w:t>
      </w:r>
      <w:r w:rsidR="00622049" w:rsidRPr="008656A1">
        <w:rPr>
          <w:rFonts w:ascii="Museo Sans 300" w:hAnsi="Museo Sans 300"/>
          <w:color w:val="000000" w:themeColor="text1"/>
        </w:rPr>
        <w:br w:type="page"/>
      </w:r>
    </w:p>
    <w:p w14:paraId="18A3FA60" w14:textId="77777777" w:rsidR="00CA2B33" w:rsidRPr="00622049" w:rsidRDefault="00CA2B33" w:rsidP="008656A1">
      <w:pPr>
        <w:spacing w:line="240" w:lineRule="auto"/>
        <w:jc w:val="center"/>
        <w:rPr>
          <w:rFonts w:ascii="Museo Sans 300" w:hAnsi="Museo Sans 300"/>
          <w:b/>
        </w:rPr>
      </w:pPr>
      <w:r w:rsidRPr="00622049">
        <w:rPr>
          <w:rFonts w:ascii="Museo Sans 300" w:hAnsi="Museo Sans 300"/>
          <w:b/>
        </w:rPr>
        <w:lastRenderedPageBreak/>
        <w:t>GLOSARIO</w:t>
      </w:r>
    </w:p>
    <w:p w14:paraId="71D9883F" w14:textId="295DA893" w:rsidR="00CA2B33" w:rsidRPr="00351A49" w:rsidRDefault="00CA2B33" w:rsidP="008656A1">
      <w:pPr>
        <w:numPr>
          <w:ilvl w:val="0"/>
          <w:numId w:val="14"/>
        </w:num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  <w:r w:rsidRPr="00351A49">
        <w:rPr>
          <w:rFonts w:ascii="Museo Sans 300" w:hAnsi="Museo Sans 300"/>
          <w:b/>
          <w:bCs/>
          <w:lang w:val="es-ES_tradnl"/>
        </w:rPr>
        <w:t>Concepto de subsidiaria</w:t>
      </w:r>
    </w:p>
    <w:p w14:paraId="3AE967D9" w14:textId="77777777" w:rsidR="00CA2B33" w:rsidRPr="00622049" w:rsidRDefault="00CA2B33" w:rsidP="008656A1">
      <w:pPr>
        <w:spacing w:after="0" w:line="240" w:lineRule="auto"/>
        <w:ind w:left="425"/>
        <w:jc w:val="both"/>
        <w:rPr>
          <w:rFonts w:ascii="Museo Sans 300" w:hAnsi="Museo Sans 300"/>
          <w:lang w:val="es-ES_tradnl"/>
        </w:rPr>
      </w:pPr>
      <w:r w:rsidRPr="00622049">
        <w:rPr>
          <w:rFonts w:ascii="Museo Sans 300" w:hAnsi="Museo Sans 300"/>
          <w:lang w:val="es-ES_tradnl"/>
        </w:rPr>
        <w:t xml:space="preserve">Son subsidiarias o filiales, las sociedades en las cuales un </w:t>
      </w:r>
      <w:proofErr w:type="gramStart"/>
      <w:r w:rsidRPr="00622049">
        <w:rPr>
          <w:rFonts w:ascii="Museo Sans 300" w:hAnsi="Museo Sans 300"/>
          <w:lang w:val="es-ES_tradnl"/>
        </w:rPr>
        <w:t>banco controlador o sociedad controladora</w:t>
      </w:r>
      <w:proofErr w:type="gramEnd"/>
      <w:r w:rsidRPr="00622049">
        <w:rPr>
          <w:rFonts w:ascii="Museo Sans 300" w:hAnsi="Museo Sans 300"/>
          <w:lang w:val="es-ES_tradnl"/>
        </w:rPr>
        <w:t xml:space="preserve"> de finalidad exclusiva, es titular de más del cincuenta por ciento de la participación social. </w:t>
      </w:r>
    </w:p>
    <w:p w14:paraId="2741B345" w14:textId="77777777" w:rsidR="00CA2B33" w:rsidRPr="00622049" w:rsidRDefault="00CA2B33" w:rsidP="008656A1">
      <w:pPr>
        <w:spacing w:after="0" w:line="240" w:lineRule="auto"/>
        <w:ind w:left="425"/>
        <w:jc w:val="both"/>
        <w:rPr>
          <w:rFonts w:ascii="Museo Sans 300" w:hAnsi="Museo Sans 300"/>
          <w:lang w:val="es-ES_tradnl"/>
        </w:rPr>
      </w:pPr>
    </w:p>
    <w:p w14:paraId="1E8723D4" w14:textId="44C609CB" w:rsidR="00CA2B33" w:rsidRPr="00351A49" w:rsidRDefault="00CA2B33" w:rsidP="008656A1">
      <w:pPr>
        <w:numPr>
          <w:ilvl w:val="0"/>
          <w:numId w:val="14"/>
        </w:num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  <w:r w:rsidRPr="00351A49">
        <w:rPr>
          <w:rFonts w:ascii="Museo Sans 300" w:hAnsi="Museo Sans 300"/>
          <w:b/>
          <w:bCs/>
          <w:lang w:val="es-ES_tradnl"/>
        </w:rPr>
        <w:t xml:space="preserve">Concepto de sociedad de inversión </w:t>
      </w:r>
      <w:r w:rsidRPr="00FE73F4">
        <w:rPr>
          <w:rFonts w:ascii="Museo Sans 300" w:hAnsi="Museo Sans 300"/>
          <w:b/>
          <w:bCs/>
          <w:lang w:val="es-ES_tradnl"/>
        </w:rPr>
        <w:t>conjunta</w:t>
      </w:r>
    </w:p>
    <w:p w14:paraId="6EA6DF54" w14:textId="2237B56C" w:rsidR="00CA2B33" w:rsidRPr="008656A1" w:rsidRDefault="00CA2B33" w:rsidP="008656A1">
      <w:pPr>
        <w:spacing w:after="0" w:line="240" w:lineRule="auto"/>
        <w:ind w:left="425"/>
        <w:jc w:val="both"/>
        <w:rPr>
          <w:rFonts w:ascii="Museo Sans 300" w:hAnsi="Museo Sans 300"/>
          <w:lang w:val="es-ES_tradnl"/>
        </w:rPr>
      </w:pPr>
      <w:r w:rsidRPr="00641E2D">
        <w:rPr>
          <w:rFonts w:ascii="Museo Sans 300" w:hAnsi="Museo Sans 300"/>
          <w:lang w:val="es-ES_tradnl"/>
        </w:rPr>
        <w:t>Son sociedades de inversión conjunta, aquellas en las cuales un banco</w:t>
      </w:r>
      <w:r w:rsidR="00A23656" w:rsidRPr="00641E2D">
        <w:rPr>
          <w:rFonts w:ascii="Museo Sans 300" w:hAnsi="Museo Sans 300"/>
          <w:lang w:val="es-ES_tradnl"/>
        </w:rPr>
        <w:t xml:space="preserve">, banco cooperativo o sociedad de ahorro y crédito, </w:t>
      </w:r>
      <w:r w:rsidRPr="00641E2D">
        <w:rPr>
          <w:rFonts w:ascii="Museo Sans 300" w:hAnsi="Museo Sans 300"/>
          <w:lang w:val="es-ES_tradnl"/>
        </w:rPr>
        <w:t xml:space="preserve">en conjunto con otro </w:t>
      </w:r>
      <w:r w:rsidR="00A23656" w:rsidRPr="00641E2D">
        <w:rPr>
          <w:rFonts w:ascii="Museo Sans 300" w:hAnsi="Museo Sans 300"/>
          <w:lang w:val="es-ES_tradnl"/>
        </w:rPr>
        <w:t>sujeto obligado</w:t>
      </w:r>
      <w:r w:rsidRPr="00641E2D">
        <w:rPr>
          <w:rFonts w:ascii="Museo Sans 300" w:hAnsi="Museo Sans 300"/>
          <w:lang w:val="es-ES_tradnl"/>
        </w:rPr>
        <w:t>, son titulares de más del cincuenta por ciento de las acciones comunes.</w:t>
      </w:r>
      <w:r w:rsidR="00641E2D">
        <w:rPr>
          <w:rFonts w:ascii="Museo Sans 300" w:hAnsi="Museo Sans 300"/>
          <w:lang w:val="es-ES_tradnl"/>
        </w:rPr>
        <w:t xml:space="preserve"> </w:t>
      </w:r>
      <w:r w:rsidR="00641E2D" w:rsidRPr="008656A1">
        <w:rPr>
          <w:rFonts w:ascii="Museo Sans 300" w:hAnsi="Museo Sans 300"/>
          <w:lang w:val="es-ES_tradnl"/>
        </w:rPr>
        <w:t>(1)</w:t>
      </w:r>
    </w:p>
    <w:p w14:paraId="12D29CCB" w14:textId="77777777" w:rsidR="00CA2B33" w:rsidRPr="00641E2D" w:rsidRDefault="00CA2B33" w:rsidP="008656A1">
      <w:pPr>
        <w:spacing w:after="0" w:line="240" w:lineRule="auto"/>
        <w:ind w:left="425"/>
        <w:jc w:val="both"/>
        <w:rPr>
          <w:rFonts w:ascii="Museo Sans 300" w:hAnsi="Museo Sans 300"/>
          <w:lang w:val="es-ES_tradnl"/>
        </w:rPr>
      </w:pPr>
    </w:p>
    <w:p w14:paraId="34D5D437" w14:textId="02342543" w:rsidR="00CA2B33" w:rsidRPr="00641E2D" w:rsidRDefault="00CA2B33" w:rsidP="008656A1">
      <w:pPr>
        <w:numPr>
          <w:ilvl w:val="0"/>
          <w:numId w:val="14"/>
        </w:numPr>
        <w:tabs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b/>
          <w:bCs/>
          <w:lang w:val="es-ES_tradnl"/>
        </w:rPr>
      </w:pPr>
      <w:r w:rsidRPr="00641E2D">
        <w:rPr>
          <w:rFonts w:ascii="Museo Sans 300" w:hAnsi="Museo Sans 300"/>
          <w:b/>
          <w:bCs/>
          <w:lang w:val="es-ES_tradnl"/>
        </w:rPr>
        <w:t>Concepto de controladora</w:t>
      </w:r>
    </w:p>
    <w:p w14:paraId="1642D483" w14:textId="77777777" w:rsidR="00CA2B33" w:rsidRPr="00622049" w:rsidRDefault="00CA2B33" w:rsidP="008656A1">
      <w:pPr>
        <w:spacing w:after="0" w:line="240" w:lineRule="auto"/>
        <w:ind w:left="425"/>
        <w:jc w:val="both"/>
        <w:rPr>
          <w:rFonts w:ascii="Museo Sans 300" w:hAnsi="Museo Sans 300"/>
          <w:lang w:val="es-ES_tradnl"/>
        </w:rPr>
      </w:pPr>
      <w:r w:rsidRPr="00622049">
        <w:rPr>
          <w:rFonts w:ascii="Museo Sans 300" w:hAnsi="Museo Sans 300"/>
          <w:lang w:val="es-ES_tradnl"/>
        </w:rPr>
        <w:t>Son controladoras, las sociedades propietarias de al menos el cincuenta por ciento de las acciones de otras sociedades del sistema financiero, la controladora puede ser un banco o una sociedad cuya finalidad exclusiva sea la inversión en otras sociedades del sistema financiero.</w:t>
      </w:r>
    </w:p>
    <w:p w14:paraId="1CDF540C" w14:textId="77777777" w:rsidR="00CA2B33" w:rsidRPr="00622049" w:rsidRDefault="00CA2B33" w:rsidP="008656A1">
      <w:pPr>
        <w:spacing w:after="0" w:line="240" w:lineRule="auto"/>
        <w:ind w:left="425"/>
        <w:jc w:val="both"/>
        <w:rPr>
          <w:rFonts w:ascii="Museo Sans 300" w:hAnsi="Museo Sans 300"/>
          <w:lang w:val="es-ES_tradnl"/>
        </w:rPr>
      </w:pPr>
    </w:p>
    <w:p w14:paraId="3EA81B83" w14:textId="6E246AE9" w:rsidR="00CA2B33" w:rsidRPr="00351A49" w:rsidRDefault="00CA2B33" w:rsidP="008656A1">
      <w:pPr>
        <w:numPr>
          <w:ilvl w:val="0"/>
          <w:numId w:val="14"/>
        </w:numPr>
        <w:tabs>
          <w:tab w:val="num" w:pos="-2127"/>
        </w:tabs>
        <w:spacing w:after="0" w:line="240" w:lineRule="auto"/>
        <w:ind w:left="425" w:hanging="425"/>
        <w:jc w:val="both"/>
        <w:rPr>
          <w:rFonts w:ascii="Museo Sans 300" w:hAnsi="Museo Sans 300"/>
          <w:b/>
          <w:bCs/>
          <w:lang w:val="es-ES_tradnl"/>
        </w:rPr>
      </w:pPr>
      <w:r w:rsidRPr="00351A49">
        <w:rPr>
          <w:rFonts w:ascii="Museo Sans 300" w:hAnsi="Museo Sans 300"/>
          <w:b/>
          <w:bCs/>
          <w:lang w:val="es-ES_tradnl"/>
        </w:rPr>
        <w:t>Controladora de finalidad exclusiva</w:t>
      </w:r>
    </w:p>
    <w:p w14:paraId="224FA3B6" w14:textId="3C294359" w:rsidR="009E1459" w:rsidRPr="00622049" w:rsidRDefault="00CA2B33" w:rsidP="008656A1">
      <w:pPr>
        <w:spacing w:after="0" w:line="240" w:lineRule="auto"/>
        <w:ind w:left="425"/>
        <w:jc w:val="both"/>
        <w:rPr>
          <w:rFonts w:ascii="Museo Sans 300" w:hAnsi="Museo Sans 300"/>
          <w:lang w:val="es-ES_tradnl"/>
        </w:rPr>
      </w:pPr>
      <w:r w:rsidRPr="00622049">
        <w:rPr>
          <w:rFonts w:ascii="Museo Sans 300" w:hAnsi="Museo Sans 300"/>
          <w:lang w:val="es-ES_tradnl"/>
        </w:rPr>
        <w:t>Son sociedades controladoras de finalidad exclusiva, aquellas que son propietarias de al menos el cincuenta por ciento de las acciones de otras sociedades y su finalidad es únicamente la inversión en acciones de otras sociedades del sistema financiero.</w:t>
      </w:r>
    </w:p>
    <w:sectPr w:rsidR="009E1459" w:rsidRPr="00622049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968" w14:textId="77777777" w:rsidR="00532EFB" w:rsidRDefault="00532EFB" w:rsidP="009C24F4">
      <w:pPr>
        <w:spacing w:after="0" w:line="240" w:lineRule="auto"/>
      </w:pPr>
      <w:r>
        <w:separator/>
      </w:r>
    </w:p>
  </w:endnote>
  <w:endnote w:type="continuationSeparator" w:id="0">
    <w:p w14:paraId="70B16A2C" w14:textId="77777777" w:rsidR="00532EFB" w:rsidRDefault="00532EFB" w:rsidP="009C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Borders>
        <w:top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50"/>
      <w:gridCol w:w="6978"/>
      <w:gridCol w:w="1801"/>
    </w:tblGrid>
    <w:tr w:rsidR="00680914" w:rsidRPr="00330E9B" w14:paraId="77D0D53B" w14:textId="77777777" w:rsidTr="00AC0909">
      <w:trPr>
        <w:trHeight w:val="836"/>
        <w:jc w:val="center"/>
      </w:trPr>
      <w:tc>
        <w:tcPr>
          <w:tcW w:w="22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87165A" w14:textId="77777777" w:rsidR="00680914" w:rsidRPr="00330E9B" w:rsidRDefault="00680914" w:rsidP="00680914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20"/>
            </w:rPr>
          </w:pPr>
        </w:p>
        <w:p w14:paraId="34712BA0" w14:textId="77777777" w:rsidR="00680914" w:rsidRPr="00330E9B" w:rsidRDefault="00680914" w:rsidP="00680914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20"/>
            </w:rPr>
          </w:pPr>
        </w:p>
        <w:p w14:paraId="74A3640D" w14:textId="77777777" w:rsidR="00680914" w:rsidRPr="00330E9B" w:rsidRDefault="00680914" w:rsidP="00680914">
          <w:pPr>
            <w:pStyle w:val="Piedepgina"/>
            <w:ind w:firstLine="34"/>
            <w:rPr>
              <w:rFonts w:ascii="Museo Sans 300" w:hAnsi="Museo Sans 300"/>
              <w:sz w:val="18"/>
              <w:szCs w:val="20"/>
              <w:lang w:val="es-ES"/>
            </w:rPr>
          </w:pPr>
        </w:p>
      </w:tc>
      <w:tc>
        <w:tcPr>
          <w:tcW w:w="6998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3B423924" w14:textId="77777777" w:rsidR="00680914" w:rsidRPr="00330E9B" w:rsidRDefault="00680914" w:rsidP="00680914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MX"/>
            </w:rPr>
          </w:pPr>
          <w:r w:rsidRPr="00330E9B"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MX"/>
            </w:rPr>
            <w:t>Alameda Juan Pablo II, entre 15 y 17 Av. Norte, San Salvador, El Salvador.</w:t>
          </w:r>
        </w:p>
        <w:p w14:paraId="7696DBA3" w14:textId="77777777" w:rsidR="00680914" w:rsidRPr="00330E9B" w:rsidRDefault="00680914" w:rsidP="00680914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ES"/>
            </w:rPr>
          </w:pPr>
          <w:r w:rsidRPr="00330E9B">
            <w:rPr>
              <w:rFonts w:ascii="Museo Sans 300" w:hAnsi="Museo Sans 300" w:cs="Arial"/>
              <w:color w:val="808080" w:themeColor="background1" w:themeShade="80"/>
              <w:sz w:val="18"/>
              <w:szCs w:val="20"/>
            </w:rPr>
            <w:t>Tel. (503) 2281-8000</w:t>
          </w:r>
        </w:p>
        <w:p w14:paraId="1474F9F3" w14:textId="77777777" w:rsidR="00680914" w:rsidRPr="00330E9B" w:rsidRDefault="00680914" w:rsidP="00680914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ES"/>
            </w:rPr>
          </w:pPr>
          <w:r w:rsidRPr="00330E9B">
            <w:rPr>
              <w:rFonts w:ascii="Museo Sans 300" w:hAnsi="Museo Sans 300" w:cs="Arial"/>
              <w:color w:val="808080" w:themeColor="background1" w:themeShade="80"/>
              <w:sz w:val="18"/>
              <w:szCs w:val="20"/>
            </w:rPr>
            <w:t>www.bcr.gob.sv</w:t>
          </w:r>
        </w:p>
      </w:tc>
      <w:tc>
        <w:tcPr>
          <w:tcW w:w="1805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66A58AF5" w14:textId="77777777" w:rsidR="00680914" w:rsidRPr="00330E9B" w:rsidRDefault="00AD30CB" w:rsidP="00680914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ES"/>
            </w:rPr>
          </w:pPr>
          <w:sdt>
            <w:sdtPr>
              <w:rPr>
                <w:rFonts w:ascii="Museo Sans 300" w:hAnsi="Museo Sans 300" w:cs="Arial"/>
                <w:color w:val="808080" w:themeColor="background1" w:themeShade="80"/>
                <w:sz w:val="18"/>
                <w:szCs w:val="20"/>
              </w:rPr>
              <w:id w:val="27452830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hAnsi="Museo Sans 300" w:cs="Arial"/>
                    <w:color w:val="808080" w:themeColor="background1" w:themeShade="80"/>
                    <w:sz w:val="18"/>
                    <w:szCs w:val="20"/>
                  </w:rPr>
                  <w:id w:val="177320786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t xml:space="preserve">Página </w:t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begin"/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instrText>PAGE</w:instrText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separate"/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t>6</w:t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end"/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t xml:space="preserve"> de </w:t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begin"/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instrText>NUMPAGES</w:instrText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separate"/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t>14</w:t>
                  </w:r>
                  <w:r w:rsidR="00680914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5C95F9AB" w14:textId="77777777" w:rsidR="009C24F4" w:rsidRDefault="009C24F4" w:rsidP="009C24F4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2832" w14:textId="77777777" w:rsidR="00532EFB" w:rsidRDefault="00532EFB" w:rsidP="009C24F4">
      <w:pPr>
        <w:spacing w:after="0" w:line="240" w:lineRule="auto"/>
      </w:pPr>
      <w:r>
        <w:separator/>
      </w:r>
    </w:p>
  </w:footnote>
  <w:footnote w:type="continuationSeparator" w:id="0">
    <w:p w14:paraId="5C1D475E" w14:textId="77777777" w:rsidR="00532EFB" w:rsidRDefault="00532EFB" w:rsidP="009C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pPr w:leftFromText="141" w:rightFromText="141" w:horzAnchor="margin" w:tblpXSpec="center" w:tblpY="-645"/>
      <w:tblW w:w="10627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385"/>
      <w:gridCol w:w="6656"/>
      <w:gridCol w:w="1586"/>
    </w:tblGrid>
    <w:tr w:rsidR="00680914" w:rsidRPr="00680914" w14:paraId="6FE9C1C0" w14:textId="77777777" w:rsidTr="00AC0909">
      <w:trPr>
        <w:trHeight w:val="371"/>
      </w:trPr>
      <w:tc>
        <w:tcPr>
          <w:tcW w:w="2385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53ACBC5D" w14:textId="19B6D684" w:rsidR="00680914" w:rsidRPr="002246C0" w:rsidRDefault="00680914" w:rsidP="00680914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246C0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CDSSF-53/2000</w:t>
          </w:r>
        </w:p>
      </w:tc>
      <w:tc>
        <w:tcPr>
          <w:tcW w:w="6656" w:type="dxa"/>
          <w:vMerge w:val="restart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right w:val="triple" w:sz="4" w:space="0" w:color="BFBFBF" w:themeColor="background1" w:themeShade="BF"/>
          </w:tcBorders>
          <w:vAlign w:val="center"/>
        </w:tcPr>
        <w:p w14:paraId="146EA765" w14:textId="77777777" w:rsidR="00680914" w:rsidRPr="002246C0" w:rsidRDefault="00680914" w:rsidP="00680914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246C0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NPB1-10</w:t>
          </w:r>
        </w:p>
        <w:p w14:paraId="6C915C3E" w14:textId="5C826559" w:rsidR="00680914" w:rsidRPr="002246C0" w:rsidRDefault="00680914" w:rsidP="00680914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246C0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NORMAS PARA AUTORIZAR A LOS BANCOS, FEDERACIONES, BANCOS COOPERATIVOS, SOCIEDADES DE AHORRO Y CR</w:t>
          </w:r>
          <w:r w:rsidR="00D306CB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É</w:t>
          </w:r>
          <w:r w:rsidRPr="002246C0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DITO Y CONTROLADORAS DE FINALIDAD EXCLUSIVA A REALIZAR INVERSIONES ACCIONARIAS EN SOCIEDADES SALVADOREÑAS</w:t>
          </w:r>
        </w:p>
      </w:tc>
      <w:tc>
        <w:tcPr>
          <w:tcW w:w="1586" w:type="dxa"/>
          <w:vMerge w:val="restart"/>
          <w:tcBorders>
            <w:top w:val="triple" w:sz="4" w:space="0" w:color="A6A6A6" w:themeColor="background1" w:themeShade="A6"/>
            <w:left w:val="triple" w:sz="4" w:space="0" w:color="BFBFBF" w:themeColor="background1" w:themeShade="BF"/>
            <w:right w:val="triple" w:sz="4" w:space="0" w:color="A6A6A6" w:themeColor="background1" w:themeShade="A6"/>
          </w:tcBorders>
          <w:vAlign w:val="center"/>
        </w:tcPr>
        <w:p w14:paraId="1F8C9982" w14:textId="77777777" w:rsidR="00680914" w:rsidRPr="00680914" w:rsidRDefault="00680914" w:rsidP="00680914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sz w:val="18"/>
              <w:szCs w:val="18"/>
            </w:rPr>
          </w:pPr>
        </w:p>
      </w:tc>
    </w:tr>
    <w:tr w:rsidR="00680914" w:rsidRPr="00680914" w14:paraId="101780EE" w14:textId="77777777" w:rsidTr="00AC0909">
      <w:trPr>
        <w:trHeight w:val="379"/>
      </w:trPr>
      <w:tc>
        <w:tcPr>
          <w:tcW w:w="2385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75BAE56C" w14:textId="0BBE0387" w:rsidR="00680914" w:rsidRPr="002246C0" w:rsidRDefault="00680914" w:rsidP="00680914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246C0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Aprobación: 12/10/2000</w:t>
          </w:r>
        </w:p>
      </w:tc>
      <w:tc>
        <w:tcPr>
          <w:tcW w:w="6656" w:type="dxa"/>
          <w:vMerge/>
          <w:tcBorders>
            <w:left w:val="triple" w:sz="4" w:space="0" w:color="A6A6A6" w:themeColor="background1" w:themeShade="A6"/>
            <w:right w:val="triple" w:sz="4" w:space="0" w:color="BFBFBF" w:themeColor="background1" w:themeShade="BF"/>
          </w:tcBorders>
          <w:vAlign w:val="center"/>
          <w:hideMark/>
        </w:tcPr>
        <w:p w14:paraId="1E00580C" w14:textId="77777777" w:rsidR="00680914" w:rsidRPr="002246C0" w:rsidRDefault="00680914" w:rsidP="00680914">
          <w:pPr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1586" w:type="dxa"/>
          <w:vMerge/>
          <w:tcBorders>
            <w:left w:val="triple" w:sz="4" w:space="0" w:color="BFBFBF" w:themeColor="background1" w:themeShade="BF"/>
            <w:right w:val="triple" w:sz="4" w:space="0" w:color="A6A6A6" w:themeColor="background1" w:themeShade="A6"/>
          </w:tcBorders>
          <w:vAlign w:val="center"/>
        </w:tcPr>
        <w:p w14:paraId="0E3E88EC" w14:textId="77777777" w:rsidR="00680914" w:rsidRPr="00680914" w:rsidRDefault="00680914" w:rsidP="00680914">
          <w:pPr>
            <w:rPr>
              <w:rFonts w:ascii="Museo Sans 300" w:hAnsi="Museo Sans 300" w:cs="Arial"/>
              <w:sz w:val="18"/>
              <w:szCs w:val="18"/>
            </w:rPr>
          </w:pPr>
        </w:p>
      </w:tc>
    </w:tr>
    <w:tr w:rsidR="00680914" w:rsidRPr="00680914" w14:paraId="31B9A4CB" w14:textId="77777777" w:rsidTr="00AC0909">
      <w:trPr>
        <w:trHeight w:val="372"/>
      </w:trPr>
      <w:tc>
        <w:tcPr>
          <w:tcW w:w="2385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70B9F0F7" w14:textId="5E62F7E6" w:rsidR="00680914" w:rsidRPr="002246C0" w:rsidRDefault="00680914" w:rsidP="00680914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246C0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Vigencia: 01/12/2000</w:t>
          </w:r>
        </w:p>
      </w:tc>
      <w:tc>
        <w:tcPr>
          <w:tcW w:w="6656" w:type="dxa"/>
          <w:vMerge/>
          <w:tcBorders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BFBFBF" w:themeColor="background1" w:themeShade="BF"/>
          </w:tcBorders>
          <w:vAlign w:val="center"/>
          <w:hideMark/>
        </w:tcPr>
        <w:p w14:paraId="285E3103" w14:textId="77777777" w:rsidR="00680914" w:rsidRPr="002246C0" w:rsidRDefault="00680914" w:rsidP="00680914">
          <w:pPr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1586" w:type="dxa"/>
          <w:vMerge/>
          <w:tcBorders>
            <w:left w:val="triple" w:sz="4" w:space="0" w:color="BFBFBF" w:themeColor="background1" w:themeShade="BF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14:paraId="408B0E8A" w14:textId="77777777" w:rsidR="00680914" w:rsidRPr="00680914" w:rsidRDefault="00680914" w:rsidP="00680914">
          <w:pPr>
            <w:rPr>
              <w:rFonts w:ascii="Museo Sans 300" w:hAnsi="Museo Sans 300" w:cs="Arial"/>
              <w:sz w:val="18"/>
              <w:szCs w:val="18"/>
            </w:rPr>
          </w:pPr>
        </w:p>
      </w:tc>
    </w:tr>
  </w:tbl>
  <w:p w14:paraId="121B6DE0" w14:textId="77777777" w:rsidR="000434DF" w:rsidRPr="00680914" w:rsidRDefault="000434DF" w:rsidP="006809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E79"/>
    <w:multiLevelType w:val="singleLevel"/>
    <w:tmpl w:val="71C4E0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color w:val="auto"/>
        <w:u w:val="none"/>
      </w:rPr>
    </w:lvl>
  </w:abstractNum>
  <w:abstractNum w:abstractNumId="1" w15:restartNumberingAfterBreak="0">
    <w:nsid w:val="0CBB07E9"/>
    <w:multiLevelType w:val="hybridMultilevel"/>
    <w:tmpl w:val="7082BF3C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CC20FE0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0BF6"/>
    <w:multiLevelType w:val="hybridMultilevel"/>
    <w:tmpl w:val="2E9C9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483"/>
    <w:multiLevelType w:val="singleLevel"/>
    <w:tmpl w:val="B7A487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5" w15:restartNumberingAfterBreak="0">
    <w:nsid w:val="227B71C6"/>
    <w:multiLevelType w:val="hybridMultilevel"/>
    <w:tmpl w:val="C12EB8F6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7BA2"/>
    <w:multiLevelType w:val="singleLevel"/>
    <w:tmpl w:val="080A000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</w:abstractNum>
  <w:abstractNum w:abstractNumId="7" w15:restartNumberingAfterBreak="0">
    <w:nsid w:val="3F014EAF"/>
    <w:multiLevelType w:val="singleLevel"/>
    <w:tmpl w:val="B0A428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color w:val="auto"/>
        <w:u w:val="none"/>
      </w:rPr>
    </w:lvl>
  </w:abstractNum>
  <w:abstractNum w:abstractNumId="8" w15:restartNumberingAfterBreak="0">
    <w:nsid w:val="40E43711"/>
    <w:multiLevelType w:val="hybridMultilevel"/>
    <w:tmpl w:val="159C70EA"/>
    <w:lvl w:ilvl="0" w:tplc="2A242300">
      <w:start w:val="1"/>
      <w:numFmt w:val="decimal"/>
      <w:lvlText w:val="(%1)"/>
      <w:lvlJc w:val="left"/>
      <w:pPr>
        <w:ind w:left="780" w:hanging="42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3DB5"/>
    <w:multiLevelType w:val="hybridMultilevel"/>
    <w:tmpl w:val="C28C29B4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C32D1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320FE"/>
    <w:multiLevelType w:val="hybridMultilevel"/>
    <w:tmpl w:val="D278C32A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824C32"/>
    <w:multiLevelType w:val="hybridMultilevel"/>
    <w:tmpl w:val="EE20C382"/>
    <w:lvl w:ilvl="0" w:tplc="00ECD6A6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87FCB"/>
    <w:multiLevelType w:val="hybridMultilevel"/>
    <w:tmpl w:val="2F2AA98C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63841"/>
    <w:multiLevelType w:val="hybridMultilevel"/>
    <w:tmpl w:val="9878DF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53CAD"/>
    <w:multiLevelType w:val="hybridMultilevel"/>
    <w:tmpl w:val="0A34F01E"/>
    <w:lvl w:ilvl="0" w:tplc="74E03650">
      <w:start w:val="1"/>
      <w:numFmt w:val="decimal"/>
      <w:pStyle w:val="TDC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24910"/>
    <w:multiLevelType w:val="hybridMultilevel"/>
    <w:tmpl w:val="7882A9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81356"/>
    <w:multiLevelType w:val="hybridMultilevel"/>
    <w:tmpl w:val="3462211E"/>
    <w:lvl w:ilvl="0" w:tplc="87F68D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3"/>
  </w:num>
  <w:num w:numId="5">
    <w:abstractNumId w:val="9"/>
  </w:num>
  <w:num w:numId="6">
    <w:abstractNumId w:val="5"/>
  </w:num>
  <w:num w:numId="7">
    <w:abstractNumId w:val="14"/>
  </w:num>
  <w:num w:numId="8">
    <w:abstractNumId w:val="16"/>
  </w:num>
  <w:num w:numId="9">
    <w:abstractNumId w:val="17"/>
  </w:num>
  <w:num w:numId="10">
    <w:abstractNumId w:val="3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2"/>
  </w:num>
  <w:num w:numId="16">
    <w:abstractNumId w:val="11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F4"/>
    <w:rsid w:val="00000EA9"/>
    <w:rsid w:val="000058C4"/>
    <w:rsid w:val="00006D61"/>
    <w:rsid w:val="000434DF"/>
    <w:rsid w:val="000435DC"/>
    <w:rsid w:val="00061577"/>
    <w:rsid w:val="000679F5"/>
    <w:rsid w:val="0009223A"/>
    <w:rsid w:val="00096169"/>
    <w:rsid w:val="000A1BFB"/>
    <w:rsid w:val="000B73A8"/>
    <w:rsid w:val="000C0035"/>
    <w:rsid w:val="000E6678"/>
    <w:rsid w:val="000F26BB"/>
    <w:rsid w:val="000F2D00"/>
    <w:rsid w:val="00103E1E"/>
    <w:rsid w:val="001112C4"/>
    <w:rsid w:val="00114F45"/>
    <w:rsid w:val="00122E8D"/>
    <w:rsid w:val="00123860"/>
    <w:rsid w:val="00146637"/>
    <w:rsid w:val="0016488B"/>
    <w:rsid w:val="0016721E"/>
    <w:rsid w:val="00175022"/>
    <w:rsid w:val="001806B4"/>
    <w:rsid w:val="001A61E7"/>
    <w:rsid w:val="001B587E"/>
    <w:rsid w:val="001B7262"/>
    <w:rsid w:val="001C334A"/>
    <w:rsid w:val="001F260F"/>
    <w:rsid w:val="00212FDD"/>
    <w:rsid w:val="00223D24"/>
    <w:rsid w:val="002246C0"/>
    <w:rsid w:val="00224CC1"/>
    <w:rsid w:val="002250BD"/>
    <w:rsid w:val="00237057"/>
    <w:rsid w:val="00286AD0"/>
    <w:rsid w:val="002916AF"/>
    <w:rsid w:val="002955EB"/>
    <w:rsid w:val="002B79E9"/>
    <w:rsid w:val="002D11AF"/>
    <w:rsid w:val="002D2136"/>
    <w:rsid w:val="003152DC"/>
    <w:rsid w:val="00315832"/>
    <w:rsid w:val="00340BB6"/>
    <w:rsid w:val="00342E82"/>
    <w:rsid w:val="00351A49"/>
    <w:rsid w:val="00357318"/>
    <w:rsid w:val="00357D7E"/>
    <w:rsid w:val="003634BB"/>
    <w:rsid w:val="00370C71"/>
    <w:rsid w:val="003B6AE2"/>
    <w:rsid w:val="003F4F4C"/>
    <w:rsid w:val="003F6C4A"/>
    <w:rsid w:val="003F7266"/>
    <w:rsid w:val="0041459D"/>
    <w:rsid w:val="0042307B"/>
    <w:rsid w:val="0044771A"/>
    <w:rsid w:val="004641A5"/>
    <w:rsid w:val="00492D79"/>
    <w:rsid w:val="004D064C"/>
    <w:rsid w:val="004D558F"/>
    <w:rsid w:val="004E57C4"/>
    <w:rsid w:val="004F78FC"/>
    <w:rsid w:val="00510D58"/>
    <w:rsid w:val="005125D7"/>
    <w:rsid w:val="00530E93"/>
    <w:rsid w:val="00532EFB"/>
    <w:rsid w:val="0054389F"/>
    <w:rsid w:val="005449AF"/>
    <w:rsid w:val="0055787A"/>
    <w:rsid w:val="00573BA6"/>
    <w:rsid w:val="005855E3"/>
    <w:rsid w:val="00593EA4"/>
    <w:rsid w:val="005B2D92"/>
    <w:rsid w:val="005E4A1A"/>
    <w:rsid w:val="005F574D"/>
    <w:rsid w:val="00601169"/>
    <w:rsid w:val="00612866"/>
    <w:rsid w:val="00615DCE"/>
    <w:rsid w:val="00622049"/>
    <w:rsid w:val="00622796"/>
    <w:rsid w:val="0062521C"/>
    <w:rsid w:val="00641E2D"/>
    <w:rsid w:val="006560E4"/>
    <w:rsid w:val="00660BD6"/>
    <w:rsid w:val="006648CC"/>
    <w:rsid w:val="00680914"/>
    <w:rsid w:val="006822E6"/>
    <w:rsid w:val="006929C0"/>
    <w:rsid w:val="006942DE"/>
    <w:rsid w:val="006B21C4"/>
    <w:rsid w:val="006D32E4"/>
    <w:rsid w:val="00704B09"/>
    <w:rsid w:val="00737058"/>
    <w:rsid w:val="0075264D"/>
    <w:rsid w:val="00790038"/>
    <w:rsid w:val="007A0299"/>
    <w:rsid w:val="007A43DD"/>
    <w:rsid w:val="007B4179"/>
    <w:rsid w:val="007C3971"/>
    <w:rsid w:val="007C7D80"/>
    <w:rsid w:val="007E4AC3"/>
    <w:rsid w:val="007F0E96"/>
    <w:rsid w:val="0080015E"/>
    <w:rsid w:val="0081133F"/>
    <w:rsid w:val="008263D9"/>
    <w:rsid w:val="00832D07"/>
    <w:rsid w:val="00857D36"/>
    <w:rsid w:val="008656A1"/>
    <w:rsid w:val="00866648"/>
    <w:rsid w:val="00882355"/>
    <w:rsid w:val="008852A7"/>
    <w:rsid w:val="008914BB"/>
    <w:rsid w:val="008C5C84"/>
    <w:rsid w:val="008F1BCC"/>
    <w:rsid w:val="008F7338"/>
    <w:rsid w:val="009364C2"/>
    <w:rsid w:val="00951D5D"/>
    <w:rsid w:val="0095399F"/>
    <w:rsid w:val="009A13D3"/>
    <w:rsid w:val="009A2328"/>
    <w:rsid w:val="009C24F4"/>
    <w:rsid w:val="009E1151"/>
    <w:rsid w:val="009E1459"/>
    <w:rsid w:val="009E693F"/>
    <w:rsid w:val="009F1657"/>
    <w:rsid w:val="00A054DD"/>
    <w:rsid w:val="00A20FE4"/>
    <w:rsid w:val="00A23606"/>
    <w:rsid w:val="00A23656"/>
    <w:rsid w:val="00A34F09"/>
    <w:rsid w:val="00A570B9"/>
    <w:rsid w:val="00A81E2D"/>
    <w:rsid w:val="00A947CB"/>
    <w:rsid w:val="00AD30CB"/>
    <w:rsid w:val="00AE6E9C"/>
    <w:rsid w:val="00AF4BBF"/>
    <w:rsid w:val="00B046CB"/>
    <w:rsid w:val="00B050C6"/>
    <w:rsid w:val="00B50714"/>
    <w:rsid w:val="00B518FB"/>
    <w:rsid w:val="00B52784"/>
    <w:rsid w:val="00B60385"/>
    <w:rsid w:val="00B64423"/>
    <w:rsid w:val="00B8517F"/>
    <w:rsid w:val="00B90C54"/>
    <w:rsid w:val="00B939D9"/>
    <w:rsid w:val="00BB1CAB"/>
    <w:rsid w:val="00BD5DD7"/>
    <w:rsid w:val="00C073DF"/>
    <w:rsid w:val="00C15BF5"/>
    <w:rsid w:val="00C26AEE"/>
    <w:rsid w:val="00C43AE3"/>
    <w:rsid w:val="00C611CF"/>
    <w:rsid w:val="00C8769D"/>
    <w:rsid w:val="00CA084E"/>
    <w:rsid w:val="00CA25D9"/>
    <w:rsid w:val="00CA2B33"/>
    <w:rsid w:val="00CB22DF"/>
    <w:rsid w:val="00CB44A9"/>
    <w:rsid w:val="00CD291E"/>
    <w:rsid w:val="00CE209E"/>
    <w:rsid w:val="00CE71AF"/>
    <w:rsid w:val="00D059CE"/>
    <w:rsid w:val="00D306CB"/>
    <w:rsid w:val="00D33534"/>
    <w:rsid w:val="00D43520"/>
    <w:rsid w:val="00D55733"/>
    <w:rsid w:val="00D739F7"/>
    <w:rsid w:val="00D9260A"/>
    <w:rsid w:val="00D969F1"/>
    <w:rsid w:val="00DD02CE"/>
    <w:rsid w:val="00DD3A85"/>
    <w:rsid w:val="00DD5D1F"/>
    <w:rsid w:val="00DE463D"/>
    <w:rsid w:val="00E23DCF"/>
    <w:rsid w:val="00E77F3C"/>
    <w:rsid w:val="00E92F47"/>
    <w:rsid w:val="00E97D44"/>
    <w:rsid w:val="00EB5F24"/>
    <w:rsid w:val="00EB6A49"/>
    <w:rsid w:val="00EE3475"/>
    <w:rsid w:val="00EF11B4"/>
    <w:rsid w:val="00F05A5D"/>
    <w:rsid w:val="00F228DD"/>
    <w:rsid w:val="00F37E2C"/>
    <w:rsid w:val="00F45713"/>
    <w:rsid w:val="00F57C59"/>
    <w:rsid w:val="00F7175C"/>
    <w:rsid w:val="00FA2EBD"/>
    <w:rsid w:val="00FC15F3"/>
    <w:rsid w:val="00FC7155"/>
    <w:rsid w:val="00FD2061"/>
    <w:rsid w:val="00FE0693"/>
    <w:rsid w:val="00FE0A2C"/>
    <w:rsid w:val="00FE2C28"/>
    <w:rsid w:val="00FE3D86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D3C45E1"/>
  <w15:docId w15:val="{473C547E-4A7E-42F7-998C-668723B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4C"/>
    <w:rPr>
      <w:lang w:val="es-SV"/>
    </w:rPr>
  </w:style>
  <w:style w:type="paragraph" w:styleId="Ttulo1">
    <w:name w:val="heading 1"/>
    <w:basedOn w:val="Normal"/>
    <w:next w:val="Normal"/>
    <w:link w:val="Ttulo1Car"/>
    <w:qFormat/>
    <w:rsid w:val="00AE6E9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tulo3">
    <w:name w:val="heading 3"/>
    <w:basedOn w:val="Normal"/>
    <w:next w:val="Normal"/>
    <w:link w:val="Ttulo3Car"/>
    <w:qFormat/>
    <w:rsid w:val="00AE6E9C"/>
    <w:pPr>
      <w:keepNext/>
      <w:spacing w:after="0" w:line="240" w:lineRule="auto"/>
      <w:ind w:firstLine="708"/>
      <w:jc w:val="both"/>
      <w:outlineLvl w:val="2"/>
    </w:pPr>
    <w:rPr>
      <w:rFonts w:ascii="Arial" w:eastAsia="Times New Roman" w:hAnsi="Arial" w:cs="Times New Roman"/>
      <w:b/>
      <w:sz w:val="24"/>
      <w:szCs w:val="20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6E9C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AE6E9C"/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Sinespaciado">
    <w:name w:val="No Spacing"/>
    <w:uiPriority w:val="1"/>
    <w:qFormat/>
    <w:rsid w:val="00AE6E9C"/>
    <w:pPr>
      <w:spacing w:after="0" w:line="240" w:lineRule="auto"/>
    </w:pPr>
    <w:rPr>
      <w:rFonts w:ascii="Calibri" w:eastAsia="Times New Roman" w:hAnsi="Calibri" w:cs="Times New Roman"/>
      <w:vertAlign w:val="superscript"/>
      <w:lang w:val="es-SV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AE6E9C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AE6E9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6E9C"/>
    <w:pPr>
      <w:numPr>
        <w:numId w:val="1"/>
      </w:numPr>
      <w:tabs>
        <w:tab w:val="right" w:leader="dot" w:pos="8830"/>
      </w:tabs>
      <w:spacing w:after="100"/>
    </w:pPr>
    <w:rPr>
      <w:rFonts w:eastAsiaTheme="minorEastAsia"/>
      <w:lang w:val="es-MX" w:eastAsia="es-MX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AE6E9C"/>
    <w:pPr>
      <w:spacing w:after="100"/>
      <w:ind w:left="220"/>
    </w:pPr>
    <w:rPr>
      <w:rFonts w:eastAsiaTheme="minorEastAsia"/>
      <w:lang w:val="es-MX" w:eastAsia="es-MX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AE6E9C"/>
    <w:pPr>
      <w:spacing w:after="100"/>
      <w:ind w:left="440"/>
    </w:pPr>
    <w:rPr>
      <w:rFonts w:eastAsiaTheme="minorEastAsia"/>
      <w:lang w:val="es-MX" w:eastAsia="es-MX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E6E9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customStyle="1" w:styleId="Default">
    <w:name w:val="Default"/>
    <w:rsid w:val="009C2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Encabezado">
    <w:name w:val="header"/>
    <w:basedOn w:val="Normal"/>
    <w:link w:val="EncabezadoCar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24F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F4"/>
    <w:rPr>
      <w:lang w:val="es-SV"/>
    </w:rPr>
  </w:style>
  <w:style w:type="table" w:customStyle="1" w:styleId="Tablaconcuadrcula1">
    <w:name w:val="Tabla con cuadrícula1"/>
    <w:basedOn w:val="Tablanormal"/>
    <w:uiPriority w:val="59"/>
    <w:rsid w:val="009C24F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4F4"/>
    <w:rPr>
      <w:rFonts w:ascii="Tahoma" w:hAnsi="Tahoma" w:cs="Tahoma"/>
      <w:sz w:val="16"/>
      <w:szCs w:val="16"/>
      <w:lang w:val="es-SV"/>
    </w:rPr>
  </w:style>
  <w:style w:type="paragraph" w:customStyle="1" w:styleId="0AcapiteIN">
    <w:name w:val="0. Acapite IN"/>
    <w:basedOn w:val="Descripcin"/>
    <w:link w:val="0AcapiteINCar"/>
    <w:qFormat/>
    <w:rsid w:val="000B73A8"/>
    <w:pPr>
      <w:widowControl w:val="0"/>
      <w:spacing w:after="0"/>
      <w:jc w:val="center"/>
    </w:pPr>
    <w:rPr>
      <w:rFonts w:ascii="Arial Narrow" w:eastAsiaTheme="majorEastAsia" w:hAnsi="Arial Narrow" w:cs="Times New Roman"/>
      <w:bCs w:val="0"/>
      <w:noProof/>
      <w:snapToGrid w:val="0"/>
      <w:color w:val="auto"/>
      <w:sz w:val="24"/>
      <w:szCs w:val="20"/>
      <w:lang w:val="es-ES" w:eastAsia="es-ES"/>
    </w:rPr>
  </w:style>
  <w:style w:type="paragraph" w:customStyle="1" w:styleId="1luegodel">
    <w:name w:val="1. luego del :"/>
    <w:basedOn w:val="Normal"/>
    <w:link w:val="1luegodelCar"/>
    <w:qFormat/>
    <w:rsid w:val="000B73A8"/>
    <w:pPr>
      <w:spacing w:after="120" w:line="240" w:lineRule="auto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eastAsia="es-MX"/>
    </w:rPr>
  </w:style>
  <w:style w:type="character" w:customStyle="1" w:styleId="0AcapiteINCar">
    <w:name w:val="0. Acapite IN Car"/>
    <w:basedOn w:val="Fuentedeprrafopredeter"/>
    <w:link w:val="0AcapiteIN"/>
    <w:rsid w:val="000B73A8"/>
    <w:rPr>
      <w:rFonts w:ascii="Arial Narrow" w:eastAsiaTheme="majorEastAsia" w:hAnsi="Arial Narrow" w:cs="Times New Roman"/>
      <w:b/>
      <w:noProof/>
      <w:snapToGrid w:val="0"/>
      <w:sz w:val="24"/>
      <w:szCs w:val="20"/>
      <w:lang w:val="es-ES" w:eastAsia="es-ES"/>
    </w:rPr>
  </w:style>
  <w:style w:type="paragraph" w:customStyle="1" w:styleId="2nivel1">
    <w:name w:val="2.nivel 1"/>
    <w:basedOn w:val="Normal"/>
    <w:link w:val="2nivel1Car"/>
    <w:qFormat/>
    <w:rsid w:val="000B73A8"/>
    <w:pPr>
      <w:spacing w:after="0" w:line="240" w:lineRule="auto"/>
      <w:ind w:left="425" w:hanging="425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eastAsia="es-MX"/>
    </w:rPr>
  </w:style>
  <w:style w:type="character" w:customStyle="1" w:styleId="1luegodelCar">
    <w:name w:val="1. luego del : Car"/>
    <w:basedOn w:val="Fuentedeprrafopredeter"/>
    <w:link w:val="1luegodel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character" w:customStyle="1" w:styleId="2nivel1Car">
    <w:name w:val="2.nivel 1 Car"/>
    <w:basedOn w:val="Fuentedeprrafopredeter"/>
    <w:link w:val="2nivel1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B73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9E11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1151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table" w:styleId="Tablaconcuadrcula">
    <w:name w:val="Table Grid"/>
    <w:basedOn w:val="Tablanormal"/>
    <w:uiPriority w:val="59"/>
    <w:rsid w:val="009E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3F4F4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F4F4C"/>
    <w:rPr>
      <w:lang w:val="es-SV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A2B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A2B33"/>
    <w:rPr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1A61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61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1E7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1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1E7"/>
    <w:rPr>
      <w:b/>
      <w:bCs/>
      <w:sz w:val="20"/>
      <w:szCs w:val="20"/>
      <w:lang w:val="es-SV"/>
    </w:rPr>
  </w:style>
  <w:style w:type="paragraph" w:styleId="Revisin">
    <w:name w:val="Revision"/>
    <w:hidden/>
    <w:uiPriority w:val="99"/>
    <w:semiHidden/>
    <w:rsid w:val="00A34F09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TAK2XWSQXAVX-1676556059-4712</_dlc_DocId>
    <_dlc_DocIdUrl xmlns="925361b9-3a0c-4c35-ae0e-5f5ef97db517">
      <Url>http://sis/dn/_layouts/15/DocIdRedir.aspx?ID=TAK2XWSQXAVX-1676556059-4712</Url>
      <Description>TAK2XWSQXAVX-1676556059-4712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D3B18ACB94346A00B415865940FF8" ma:contentTypeVersion="4" ma:contentTypeDescription="Crear nuevo documento." ma:contentTypeScope="" ma:versionID="5bef0ff0271dc8ea9f9f34541398f665">
  <xsd:schema xmlns:xsd="http://www.w3.org/2001/XMLSchema" xmlns:xs="http://www.w3.org/2001/XMLSchema" xmlns:p="http://schemas.microsoft.com/office/2006/metadata/properties" xmlns:ns2="925361b9-3a0c-4c35-ae0e-5f5ef97db517" xmlns:ns3="0287c0b5-b5c5-4019-839b-c1f429e15169" targetNamespace="http://schemas.microsoft.com/office/2006/metadata/properties" ma:root="true" ma:fieldsID="08348971b5b83e58e901971ba9b9a4fd" ns2:_="" ns3:_="">
    <xsd:import namespace="925361b9-3a0c-4c35-ae0e-5f5ef97db517"/>
    <xsd:import namespace="0287c0b5-b5c5-4019-839b-c1f429e151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c0b5-b5c5-4019-839b-c1f429e15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FBC1C-4B43-4B4D-B4B0-344340F32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2F9C3-BDAD-48DE-A983-5658FE7FF051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925361b9-3a0c-4c35-ae0e-5f5ef97db517"/>
    <ds:schemaRef ds:uri="http://schemas.openxmlformats.org/package/2006/metadata/core-properties"/>
    <ds:schemaRef ds:uri="0287c0b5-b5c5-4019-839b-c1f429e1516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B9C41F-196C-4E42-8F12-BDC513037E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89640A-6E6C-4F31-8453-C67945B67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0287c0b5-b5c5-4019-839b-c1f429e15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DF2219-430B-446D-812E-3A3AC0677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2936</Words>
  <Characters>16149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dnwendy</dc:creator>
  <cp:lastModifiedBy>Evelyn Guadalupe Auxiliadora Meléndez Gómez</cp:lastModifiedBy>
  <cp:revision>4</cp:revision>
  <cp:lastPrinted>2022-06-14T16:11:00Z</cp:lastPrinted>
  <dcterms:created xsi:type="dcterms:W3CDTF">2022-06-10T22:52:00Z</dcterms:created>
  <dcterms:modified xsi:type="dcterms:W3CDTF">2022-06-14T16:14:00Z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0x010100DB8D3B18ACB94346A00B415865940FF8</vt:lpwstr>
  </property>
  <property fmtid="{D5CDD505-2E9C-101B-9397-08002B2CF9AE}" pid="3" name="_dlc_DocIdItemGuid">
    <vt:lpwstr>b32839ce-a3ef-483d-9142-3df648d313bf</vt:lpwstr>
  </property>
</Properties>
</file>