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CBB2" w14:textId="29B05056" w:rsidR="00EA7AE0" w:rsidRPr="00367B21" w:rsidRDefault="00C50F47" w:rsidP="009F41DB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6BFE4" wp14:editId="114B01C4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1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D82" w:rsidRPr="00367B21">
        <w:rPr>
          <w:rFonts w:ascii="Museo Sans 300" w:eastAsiaTheme="majorEastAsia" w:hAnsi="Museo Sans 300" w:cstheme="majorBidi"/>
          <w:iCs/>
          <w:color w:val="000000" w:themeColor="text1"/>
        </w:rPr>
        <w:t>El Consejo Directivo de la Superintendencia del Sistema Financiero, a fin de propiciar el cumplimiento del artículo 95 de la Ley de Sociedades de Seguros, emite el presente:</w:t>
      </w:r>
    </w:p>
    <w:p w14:paraId="1E1437D5" w14:textId="77777777" w:rsidR="00EA7AE0" w:rsidRPr="00367B21" w:rsidRDefault="00EA7AE0" w:rsidP="009F41DB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</w:p>
    <w:p w14:paraId="454361A5" w14:textId="3824DA55" w:rsidR="002A4026" w:rsidRPr="00367B21" w:rsidRDefault="002A4026" w:rsidP="007F4B6A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</w:rPr>
        <w:t>INSTRUCTIVO PARA LA TENENCIA DE ACTIVOS EXTRAORDINARIOS DE SOCIEDADES DE SEGUROS</w:t>
      </w:r>
      <w:r w:rsidR="00AC20A6" w:rsidRPr="00367B21">
        <w:rPr>
          <w:rFonts w:ascii="Museo Sans 300" w:eastAsiaTheme="majorEastAsia" w:hAnsi="Museo Sans 300" w:cstheme="majorBidi"/>
          <w:b/>
          <w:iCs/>
          <w:color w:val="000000" w:themeColor="text1"/>
        </w:rPr>
        <w:t xml:space="preserve"> </w:t>
      </w:r>
    </w:p>
    <w:p w14:paraId="75C19394" w14:textId="77777777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1E478383" w14:textId="77777777" w:rsidR="002A4026" w:rsidRPr="00367B21" w:rsidRDefault="002A4026" w:rsidP="007F4B6A">
      <w:pPr>
        <w:pStyle w:val="Prrafodelista"/>
        <w:keepNext/>
        <w:keepLines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OBJETO</w:t>
      </w:r>
    </w:p>
    <w:p w14:paraId="388CFE0D" w14:textId="14EE460C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El presente Instructivo tiene por objeto establecer el trámite para la autorización de prórrogas</w:t>
      </w:r>
      <w:r w:rsidR="00AC20A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para tenencia o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conservación y liquidación de</w:t>
      </w:r>
      <w:r w:rsidR="00E5067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activos extraordinarios de sociedades de seguros.</w:t>
      </w:r>
      <w:r w:rsidR="00AC20A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(1)</w:t>
      </w:r>
    </w:p>
    <w:p w14:paraId="06F4EE3B" w14:textId="77777777" w:rsidR="007F205F" w:rsidRPr="00367B21" w:rsidRDefault="007F205F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13FAFAD0" w14:textId="7D640613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El término sociedades de seguros comprende las sociedades de seguros constituidas en El Salvador, las sucursales de aseguradoras extranjeras y las asociaciones cooperativas que prestan servicios de seguros.</w:t>
      </w:r>
    </w:p>
    <w:p w14:paraId="014A1366" w14:textId="77777777" w:rsidR="007F205F" w:rsidRPr="00367B21" w:rsidRDefault="007F205F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1E74B8FC" w14:textId="3954DA2D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Cuando en este Instructivo se </w:t>
      </w:r>
      <w:proofErr w:type="gramStart"/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haga mención de</w:t>
      </w:r>
      <w:proofErr w:type="gramEnd"/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la Superintendencia, se entenderá que se trata de la Superintendencia del Sistema Financiero.</w:t>
      </w:r>
    </w:p>
    <w:p w14:paraId="0742C2FF" w14:textId="77777777" w:rsidR="007F205F" w:rsidRPr="00367B21" w:rsidRDefault="007F205F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7EE95098" w14:textId="77777777" w:rsidR="002A4026" w:rsidRPr="00367B21" w:rsidRDefault="002A4026" w:rsidP="007F4B6A">
      <w:pPr>
        <w:pStyle w:val="Prrafodelista"/>
        <w:keepNext/>
        <w:keepLines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PLAZO DE TENENCIA</w:t>
      </w:r>
    </w:p>
    <w:p w14:paraId="57C5C822" w14:textId="339B54C5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Las sociedades de seguros dispondrán de un plazo de dos años para liquidar los activos extraordinarios que adquieran; dicho plazo se contará a partir de la fecha de la adquisición y podrá ser prorrogado por la Superintendencia hasta por un período de ciento ochenta días. </w:t>
      </w:r>
    </w:p>
    <w:p w14:paraId="690FD731" w14:textId="77777777" w:rsidR="007F205F" w:rsidRPr="00367B21" w:rsidRDefault="007F205F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599BB65D" w14:textId="6584CDFF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Si transcurrieran los plazos antes mencionados y no se hubiese efectuado la liquidación del bien, se aplicará lo establecido en 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IV del presente Instructivo.</w:t>
      </w:r>
    </w:p>
    <w:p w14:paraId="45AFEAD9" w14:textId="77777777" w:rsidR="002A4026" w:rsidRPr="00367B21" w:rsidRDefault="002A4026" w:rsidP="007F4B6A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</w:p>
    <w:p w14:paraId="08D1513D" w14:textId="00028A13" w:rsidR="002A4026" w:rsidRPr="00367B21" w:rsidRDefault="00B93F5D" w:rsidP="007F4B6A">
      <w:pPr>
        <w:pStyle w:val="Prrafodelista"/>
        <w:keepNext/>
        <w:keepLines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strike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SOLICITUD DE PR</w:t>
      </w:r>
      <w:r w:rsidR="003C388B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Ó</w:t>
      </w: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RROGA PARA LA TENENCIA DE ACTIVOS EXTRAORDINARIOS</w:t>
      </w:r>
      <w:r w:rsidR="00F755D5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 </w:t>
      </w:r>
      <w:r w:rsidR="008456D9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(1)</w:t>
      </w:r>
    </w:p>
    <w:p w14:paraId="612652CC" w14:textId="48083832" w:rsidR="002A4026" w:rsidRPr="00367B21" w:rsidRDefault="002A4026" w:rsidP="00B41A56">
      <w:pPr>
        <w:pStyle w:val="Prrafodelista"/>
        <w:keepNext/>
        <w:keepLines/>
        <w:numPr>
          <w:ilvl w:val="0"/>
          <w:numId w:val="13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Las sociedades de seguros interesadas en obtener prórroga para la tenencia de los activos extraordinarios, deben presentar a la Superintendencia solicitud, por lo menos con treinta días de anticipación a la fecha de vencimiento del plazo establecido</w:t>
      </w:r>
      <w:r w:rsidR="005422A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="005422A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II del presente Instructivo y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la Ley</w:t>
      </w:r>
      <w:r w:rsidR="005422A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 Sociedades de Seguros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 adjuntando la descripción del activo, los antecedentes</w:t>
      </w:r>
      <w:r w:rsidR="00E5067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y otras consideraciones que justifiquen la solicitud.</w:t>
      </w:r>
      <w:r w:rsidR="00482E83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16433A72" w14:textId="77777777" w:rsidR="002A4026" w:rsidRPr="00367B21" w:rsidRDefault="002A4026" w:rsidP="00B41A56">
      <w:pPr>
        <w:pStyle w:val="Prrafodelista"/>
        <w:keepNext/>
        <w:keepLines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2C25F531" w14:textId="023727F8" w:rsidR="002A4026" w:rsidRPr="00367B21" w:rsidRDefault="002A4026" w:rsidP="00B92248">
      <w:pPr>
        <w:pStyle w:val="Prrafodelista"/>
        <w:widowControl w:val="0"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justificación deberá contener evidencia de los esfuerzos de venta realizados por diferentes medios de comercialización y con la reiteración suficiente para obtener resultados positivos.</w:t>
      </w:r>
    </w:p>
    <w:p w14:paraId="190501AE" w14:textId="77777777" w:rsidR="00AA206C" w:rsidRPr="00367B21" w:rsidRDefault="00AA206C" w:rsidP="00B41A56">
      <w:pPr>
        <w:pStyle w:val="Prrafodelista"/>
        <w:widowControl w:val="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7E74DD8A" w14:textId="7A259180" w:rsidR="00F47E39" w:rsidRPr="00367B21" w:rsidRDefault="00641037" w:rsidP="00B41A56">
      <w:pPr>
        <w:pStyle w:val="Prrafodelista"/>
        <w:widowControl w:val="0"/>
        <w:numPr>
          <w:ilvl w:val="0"/>
          <w:numId w:val="13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solicitud y documentación podrán ser presentadas a través de los medios que ponga a disposición la Superintendencia, los cuales podrán ser electrónicos. En todo caso</w:t>
      </w:r>
      <w:r w:rsidR="003C388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el plazo a que se refiere el primer inciso del numeral </w:t>
      </w:r>
      <w:r w:rsidR="008B2B0E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994DD1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III-A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empezará a contar a partir del día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hábil siguiente de haber presentado la solicitud. (1)</w:t>
      </w:r>
      <w:r w:rsidR="00F47E3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38EA7BEF" w14:textId="77777777" w:rsidR="001B11AE" w:rsidRPr="00367B21" w:rsidRDefault="001B11AE" w:rsidP="00B41A56">
      <w:pPr>
        <w:pStyle w:val="Prrafodelista"/>
        <w:keepNext/>
        <w:keepLines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7C916717" w14:textId="2682136A" w:rsidR="001B11AE" w:rsidRPr="00367B21" w:rsidRDefault="001B11AE" w:rsidP="00B41A56">
      <w:pPr>
        <w:pStyle w:val="Prrafodelista"/>
        <w:keepNext/>
        <w:keepLines/>
        <w:numPr>
          <w:ilvl w:val="0"/>
          <w:numId w:val="13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</w:t>
      </w:r>
      <w:r w:rsidR="00BC013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erogado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7F395F04" w14:textId="77777777" w:rsidR="00F47E39" w:rsidRPr="00367B21" w:rsidRDefault="00F47E39" w:rsidP="007F4B6A">
      <w:pPr>
        <w:widowControl w:val="0"/>
        <w:spacing w:after="0" w:line="240" w:lineRule="auto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63ADACD9" w14:textId="001895A5" w:rsidR="00F47E39" w:rsidRPr="00367B21" w:rsidRDefault="00F30DC7" w:rsidP="007F4B6A">
      <w:pPr>
        <w:pStyle w:val="Prrafodelista"/>
        <w:widowControl w:val="0"/>
        <w:ind w:left="0"/>
        <w:jc w:val="both"/>
        <w:outlineLvl w:val="0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III-A.- </w:t>
      </w:r>
      <w:r w:rsidR="000B2125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PROCEDIMIENTO DE AUTORIZACIÓN </w:t>
      </w:r>
      <w:r w:rsidR="00C700ED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DE SOLICITUD</w:t>
      </w:r>
      <w:r w:rsidR="00723AF3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 DE PR</w:t>
      </w:r>
      <w:r w:rsidR="000D4B5D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Ó</w:t>
      </w:r>
      <w:r w:rsidR="00723AF3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RROGA</w:t>
      </w:r>
      <w:r w:rsidR="000B2125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.</w:t>
      </w:r>
      <w:r w:rsidR="008456D9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 (1)</w:t>
      </w:r>
      <w:r w:rsidR="00F47E39"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 </w:t>
      </w:r>
    </w:p>
    <w:p w14:paraId="740236AF" w14:textId="031BF2D9" w:rsidR="00F47E39" w:rsidRPr="00367B21" w:rsidRDefault="000B2125" w:rsidP="00FC5EEB">
      <w:pPr>
        <w:pStyle w:val="Prrafodelista"/>
        <w:keepNext/>
        <w:keepLines/>
        <w:numPr>
          <w:ilvl w:val="0"/>
          <w:numId w:val="26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Recibida </w:t>
      </w:r>
      <w:proofErr w:type="gramStart"/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</w:t>
      </w:r>
      <w:r w:rsidR="000D744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solicitud</w:t>
      </w:r>
      <w:proofErr w:type="gramEnd"/>
      <w:r w:rsidR="000D744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 prórroga para la tenencia de los activos extraordinarios</w:t>
      </w:r>
      <w:r w:rsidR="00344A67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 acuerdo a lo establecido en </w:t>
      </w:r>
      <w:r w:rsidR="00D154E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="00D154E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III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0D4B5D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la Superintendencia procederá a verificar el cumplimiento de los requisitos definidos por la Ley </w:t>
      </w:r>
      <w:r w:rsidR="0097552D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Sociedades de Seguros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y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este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disponiendo de un plazo </w:t>
      </w:r>
      <w:r w:rsidR="004010B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hasta veinte días hábiles para </w:t>
      </w:r>
      <w:r w:rsidR="009133A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autorización o denegatoria de la </w:t>
      </w:r>
      <w:r w:rsidR="00723AF3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pr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ó</w:t>
      </w:r>
      <w:r w:rsidR="00723AF3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rroga de </w:t>
      </w:r>
      <w:r w:rsidR="009133A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tenencia de los activos extraordinarios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  <w:r w:rsidR="00F47E3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4998005A" w14:textId="77777777" w:rsidR="00F47E39" w:rsidRPr="00367B21" w:rsidRDefault="00F47E39" w:rsidP="00FC5EEB">
      <w:pPr>
        <w:pStyle w:val="Prrafodelista"/>
        <w:widowControl w:val="0"/>
        <w:ind w:left="993" w:hanging="284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1949200E" w14:textId="1276834B" w:rsidR="00F47E39" w:rsidRPr="00367B21" w:rsidRDefault="00641037" w:rsidP="00FC5EEB">
      <w:pPr>
        <w:pStyle w:val="Prrafodelista"/>
        <w:widowControl w:val="0"/>
        <w:ind w:left="993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Si la solicitud no viene acompañada de la información completa y en debida forma, que se detalla en el numeral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III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 la Superintendencia ante la falta de requisitos necesarios, podrá requerir a dichas entidades que</w:t>
      </w:r>
      <w:r w:rsidR="00AF6ECE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el plazo de diez días hábiles contados a partir del día siguiente al de la notificación, presente los documentos que faltaren, plazo que podrá ampliarse a solicitud de las entidades interesadas cuando existan razones que así lo justifiquen. (1)</w:t>
      </w:r>
      <w:r w:rsidR="00F47E3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59AF1828" w14:textId="77777777" w:rsidR="00F47E39" w:rsidRPr="00367B21" w:rsidRDefault="00F47E39" w:rsidP="00FC5EEB">
      <w:pPr>
        <w:pStyle w:val="Prrafodelista"/>
        <w:widowControl w:val="0"/>
        <w:ind w:left="993" w:hanging="284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D94CE3C" w14:textId="193D66C3" w:rsidR="00F47E39" w:rsidRPr="00367B21" w:rsidRDefault="00384CD5" w:rsidP="00FC5EEB">
      <w:pPr>
        <w:pStyle w:val="Prrafodelista"/>
        <w:widowControl w:val="0"/>
        <w:ind w:left="993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Superintendencia en la misma prevención indicará 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a </w:t>
      </w:r>
      <w:r w:rsidR="008B7CBE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ociedad de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eguros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que de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no completa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rse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la información en el plazo antes mencionado, </w:t>
      </w:r>
      <w:r w:rsidR="00FE555C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se</w:t>
      </w:r>
      <w:r w:rsidR="000B212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procederá, sin más trámite, a archivar la solicitud, quedándole a salvo su derecho de presentar una nueva solicitud.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  <w:r w:rsidR="00F47E3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2AFDB474" w14:textId="77777777" w:rsidR="00F47E39" w:rsidRPr="00367B21" w:rsidRDefault="00F47E39" w:rsidP="00FC5EEB">
      <w:pPr>
        <w:pStyle w:val="Prrafodelista"/>
        <w:widowControl w:val="0"/>
        <w:ind w:left="993" w:hanging="284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B155D5C" w14:textId="02631E03" w:rsidR="000E33EE" w:rsidRPr="00367B21" w:rsidRDefault="00641037" w:rsidP="00FC5EEB">
      <w:pPr>
        <w:pStyle w:val="Prrafodelista"/>
        <w:widowControl w:val="0"/>
        <w:ind w:left="993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Si luego del análisis de la documentación presentada de acuerdo al numeral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III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la Superintendencia tuviere observaciones o cuando la documentación o información que haya sido presentada, no resultare suficiente para establecer los hechos o información que pretenda acreditarse, la Superintendencia </w:t>
      </w:r>
      <w:r w:rsidR="000E3B8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podrá prevenir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a la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sociedad de seguros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respectiva para que subsane las deficiencias que se le comuniquen o presente documentación o información adicional que se le requiera. (1)</w:t>
      </w:r>
    </w:p>
    <w:p w14:paraId="61B22450" w14:textId="77777777" w:rsidR="00B17EF7" w:rsidRPr="00367B21" w:rsidRDefault="00B17EF7" w:rsidP="00FC5EEB">
      <w:pPr>
        <w:pStyle w:val="Prrafodelista"/>
        <w:widowControl w:val="0"/>
        <w:ind w:left="993" w:hanging="284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5DACDD55" w14:textId="5129EC7D" w:rsidR="000B2125" w:rsidRPr="00367B21" w:rsidRDefault="000B2125" w:rsidP="00FC5EEB">
      <w:pPr>
        <w:pStyle w:val="Prrafodelista"/>
        <w:widowControl w:val="0"/>
        <w:ind w:left="993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sociedad de seguros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dispondrá de un plazo máximo de diez días hábiles contados a partir del día siguiente al de la notificación, para solventar las observaciones o presentar la información adicional requerida por la Superintendencia.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7B6E2630" w14:textId="77777777" w:rsidR="00BE61F0" w:rsidRPr="00367B21" w:rsidRDefault="00BE61F0" w:rsidP="00FC5EEB">
      <w:pPr>
        <w:pStyle w:val="Prrafodelista"/>
        <w:widowControl w:val="0"/>
        <w:ind w:left="993" w:hanging="284"/>
        <w:jc w:val="both"/>
        <w:outlineLvl w:val="0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BB3E50A" w14:textId="61CC7A5E" w:rsidR="000B2125" w:rsidRPr="00367B21" w:rsidRDefault="000B2125" w:rsidP="00FC5EEB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Superintendencia podrá mediante resolución fundamentada ampliar hasta por otros diez días hábiles, el plazo señalado en el inciso anterior, cuando la naturaleza de las observaciones o deficiencias prevenidas lo exijan. (1)</w:t>
      </w:r>
    </w:p>
    <w:p w14:paraId="4F667E55" w14:textId="77777777" w:rsidR="000B2125" w:rsidRPr="00367B21" w:rsidRDefault="000B2125" w:rsidP="00FC5EEB">
      <w:pPr>
        <w:pStyle w:val="Prrafodelista"/>
        <w:widowControl w:val="0"/>
        <w:ind w:left="993" w:hanging="284"/>
        <w:outlineLvl w:val="0"/>
        <w:rPr>
          <w:rFonts w:ascii="Museo Sans 300" w:hAnsi="Museo Sans 300"/>
          <w:b/>
          <w:bCs/>
          <w:iCs/>
          <w:color w:val="000000" w:themeColor="text1"/>
          <w:sz w:val="22"/>
          <w:szCs w:val="22"/>
          <w:lang w:val="es-MX"/>
        </w:rPr>
      </w:pPr>
    </w:p>
    <w:p w14:paraId="36CCB71E" w14:textId="2D61BE06" w:rsidR="000B2125" w:rsidRPr="00367B21" w:rsidRDefault="000B2125" w:rsidP="00FC5EEB">
      <w:pPr>
        <w:pStyle w:val="Prrafodelista"/>
        <w:widowControl w:val="0"/>
        <w:numPr>
          <w:ilvl w:val="0"/>
          <w:numId w:val="26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ociedad de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eguros </w:t>
      </w:r>
      <w:r w:rsidR="003C388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interesa</w:t>
      </w:r>
      <w:r w:rsidR="00097991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da</w:t>
      </w:r>
      <w:r w:rsidR="003C388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solicitar prórroga para la tenencia de los activos extraordinarios,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podrá presentar a la Superintendencia una solicitud de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prórroga del plazo señalado en el inciso quinto del numeral 1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antes del vencimiento de dicho plazo,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debiendo expresar los motivos en que se fundamenta y proponer, en su caso, la prueba pertinente.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6699C0B4" w14:textId="77777777" w:rsidR="000B2125" w:rsidRPr="00367B21" w:rsidRDefault="000B2125" w:rsidP="00FC5EEB">
      <w:pPr>
        <w:pStyle w:val="Prrafodelista"/>
        <w:widowControl w:val="0"/>
        <w:ind w:left="993" w:hanging="284"/>
        <w:outlineLvl w:val="0"/>
        <w:rPr>
          <w:rFonts w:ascii="Museo Sans 300" w:hAnsi="Museo Sans 300"/>
          <w:iCs/>
          <w:color w:val="000000" w:themeColor="text1"/>
          <w:sz w:val="22"/>
          <w:szCs w:val="22"/>
          <w:lang w:val="es-MX"/>
        </w:rPr>
      </w:pPr>
    </w:p>
    <w:p w14:paraId="1FA972CB" w14:textId="70BA0159" w:rsidR="000B2125" w:rsidRPr="00367B21" w:rsidRDefault="000B2125" w:rsidP="00FC5EEB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plazo de la prórroga no podrá exceder de diez días hábiles e iniciará a partir del día hábil siguiente a la fecha de vencimiento del plazo original.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4391EF15" w14:textId="77777777" w:rsidR="00AB106D" w:rsidRPr="00367B21" w:rsidRDefault="00AB106D" w:rsidP="00FC5EEB">
      <w:pPr>
        <w:pStyle w:val="Sangra2detindependiente"/>
        <w:widowControl w:val="0"/>
        <w:spacing w:after="0" w:line="240" w:lineRule="auto"/>
        <w:ind w:left="993" w:hanging="284"/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</w:pPr>
    </w:p>
    <w:p w14:paraId="2B7C9E79" w14:textId="610D5509" w:rsidR="000B2125" w:rsidRPr="00367B21" w:rsidRDefault="000B2125" w:rsidP="00FC5EEB">
      <w:pPr>
        <w:pStyle w:val="Prrafodelista"/>
        <w:keepNext/>
        <w:keepLines/>
        <w:numPr>
          <w:ilvl w:val="0"/>
          <w:numId w:val="26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plazo </w:t>
      </w:r>
      <w:r w:rsidR="002619BE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veinte días hábiles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señalado en el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inciso primero del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</w:t>
      </w:r>
      <w:r w:rsidR="00621DFD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se suspenderá por los días que medien entre la notificación del requerimiento de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completar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información o documentación a que se refiere</w:t>
      </w:r>
      <w:r w:rsidR="00384CD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384CD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los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inciso</w:t>
      </w:r>
      <w:r w:rsidR="00384CD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segundo 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y quinto de dicho numeral,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hasta que se subsanen las observaciones requeridas por la Superintendencia.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66D84C70" w14:textId="77777777" w:rsidR="000B2125" w:rsidRPr="00367B21" w:rsidRDefault="000B2125" w:rsidP="00FC5EEB">
      <w:pPr>
        <w:pStyle w:val="Prrafodelista"/>
        <w:widowControl w:val="0"/>
        <w:ind w:left="993" w:hanging="284"/>
        <w:outlineLvl w:val="0"/>
        <w:rPr>
          <w:rFonts w:ascii="Museo Sans 300" w:hAnsi="Museo Sans 300"/>
          <w:iCs/>
          <w:color w:val="000000" w:themeColor="text1"/>
          <w:sz w:val="22"/>
          <w:szCs w:val="22"/>
          <w:lang w:val="es-MX"/>
        </w:rPr>
      </w:pPr>
    </w:p>
    <w:p w14:paraId="63FD3ACB" w14:textId="6076E8E0" w:rsidR="000B2125" w:rsidRPr="00367B21" w:rsidRDefault="000B2125" w:rsidP="00FC5EEB">
      <w:pPr>
        <w:pStyle w:val="Prrafodelista"/>
        <w:keepNext/>
        <w:keepLines/>
        <w:numPr>
          <w:ilvl w:val="0"/>
          <w:numId w:val="26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Una vez presentados los documentos completos y en debida forma, la Superintendencia </w:t>
      </w:r>
      <w:r w:rsidR="003C388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mediante resolución dará respuesta a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la solicitud </w:t>
      </w:r>
      <w:r w:rsidR="00D338F8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</w:t>
      </w:r>
      <w:r w:rsidR="00160AEC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</w:t>
      </w:r>
      <w:r w:rsidR="006F7EA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sociedad de seguros</w:t>
      </w:r>
      <w:r w:rsidR="00160AEC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 la cual notificará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un plazo máximo de tres días hábiles a partir de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la fecha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 emitida la</w:t>
      </w:r>
      <w:r w:rsidR="006F46B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resolución. </w:t>
      </w:r>
      <w:r w:rsidR="008456D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701F55D5" w14:textId="77777777" w:rsidR="00C700ED" w:rsidRPr="00367B21" w:rsidRDefault="00C700ED" w:rsidP="00FC5EEB">
      <w:pPr>
        <w:pStyle w:val="Prrafodelista"/>
        <w:keepNext/>
        <w:keepLines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37B70E5C" w14:textId="4B64EC3A" w:rsidR="00A0449F" w:rsidRPr="00367B21" w:rsidRDefault="00A0449F" w:rsidP="00FC5EEB">
      <w:pPr>
        <w:pStyle w:val="Prrafodelista"/>
        <w:keepNext/>
        <w:keepLines/>
        <w:numPr>
          <w:ilvl w:val="0"/>
          <w:numId w:val="26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Si la resolución fuera negativa o el plazo de la prórroga hubiese expirado sin haberse liquidado el bien, la sociedad de seguros debe provisionarlo como pérdida en su contabilidad y venderlo en pública subasta dentro de los sesenta días siguientes a la fecha de expiración del plazo de tenencia.</w:t>
      </w:r>
      <w:r w:rsidR="00160AEC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601FB9A7" w14:textId="3C221A01" w:rsidR="000B2125" w:rsidRPr="00367B21" w:rsidRDefault="000B2125" w:rsidP="007F4B6A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67461EB9" w14:textId="49D8A832" w:rsidR="002A4026" w:rsidRPr="00367B21" w:rsidRDefault="002A4026" w:rsidP="007F4B6A">
      <w:pPr>
        <w:pStyle w:val="Prrafodelista"/>
        <w:widowControl w:val="0"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VENTA EN PÚBLICA SUBASTA</w:t>
      </w:r>
    </w:p>
    <w:p w14:paraId="3F2CE0DA" w14:textId="30815794" w:rsidR="002A4026" w:rsidRPr="00367B21" w:rsidRDefault="006C0ABC" w:rsidP="004300FB">
      <w:pPr>
        <w:pStyle w:val="Prrafodelista"/>
        <w:widowControl w:val="0"/>
        <w:numPr>
          <w:ilvl w:val="0"/>
          <w:numId w:val="14"/>
        </w:numPr>
        <w:spacing w:after="120"/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Las sociedades de seguros realizarán sus activos extraordinarios a través de venta en subasta pública, cuyo aviso debe ser publicado por tres días, para tal efecto,</w:t>
      </w:r>
      <w:r w:rsidR="00716E37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en dos</w:t>
      </w:r>
      <w:r w:rsidR="00CF55B2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medios impresos de circulación nacional u otra plataforma de publicación digital con mayor o igual cobertura, o en su sitio web, de conformidad con lo establecido en el marco legal vigente.</w:t>
      </w:r>
      <w:r w:rsidR="00CF55B2" w:rsidRPr="00367B21">
        <w:rPr>
          <w:rFonts w:ascii="Museo Sans 300" w:hAnsi="Museo Sans 300"/>
          <w:iCs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aviso debe indicar:</w:t>
      </w:r>
      <w:r w:rsidR="00323B17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37BAF0E0" w14:textId="77777777" w:rsidR="002A4026" w:rsidRPr="00367B21" w:rsidRDefault="002A4026" w:rsidP="00B92248">
      <w:pPr>
        <w:pStyle w:val="Prrafodelista"/>
        <w:widowControl w:val="0"/>
        <w:numPr>
          <w:ilvl w:val="0"/>
          <w:numId w:val="15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día, lugar y hora de la subasta;</w:t>
      </w:r>
    </w:p>
    <w:p w14:paraId="19B78783" w14:textId="77777777" w:rsidR="002A4026" w:rsidRPr="00367B21" w:rsidRDefault="002A4026" w:rsidP="00F15159">
      <w:pPr>
        <w:pStyle w:val="Prrafodelista"/>
        <w:widowControl w:val="0"/>
        <w:numPr>
          <w:ilvl w:val="0"/>
          <w:numId w:val="15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Breve descripción del bien y su ubicación en el caso de tratarse de un inmueble; y</w:t>
      </w:r>
    </w:p>
    <w:p w14:paraId="30D660AB" w14:textId="77777777" w:rsidR="002A4026" w:rsidRPr="00367B21" w:rsidRDefault="002A4026" w:rsidP="00F15159">
      <w:pPr>
        <w:pStyle w:val="Prrafodelista"/>
        <w:widowControl w:val="0"/>
        <w:numPr>
          <w:ilvl w:val="0"/>
          <w:numId w:val="15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valor que servirá de base para la subasta. </w:t>
      </w:r>
    </w:p>
    <w:p w14:paraId="2B473CD1" w14:textId="77777777" w:rsidR="002A4026" w:rsidRPr="00367B21" w:rsidRDefault="002A4026" w:rsidP="004300FB">
      <w:pPr>
        <w:pStyle w:val="Prrafodelista"/>
        <w:widowControl w:val="0"/>
        <w:ind w:left="127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66F4D658" w14:textId="77777777" w:rsidR="002A4026" w:rsidRPr="00367B21" w:rsidRDefault="002A4026" w:rsidP="004300FB">
      <w:pPr>
        <w:widowControl w:val="0"/>
        <w:spacing w:line="240" w:lineRule="auto"/>
        <w:ind w:left="991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La última publicación debe realizarse por lo menos con quince días de anticipación a la fecha de la subasta.  </w:t>
      </w:r>
    </w:p>
    <w:p w14:paraId="59CFE58E" w14:textId="77777777" w:rsidR="002A4026" w:rsidRPr="00367B21" w:rsidRDefault="002A4026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valor que servirá de base para iniciar la subasta será el valor real de los activos, según lo haya estimado la propia institución.</w:t>
      </w:r>
    </w:p>
    <w:p w14:paraId="17A64E88" w14:textId="77777777" w:rsidR="002A4026" w:rsidRPr="00367B21" w:rsidRDefault="002A4026" w:rsidP="004300FB">
      <w:pPr>
        <w:pStyle w:val="Prrafodelista"/>
        <w:widowControl w:val="0"/>
        <w:ind w:left="1275" w:hanging="42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621F77FE" w14:textId="3DFF0E77" w:rsidR="002A4026" w:rsidRPr="00367B21" w:rsidRDefault="002A4026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subasta debe llevarse a cabo en presencia de un delegado </w:t>
      </w:r>
      <w:r w:rsidR="000B065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Superintendencia.</w:t>
      </w:r>
    </w:p>
    <w:p w14:paraId="7128A54D" w14:textId="77777777" w:rsidR="006C205C" w:rsidRPr="00367B21" w:rsidRDefault="006C205C" w:rsidP="004300FB">
      <w:pPr>
        <w:pStyle w:val="Prrafodelista"/>
        <w:ind w:left="990" w:hanging="426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1D28B530" w14:textId="79AC49F8" w:rsidR="002A4026" w:rsidRPr="00367B21" w:rsidRDefault="002A4026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Al finalizar el evento, el representante de la sociedad de seguros levantará un acta en la que haga constar el lugar, día, hora y demás aspectos relacionados con la subasta, indicando las generales del comprador.</w:t>
      </w:r>
      <w:r w:rsidR="00E5067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acta deberá ser firmada por el representante de la sociedad de seguros, el delegado de la Superintendencia y el comprador.</w:t>
      </w:r>
    </w:p>
    <w:p w14:paraId="3DBBB580" w14:textId="77777777" w:rsidR="002A4026" w:rsidRPr="00367B21" w:rsidRDefault="002A4026" w:rsidP="004300FB">
      <w:pPr>
        <w:pStyle w:val="Prrafodelista"/>
        <w:widowControl w:val="0"/>
        <w:ind w:left="1275" w:hanging="42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652EB8C7" w14:textId="77777777" w:rsidR="002A4026" w:rsidRPr="00367B21" w:rsidRDefault="002A4026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Si no hubiere postores en la fecha y horas señaladas, se repetirán las subastas a más tardar cada seis meses, tomándose como base en cada ocasión un precio que cada vez será menor al anterior en un monto de hasta el veinte por ciento.</w:t>
      </w:r>
    </w:p>
    <w:p w14:paraId="1E38AD4E" w14:textId="77777777" w:rsidR="00F2695E" w:rsidRPr="00367B21" w:rsidRDefault="00F2695E" w:rsidP="004300FB">
      <w:pPr>
        <w:pStyle w:val="Prrafodelista"/>
        <w:widowControl w:val="0"/>
        <w:ind w:left="1275" w:hanging="42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708DF5E8" w14:textId="2FEFE1CA" w:rsidR="006C0ABC" w:rsidRPr="00367B21" w:rsidRDefault="006C0ABC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Cuando por cualquier causa no se realice la subasta, también deberá levantarse el acta correspondiente, la cual deberá ser suscrita por el representante de la sociedad de seguros y por el delegado de la Superintendencia, señalando los incidentes del caso; además, deberá publicarse tal situación por tres días consecutivos</w:t>
      </w:r>
      <w:r w:rsidR="00FF34B0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="00393ADD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en dos </w:t>
      </w:r>
      <w:r w:rsidR="0031237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medios impresos de circulación nacional u otras plataformas de publicación digital con mayor o igual cobertura o en su sitio web, de conformidad con lo establecido en el marco legal vigente,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indicando que la próxima se celebrará a más tardar dentro de los seis meses siguientes a la fecha de la anterior, siempre que antes de su realización no se presente comprador ofreciendo una suma igual o mayor al precio base de la última.</w:t>
      </w:r>
      <w:r w:rsidR="0031237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144F0B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0A557359" w14:textId="77777777" w:rsidR="002A4026" w:rsidRPr="00367B21" w:rsidRDefault="002A4026" w:rsidP="004300FB">
      <w:pPr>
        <w:pStyle w:val="Prrafodelista"/>
        <w:widowControl w:val="0"/>
        <w:ind w:left="707" w:hanging="42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0B36E57E" w14:textId="7CD7C51D" w:rsidR="002A4026" w:rsidRPr="00367B21" w:rsidRDefault="002A4026" w:rsidP="004300FB">
      <w:pPr>
        <w:pStyle w:val="Prrafodelista"/>
        <w:widowControl w:val="0"/>
        <w:numPr>
          <w:ilvl w:val="0"/>
          <w:numId w:val="14"/>
        </w:numPr>
        <w:ind w:left="991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Cuando la Superintendencia detectare irregularidades en el proceso de subasta, podrá requerir que se repita, siempre que no se haya formalizado la transferencia.</w:t>
      </w:r>
    </w:p>
    <w:p w14:paraId="7CB1E833" w14:textId="77777777" w:rsidR="0031237B" w:rsidRPr="00367B21" w:rsidRDefault="0031237B" w:rsidP="007F4B6A">
      <w:pPr>
        <w:pStyle w:val="Prrafodelista"/>
        <w:widowControl w:val="0"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55627C39" w14:textId="77777777" w:rsidR="002A4026" w:rsidRPr="00367B21" w:rsidRDefault="002A4026" w:rsidP="007F4B6A">
      <w:pPr>
        <w:pStyle w:val="Prrafodelista"/>
        <w:widowControl w:val="0"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PROCEDIMIENTO PARA CONSERVAR BIENES</w:t>
      </w:r>
    </w:p>
    <w:p w14:paraId="3E447F9B" w14:textId="49E2CD03" w:rsidR="002A4026" w:rsidRPr="00367B21" w:rsidRDefault="002A4026" w:rsidP="00C52CAA">
      <w:pPr>
        <w:pStyle w:val="Prrafodelista"/>
        <w:widowControl w:val="0"/>
        <w:numPr>
          <w:ilvl w:val="0"/>
          <w:numId w:val="27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Cuando una sociedad</w:t>
      </w:r>
      <w:r w:rsidR="00E5067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seguros deseare conservar un activo extraordinario para su propio uso, fines culturales, beneficio de la comunidad o de su personal, deberá presentar solicitud a </w:t>
      </w:r>
      <w:r w:rsidR="004F6B72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Superintendencia, adjuntando los antecedentes relativos al bien y la justificación del uso que se dará al mismo. En este caso, deberá demostrar que la inversión a realizar más los saldos netos de sus activos fijos, no excede el porcentaje establecido en el literal p) del artículo 34 de la Ley de Sociedades de Seguros.</w:t>
      </w:r>
      <w:r w:rsidR="00D12765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64E04289" w14:textId="3033FF8D" w:rsidR="002A4026" w:rsidRPr="00367B21" w:rsidRDefault="002A4026" w:rsidP="00C52CAA">
      <w:pPr>
        <w:pStyle w:val="Prrafodelista"/>
        <w:widowControl w:val="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55DF89AE" w14:textId="25CB038B" w:rsidR="00335DA7" w:rsidRPr="00367B21" w:rsidRDefault="00335DA7" w:rsidP="00C52CAA">
      <w:pPr>
        <w:widowControl w:val="0"/>
        <w:spacing w:after="0" w:line="240" w:lineRule="auto"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>La solicitud y documentación podrán ser presentadas a través de los medios que ponga a disposición la Superintendencia, los cuales podrán ser electrónicos. En todo caso</w:t>
      </w:r>
      <w:r w:rsidR="00AF6ECE">
        <w:rPr>
          <w:rFonts w:ascii="Museo Sans 300" w:eastAsiaTheme="majorEastAsia" w:hAnsi="Museo Sans 300" w:cstheme="majorBidi"/>
          <w:iCs/>
          <w:color w:val="000000" w:themeColor="text1"/>
        </w:rPr>
        <w:t>,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el plazo a</w:t>
      </w:r>
      <w:r w:rsidR="00AF6ECE">
        <w:rPr>
          <w:rFonts w:ascii="Museo Sans 300" w:eastAsiaTheme="majorEastAsia" w:hAnsi="Museo Sans 300" w:cstheme="majorBidi"/>
          <w:iCs/>
          <w:color w:val="000000" w:themeColor="text1"/>
        </w:rPr>
        <w:t>l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que se refiere el numeral </w:t>
      </w:r>
      <w:r w:rsidR="003169F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2 del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</w:rPr>
        <w:t>Romano</w:t>
      </w:r>
      <w:r w:rsidR="003169F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empezará a contar a partir del día hábil siguiente de haber presentado la solicitud. (1) </w:t>
      </w:r>
    </w:p>
    <w:p w14:paraId="50CFE096" w14:textId="77777777" w:rsidR="00694F19" w:rsidRPr="00367B21" w:rsidRDefault="00694F19" w:rsidP="00C52CAA">
      <w:pPr>
        <w:widowControl w:val="0"/>
        <w:spacing w:after="0" w:line="240" w:lineRule="auto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518C79B" w14:textId="0575FD2E" w:rsidR="00335DA7" w:rsidRDefault="00335DA7" w:rsidP="00C52CAA">
      <w:pPr>
        <w:pStyle w:val="Prrafodelista"/>
        <w:widowControl w:val="0"/>
        <w:numPr>
          <w:ilvl w:val="0"/>
          <w:numId w:val="34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Recibida la solicitud </w:t>
      </w:r>
      <w:r w:rsidR="00FE4118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para </w:t>
      </w:r>
      <w:r w:rsidR="003C7DC8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conservar un activo extraordinario </w:t>
      </w:r>
      <w:proofErr w:type="gramStart"/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 acuerdo a</w:t>
      </w:r>
      <w:proofErr w:type="gramEnd"/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lo establecido en </w:t>
      </w:r>
      <w:r w:rsidR="002651AD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</w:t>
      </w:r>
      <w:r w:rsidR="00766F8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anterior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la Superintendencia procederá a verificar el cumplimiento de los requisitos definidos por la Ley de Sociedades de Seguros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 xml:space="preserve">y </w:t>
      </w:r>
      <w:r w:rsidR="0042101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presente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disponiendo de un plazo de hasta </w:t>
      </w:r>
      <w:r w:rsidR="00040B1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veinte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días </w:t>
      </w:r>
      <w:r w:rsidR="00040B19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hábiles</w:t>
      </w:r>
      <w:r w:rsidR="0042101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siguiendo el mismo procedimiento establecido en los numerales </w:t>
      </w:r>
      <w:r w:rsidR="00766F8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del </w:t>
      </w:r>
      <w:r w:rsidR="0042101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="00766F8A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al</w:t>
      </w:r>
      <w:r w:rsidR="0042101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4 del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="00421014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III-A del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="003C7DC8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. 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(1) </w:t>
      </w:r>
    </w:p>
    <w:p w14:paraId="020C7B82" w14:textId="77777777" w:rsidR="005476A9" w:rsidRPr="00367B21" w:rsidRDefault="005476A9" w:rsidP="00C52CAA">
      <w:pPr>
        <w:pStyle w:val="Prrafodelista"/>
        <w:widowControl w:val="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2B459E2A" w14:textId="77777777" w:rsidR="002A4026" w:rsidRPr="00367B21" w:rsidRDefault="002A4026" w:rsidP="00C52CAA">
      <w:pPr>
        <w:pStyle w:val="Prrafodelista"/>
        <w:widowControl w:val="0"/>
        <w:numPr>
          <w:ilvl w:val="0"/>
          <w:numId w:val="3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Si la resolución sobre la conservación del bien fuere favorable, deberá procederse al traslado contable del bien, según corresponda y </w:t>
      </w:r>
      <w:proofErr w:type="gramStart"/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 acuerdo al</w:t>
      </w:r>
      <w:proofErr w:type="gramEnd"/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Catálogo Contable. </w:t>
      </w:r>
    </w:p>
    <w:p w14:paraId="28D17ECF" w14:textId="77777777" w:rsidR="002A4026" w:rsidRPr="00367B21" w:rsidRDefault="002A4026" w:rsidP="00C52CAA">
      <w:pPr>
        <w:widowControl w:val="0"/>
        <w:spacing w:after="0" w:line="240" w:lineRule="auto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662DA547" w14:textId="04BD6654" w:rsidR="009C5253" w:rsidRPr="00367B21" w:rsidRDefault="002A4026" w:rsidP="007F4B6A">
      <w:pPr>
        <w:pStyle w:val="Prrafodelista"/>
        <w:widowControl w:val="0"/>
        <w:numPr>
          <w:ilvl w:val="0"/>
          <w:numId w:val="12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OTRAS DISPOSICIONES Y VIGENCIA</w:t>
      </w:r>
    </w:p>
    <w:p w14:paraId="0862C3BE" w14:textId="557FC17C" w:rsidR="00F824D3" w:rsidRPr="00367B21" w:rsidRDefault="00662B66" w:rsidP="00C52CAA">
      <w:pPr>
        <w:pStyle w:val="Prrafodelista"/>
        <w:widowControl w:val="0"/>
        <w:numPr>
          <w:ilvl w:val="0"/>
          <w:numId w:val="29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Los incumplimientos a las disposiciones contenidas en el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Instructivo</w:t>
      </w: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 serán sancionados de conformidad a lo establecido en la Ley de Supervisión y Regulación del Sistema Financiero. (1)</w:t>
      </w:r>
    </w:p>
    <w:p w14:paraId="2286BD67" w14:textId="77777777" w:rsidR="009C5253" w:rsidRPr="00367B21" w:rsidRDefault="009C5253" w:rsidP="00C52CAA">
      <w:pPr>
        <w:pStyle w:val="Prrafodelista"/>
        <w:widowControl w:val="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07DB1BEE" w14:textId="79DACF55" w:rsidR="00CF4CC1" w:rsidRPr="00367B21" w:rsidRDefault="00A352B4" w:rsidP="00CC2876">
      <w:pPr>
        <w:widowControl w:val="0"/>
        <w:spacing w:after="0" w:line="240" w:lineRule="auto"/>
        <w:ind w:left="993" w:hanging="531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1-A. </w:t>
      </w:r>
      <w:r w:rsidR="00CC2876">
        <w:rPr>
          <w:rFonts w:ascii="Museo Sans 300" w:eastAsiaTheme="majorEastAsia" w:hAnsi="Museo Sans 300" w:cstheme="majorBidi"/>
          <w:iCs/>
          <w:color w:val="000000" w:themeColor="text1"/>
        </w:rPr>
        <w:t xml:space="preserve"> </w:t>
      </w:r>
      <w:r w:rsidR="00662B66" w:rsidRPr="00367B21">
        <w:rPr>
          <w:rFonts w:ascii="Museo Sans 300" w:eastAsiaTheme="majorEastAsia" w:hAnsi="Museo Sans 300" w:cstheme="majorBidi"/>
          <w:iCs/>
          <w:color w:val="000000" w:themeColor="text1"/>
        </w:rPr>
        <w:t xml:space="preserve">Los aspectos no previstos en materia de regulación en el presente </w:t>
      </w:r>
      <w:r w:rsidR="001F4326" w:rsidRPr="00367B21">
        <w:rPr>
          <w:rFonts w:ascii="Museo Sans 300" w:eastAsiaTheme="majorEastAsia" w:hAnsi="Museo Sans 300" w:cstheme="majorBidi"/>
          <w:iCs/>
          <w:color w:val="000000" w:themeColor="text1"/>
        </w:rPr>
        <w:t>Instructivo</w:t>
      </w:r>
      <w:r w:rsidR="00662B66" w:rsidRPr="00367B21">
        <w:rPr>
          <w:rFonts w:ascii="Museo Sans 300" w:eastAsiaTheme="majorEastAsia" w:hAnsi="Museo Sans 300" w:cstheme="majorBidi"/>
          <w:iCs/>
          <w:color w:val="000000" w:themeColor="text1"/>
        </w:rPr>
        <w:t>, serán resueltos por el Banco Central de Reserva de El Salvador por medio de su Comité de Normas. (1)</w:t>
      </w:r>
    </w:p>
    <w:p w14:paraId="6E7052BA" w14:textId="77777777" w:rsidR="009C5253" w:rsidRPr="00367B21" w:rsidRDefault="009C5253" w:rsidP="00C52CAA">
      <w:pPr>
        <w:widowControl w:val="0"/>
        <w:spacing w:after="0" w:line="240" w:lineRule="auto"/>
        <w:ind w:left="993" w:hanging="284"/>
        <w:jc w:val="both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0BA819D7" w14:textId="2176E3F7" w:rsidR="002A4026" w:rsidRPr="00367B21" w:rsidRDefault="002A4026" w:rsidP="00C52CAA">
      <w:pPr>
        <w:pStyle w:val="Prrafodelista"/>
        <w:widowControl w:val="0"/>
        <w:numPr>
          <w:ilvl w:val="0"/>
          <w:numId w:val="29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presente Instructivo tendrá vigencia a partir del 16 de septiembre de 1998.</w:t>
      </w:r>
      <w:r w:rsidR="008F395F" w:rsidRPr="00367B21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4AF3F498" w14:textId="54385D79" w:rsidR="002A4026" w:rsidRPr="00367B21" w:rsidRDefault="002A4026" w:rsidP="007F4B6A">
      <w:pPr>
        <w:widowControl w:val="0"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1166DCED" w14:textId="349EAC03" w:rsidR="007F205F" w:rsidRPr="00367B21" w:rsidRDefault="007F205F" w:rsidP="007F4B6A">
      <w:pPr>
        <w:widowControl w:val="0"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639ACD5" w14:textId="2DA834A2" w:rsidR="007F205F" w:rsidRPr="00367B21" w:rsidRDefault="007F205F" w:rsidP="007F4B6A">
      <w:pPr>
        <w:widowControl w:val="0"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9A89C36" w14:textId="77777777" w:rsidR="007F205F" w:rsidRPr="00367B21" w:rsidRDefault="007F205F" w:rsidP="007F4B6A">
      <w:pPr>
        <w:widowControl w:val="0"/>
        <w:spacing w:after="12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  <w:r w:rsidRPr="00367B21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  <w:t>MODIFICACIONES:</w:t>
      </w:r>
    </w:p>
    <w:p w14:paraId="4137EABB" w14:textId="3381ABB4" w:rsidR="009F41DB" w:rsidRPr="00107F6A" w:rsidRDefault="00CF24AC" w:rsidP="00ED3B5E">
      <w:pPr>
        <w:pStyle w:val="Prrafodelista"/>
        <w:widowControl w:val="0"/>
        <w:numPr>
          <w:ilvl w:val="0"/>
          <w:numId w:val="23"/>
        </w:numPr>
        <w:ind w:left="425" w:hanging="425"/>
        <w:jc w:val="both"/>
        <w:outlineLvl w:val="5"/>
        <w:rPr>
          <w:rFonts w:ascii="Museo Sans 300" w:hAnsi="Museo Sans 300" w:cs="Arial"/>
          <w:b/>
          <w:iCs/>
        </w:rPr>
      </w:pPr>
      <w:r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M</w:t>
      </w:r>
      <w:r w:rsidR="007F205F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odificaci</w:t>
      </w:r>
      <w:r w:rsidR="00587D4F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ones</w:t>
      </w:r>
      <w:r w:rsidR="007F205F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</w:t>
      </w:r>
      <w:r w:rsidR="00A32728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al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Romano I, III</w:t>
      </w:r>
      <w:r w:rsidR="00A32728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,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I</w:t>
      </w:r>
      <w:r w:rsidR="0093065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V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, V</w:t>
      </w:r>
      <w:r w:rsidR="00A32728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, </w:t>
      </w:r>
      <w:proofErr w:type="gramStart"/>
      <w:r w:rsidR="00A32728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VI 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</w:t>
      </w:r>
      <w:r w:rsidR="00F277F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e</w:t>
      </w:r>
      <w:proofErr w:type="gramEnd"/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</w:t>
      </w:r>
      <w:r w:rsidR="00F277F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i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ncorporación </w:t>
      </w:r>
      <w:r w:rsidR="00F277F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d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e</w:t>
      </w:r>
      <w:r w:rsidR="00F277F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l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Romano I</w:t>
      </w:r>
      <w:r w:rsidR="00F277F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II</w:t>
      </w:r>
      <w:r w:rsidR="000E0690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-A</w:t>
      </w:r>
      <w:r w:rsidR="00587D4F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,</w:t>
      </w:r>
      <w:r w:rsidR="00107F6A" w:rsidRPr="00107F6A">
        <w:t xml:space="preserve"> 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aprobadas por el Banco Central de Reserva por medio de su Comité de Normas, en Sesión No. CN-</w:t>
      </w:r>
      <w:r w:rsidR="004136AC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05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/202</w:t>
      </w:r>
      <w:r w:rsidR="00587D4F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2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, de fecha </w:t>
      </w:r>
      <w:r w:rsidR="004136AC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10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de junio de dos mil veinti</w:t>
      </w:r>
      <w:r w:rsidR="00587D4F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dós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, con vigencia a partir del día </w:t>
      </w:r>
      <w:r w:rsidR="004136AC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29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de </w:t>
      </w:r>
      <w:r w:rsidR="00893C60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junio</w:t>
      </w:r>
      <w:r w:rsidR="00107F6A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 xml:space="preserve"> de dos mil veinti</w:t>
      </w:r>
      <w:r w:rsidR="00587D4F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dós</w:t>
      </w:r>
      <w:r w:rsidR="007F205F" w:rsidRPr="00107F6A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</w:rPr>
        <w:t>.</w:t>
      </w:r>
    </w:p>
    <w:sectPr w:rsidR="009F41DB" w:rsidRPr="00107F6A" w:rsidSect="00962870">
      <w:headerReference w:type="default" r:id="rId13"/>
      <w:footerReference w:type="default" r:id="rId14"/>
      <w:footerReference w:type="first" r:id="rId15"/>
      <w:endnotePr>
        <w:numFmt w:val="decimal"/>
      </w:endnotePr>
      <w:pgSz w:w="12240" w:h="15840"/>
      <w:pgMar w:top="1417" w:right="1701" w:bottom="1417" w:left="1701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0BB1" w14:textId="77777777" w:rsidR="00581EAD" w:rsidRDefault="00581EAD" w:rsidP="00C16EF4">
      <w:pPr>
        <w:spacing w:after="0" w:line="240" w:lineRule="auto"/>
      </w:pPr>
      <w:r>
        <w:separator/>
      </w:r>
    </w:p>
  </w:endnote>
  <w:endnote w:type="continuationSeparator" w:id="0">
    <w:p w14:paraId="1B779CAC" w14:textId="77777777" w:rsidR="00581EAD" w:rsidRDefault="00581EAD" w:rsidP="00C1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16" w:type="dxa"/>
      <w:jc w:val="center"/>
      <w:tblBorders>
        <w:top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06"/>
      <w:gridCol w:w="6647"/>
      <w:gridCol w:w="1863"/>
    </w:tblGrid>
    <w:tr w:rsidR="006B2398" w:rsidRPr="006B2398" w14:paraId="01DA5F93" w14:textId="77777777" w:rsidTr="006B2398">
      <w:trPr>
        <w:trHeight w:val="777"/>
        <w:jc w:val="center"/>
      </w:trPr>
      <w:tc>
        <w:tcPr>
          <w:tcW w:w="8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6A88B1" w14:textId="77777777" w:rsidR="006B2398" w:rsidRPr="006B2398" w:rsidRDefault="006B2398" w:rsidP="006B2398">
          <w:pPr>
            <w:pStyle w:val="Piedepgina"/>
            <w:spacing w:line="276" w:lineRule="auto"/>
            <w:ind w:firstLine="34"/>
            <w:jc w:val="center"/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</w:pPr>
        </w:p>
        <w:p w14:paraId="590AEB81" w14:textId="77777777" w:rsidR="006B2398" w:rsidRPr="006B2398" w:rsidRDefault="006B2398" w:rsidP="006B2398">
          <w:pPr>
            <w:pStyle w:val="Piedepgina"/>
            <w:spacing w:line="276" w:lineRule="auto"/>
            <w:ind w:firstLine="34"/>
            <w:jc w:val="center"/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</w:pPr>
        </w:p>
        <w:p w14:paraId="12F9A1C9" w14:textId="77777777" w:rsidR="006B2398" w:rsidRPr="006B2398" w:rsidRDefault="006B2398" w:rsidP="006B2398">
          <w:pPr>
            <w:pStyle w:val="Piedepgina"/>
            <w:spacing w:line="276" w:lineRule="auto"/>
            <w:ind w:firstLine="34"/>
            <w:rPr>
              <w:rFonts w:ascii="Museo Sans 300" w:eastAsia="Times New Roman" w:hAnsi="Museo Sans 300"/>
              <w:color w:val="808080" w:themeColor="background1" w:themeShade="80"/>
              <w:sz w:val="18"/>
              <w:szCs w:val="18"/>
              <w:lang w:val="es-ES" w:eastAsia="es-ES"/>
            </w:rPr>
          </w:pPr>
        </w:p>
      </w:tc>
      <w:tc>
        <w:tcPr>
          <w:tcW w:w="6647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0DC06168" w14:textId="77777777" w:rsidR="006B2398" w:rsidRPr="006B2398" w:rsidRDefault="006B2398" w:rsidP="006B2398">
          <w:pPr>
            <w:pStyle w:val="Piedepgina"/>
            <w:spacing w:line="276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</w:pPr>
          <w:r w:rsidRPr="006B239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Alameda Juan Pablo II, entre 15 y 17 Av. Norte, San Salvador, El Salvador.</w:t>
          </w:r>
        </w:p>
        <w:p w14:paraId="28658DE7" w14:textId="77777777" w:rsidR="006B2398" w:rsidRPr="006B2398" w:rsidRDefault="006B2398" w:rsidP="006B2398">
          <w:pPr>
            <w:pStyle w:val="Piedepgina"/>
            <w:spacing w:line="276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"/>
            </w:rPr>
          </w:pPr>
          <w:r w:rsidRPr="006B239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Tel. (503) 2281-8000</w:t>
          </w:r>
        </w:p>
        <w:p w14:paraId="5B019675" w14:textId="77777777" w:rsidR="006B2398" w:rsidRPr="006B2398" w:rsidRDefault="006B2398" w:rsidP="006B2398">
          <w:pPr>
            <w:pStyle w:val="Piedepgina"/>
            <w:spacing w:line="276" w:lineRule="auto"/>
            <w:jc w:val="center"/>
            <w:rPr>
              <w:rFonts w:ascii="Museo Sans 300" w:eastAsia="Times New Roman" w:hAnsi="Museo Sans 300" w:cs="Arial"/>
              <w:color w:val="808080" w:themeColor="background1" w:themeShade="80"/>
              <w:sz w:val="18"/>
              <w:szCs w:val="18"/>
              <w:lang w:val="es-ES" w:eastAsia="es-ES"/>
            </w:rPr>
          </w:pPr>
          <w:r w:rsidRPr="006B239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 xml:space="preserve"> www.bcr.gob.sv</w:t>
          </w:r>
        </w:p>
      </w:tc>
      <w:tc>
        <w:tcPr>
          <w:tcW w:w="1863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66F5E18A" w14:textId="77777777" w:rsidR="006B2398" w:rsidRPr="006B2398" w:rsidRDefault="0044458B" w:rsidP="006B2398">
          <w:pPr>
            <w:pStyle w:val="Piedepgina"/>
            <w:spacing w:line="276" w:lineRule="auto"/>
            <w:jc w:val="center"/>
            <w:rPr>
              <w:rFonts w:ascii="Museo Sans 300" w:eastAsia="Times New Roman" w:hAnsi="Museo Sans 300" w:cs="Arial"/>
              <w:color w:val="808080" w:themeColor="background1" w:themeShade="80"/>
              <w:sz w:val="18"/>
              <w:szCs w:val="18"/>
              <w:lang w:val="es-ES" w:eastAsia="es-ES"/>
            </w:rPr>
          </w:pPr>
          <w:sdt>
            <w:sdtPr>
              <w:rPr>
                <w:rFonts w:ascii="Museo Sans 300" w:hAnsi="Museo Sans 300" w:cs="Arial"/>
                <w:color w:val="808080" w:themeColor="background1" w:themeShade="80"/>
                <w:sz w:val="18"/>
                <w:szCs w:val="18"/>
                <w:lang w:val="es-MX"/>
              </w:rPr>
              <w:id w:val="7764472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color w:val="808080" w:themeColor="background1" w:themeShade="80"/>
                    <w:sz w:val="18"/>
                    <w:szCs w:val="18"/>
                    <w:lang w:val="es-MX"/>
                  </w:rPr>
                  <w:id w:val="-169275243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t xml:space="preserve">Página </w: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begin"/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instrText>PAGE</w:instrTex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separate"/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t>1</w: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end"/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t xml:space="preserve"> de </w: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begin"/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instrText>NUMPAGES</w:instrTex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separate"/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t>3</w:t>
                  </w:r>
                  <w:r w:rsidR="006B2398" w:rsidRPr="006B2398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  <w:lang w:val="es-MX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31914838" w14:textId="77777777" w:rsidR="006B2398" w:rsidRPr="006B2398" w:rsidRDefault="006B2398" w:rsidP="006B2398">
    <w:pPr>
      <w:pStyle w:val="Piedepgina"/>
      <w:rPr>
        <w:rFonts w:ascii="Museo Sans 300" w:hAnsi="Museo Sans 3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FC7B" w14:textId="77777777" w:rsidR="00A73C08" w:rsidRDefault="00A73C08" w:rsidP="00A73C08">
    <w:pPr>
      <w:pStyle w:val="Piedepgina"/>
      <w:jc w:val="right"/>
      <w:rPr>
        <w:rFonts w:ascii="Museo Sans 300" w:hAnsi="Museo Sans 300" w:cstheme="minorHAnsi"/>
        <w:sz w:val="18"/>
        <w:szCs w:val="18"/>
        <w:lang w:val="en-US"/>
      </w:rPr>
    </w:pPr>
  </w:p>
  <w:p w14:paraId="4D40A508" w14:textId="77777777" w:rsidR="00A73C08" w:rsidRDefault="00A73C08" w:rsidP="00A73C08">
    <w:pPr>
      <w:pStyle w:val="Piedepgina"/>
      <w:jc w:val="right"/>
      <w:rPr>
        <w:rFonts w:ascii="Museo Sans 300" w:hAnsi="Museo Sans 300" w:cstheme="minorHAnsi"/>
        <w:sz w:val="18"/>
        <w:szCs w:val="18"/>
        <w:lang w:val="en-US"/>
      </w:rPr>
    </w:pPr>
  </w:p>
  <w:p w14:paraId="1FB7A453" w14:textId="0C4EFCB0" w:rsidR="00A73C08" w:rsidRDefault="00A73C08" w:rsidP="00A73C08">
    <w:pPr>
      <w:pStyle w:val="Piedepgina"/>
      <w:jc w:val="right"/>
      <w:rPr>
        <w:rFonts w:ascii="Museo Sans 300" w:hAnsi="Museo Sans 300" w:cstheme="minorHAnsi"/>
        <w:sz w:val="18"/>
        <w:szCs w:val="18"/>
        <w:lang w:val="en-US"/>
      </w:rPr>
    </w:pPr>
    <w:r w:rsidRPr="002700EA">
      <w:rPr>
        <w:rFonts w:ascii="Museo Sans 300" w:hAnsi="Museo Sans 300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C77AB1" wp14:editId="31F422E8">
              <wp:simplePos x="0" y="0"/>
              <wp:positionH relativeFrom="column">
                <wp:posOffset>-978</wp:posOffset>
              </wp:positionH>
              <wp:positionV relativeFrom="paragraph">
                <wp:posOffset>-1081</wp:posOffset>
              </wp:positionV>
              <wp:extent cx="5288692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8692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CB4CC6F" id="Conector recto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.1pt" to="41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" strokecolor="#5b9bd5">
              <v:stroke joinstyle="miter"/>
            </v:line>
          </w:pict>
        </mc:Fallback>
      </mc:AlternateConten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begin"/>
    </w:r>
    <w:r w:rsidRPr="002700EA">
      <w:rPr>
        <w:rFonts w:ascii="Museo Sans 300" w:hAnsi="Museo Sans 300" w:cstheme="minorHAnsi"/>
        <w:sz w:val="18"/>
        <w:szCs w:val="18"/>
        <w:lang w:val="en-US"/>
      </w:rPr>
      <w:instrText>PAGE   \* MERGEFORMAT</w:instrTex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separate"/>
    </w:r>
    <w:r>
      <w:rPr>
        <w:rFonts w:ascii="Museo Sans 300" w:hAnsi="Museo Sans 300" w:cstheme="minorHAnsi"/>
        <w:sz w:val="18"/>
        <w:szCs w:val="18"/>
        <w:lang w:val="en-US"/>
      </w:rPr>
      <w:t>1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end"/>
    </w:r>
    <w:r w:rsidRPr="002700EA">
      <w:rPr>
        <w:rFonts w:ascii="Museo Sans 300" w:hAnsi="Museo Sans 300" w:cstheme="minorHAnsi"/>
        <w:sz w:val="18"/>
        <w:szCs w:val="18"/>
      </w:rPr>
      <w:t xml:space="preserve"> /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begin"/>
    </w:r>
    <w:r w:rsidRPr="002700EA">
      <w:rPr>
        <w:rFonts w:ascii="Museo Sans 300" w:hAnsi="Museo Sans 300" w:cstheme="minorHAnsi"/>
        <w:sz w:val="18"/>
        <w:szCs w:val="18"/>
        <w:lang w:val="en-US"/>
      </w:rPr>
      <w:instrText>NUMPAGES  \* Arabic  \* MERGEFORMAT</w:instrTex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separate"/>
    </w:r>
    <w:r>
      <w:rPr>
        <w:rFonts w:ascii="Museo Sans 300" w:hAnsi="Museo Sans 300" w:cstheme="minorHAnsi"/>
        <w:sz w:val="18"/>
        <w:szCs w:val="18"/>
        <w:lang w:val="en-US"/>
      </w:rPr>
      <w:t>7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F02E" w14:textId="77777777" w:rsidR="00581EAD" w:rsidRDefault="00581EAD" w:rsidP="00C16EF4">
      <w:pPr>
        <w:spacing w:after="0" w:line="240" w:lineRule="auto"/>
      </w:pPr>
      <w:r>
        <w:separator/>
      </w:r>
    </w:p>
  </w:footnote>
  <w:footnote w:type="continuationSeparator" w:id="0">
    <w:p w14:paraId="563110AB" w14:textId="77777777" w:rsidR="00581EAD" w:rsidRDefault="00581EAD" w:rsidP="00C1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pPr w:leftFromText="141" w:rightFromText="141" w:horzAnchor="margin" w:tblpXSpec="center" w:tblpY="-645"/>
      <w:tblW w:w="9473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60"/>
      <w:gridCol w:w="5670"/>
      <w:gridCol w:w="1543"/>
    </w:tblGrid>
    <w:tr w:rsidR="00906CA1" w:rsidRPr="00906CA1" w14:paraId="51A3AC30" w14:textId="77777777" w:rsidTr="00906CA1">
      <w:trPr>
        <w:trHeight w:val="371"/>
      </w:trPr>
      <w:tc>
        <w:tcPr>
          <w:tcW w:w="2260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61D2EB7" w14:textId="77777777" w:rsidR="00906CA1" w:rsidRPr="00906CA1" w:rsidRDefault="00906CA1" w:rsidP="00906CA1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06CA1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CDSSF-59/1998</w:t>
          </w:r>
        </w:p>
      </w:tc>
      <w:tc>
        <w:tcPr>
          <w:tcW w:w="5670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895EBAF" w14:textId="77777777" w:rsidR="00906CA1" w:rsidRPr="00906CA1" w:rsidRDefault="00906CA1" w:rsidP="00906CA1">
          <w:pPr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</w:pPr>
          <w:r w:rsidRPr="00906CA1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  <w:t>NPS4-07</w:t>
          </w:r>
        </w:p>
        <w:p w14:paraId="2A7F842C" w14:textId="77777777" w:rsidR="00906CA1" w:rsidRPr="00906CA1" w:rsidRDefault="00906CA1" w:rsidP="00906CA1">
          <w:pPr>
            <w:jc w:val="center"/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  <w:r w:rsidRPr="00906CA1"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  <w:t>INSTRUCTIVO PARA LA TENENCIA DE ACTIVOS EXTRAORDINARIOS DE SOCIEDADES DE SEGUROS</w:t>
          </w:r>
        </w:p>
      </w:tc>
      <w:tc>
        <w:tcPr>
          <w:tcW w:w="1543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8FE5F87" w14:textId="77777777" w:rsidR="00906CA1" w:rsidRPr="00906CA1" w:rsidRDefault="00906CA1" w:rsidP="00906CA1">
          <w:pPr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</w:p>
      </w:tc>
    </w:tr>
    <w:tr w:rsidR="00906CA1" w:rsidRPr="00906CA1" w14:paraId="411BD99C" w14:textId="77777777" w:rsidTr="00906CA1">
      <w:trPr>
        <w:trHeight w:val="372"/>
      </w:trPr>
      <w:tc>
        <w:tcPr>
          <w:tcW w:w="2260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0F1187E1" w14:textId="77777777" w:rsidR="00906CA1" w:rsidRPr="00906CA1" w:rsidRDefault="00906CA1" w:rsidP="00906CA1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06CA1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Aprobación: 03/09/1998</w:t>
          </w:r>
        </w:p>
      </w:tc>
      <w:tc>
        <w:tcPr>
          <w:tcW w:w="0" w:type="auto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2E967F6E" w14:textId="77777777" w:rsidR="00906CA1" w:rsidRPr="00906CA1" w:rsidRDefault="00906CA1" w:rsidP="00906CA1">
          <w:pPr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</w:p>
      </w:tc>
      <w:tc>
        <w:tcPr>
          <w:tcW w:w="1543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5EA37DBE" w14:textId="77777777" w:rsidR="00906CA1" w:rsidRPr="00906CA1" w:rsidRDefault="00906CA1" w:rsidP="00906CA1">
          <w:pPr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</w:p>
      </w:tc>
    </w:tr>
    <w:tr w:rsidR="00906CA1" w:rsidRPr="00906CA1" w14:paraId="5A1C96B0" w14:textId="77777777" w:rsidTr="00906CA1">
      <w:trPr>
        <w:trHeight w:val="372"/>
      </w:trPr>
      <w:tc>
        <w:tcPr>
          <w:tcW w:w="2260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64780B9D" w14:textId="77777777" w:rsidR="00906CA1" w:rsidRPr="00906CA1" w:rsidRDefault="00906CA1" w:rsidP="00906CA1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06CA1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Vigencia: 16/09/1998</w:t>
          </w:r>
        </w:p>
      </w:tc>
      <w:tc>
        <w:tcPr>
          <w:tcW w:w="0" w:type="auto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6C626CFC" w14:textId="77777777" w:rsidR="00906CA1" w:rsidRPr="00906CA1" w:rsidRDefault="00906CA1" w:rsidP="00906CA1">
          <w:pPr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</w:p>
      </w:tc>
      <w:tc>
        <w:tcPr>
          <w:tcW w:w="1543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6FBEF6B" w14:textId="77777777" w:rsidR="00906CA1" w:rsidRPr="00906CA1" w:rsidRDefault="00906CA1" w:rsidP="00906CA1">
          <w:pPr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"/>
            </w:rPr>
          </w:pPr>
        </w:p>
      </w:tc>
    </w:tr>
  </w:tbl>
  <w:p w14:paraId="5FE5A982" w14:textId="74A0986A" w:rsidR="00D73809" w:rsidRPr="00906CA1" w:rsidRDefault="00D73809" w:rsidP="00906CA1">
    <w:pPr>
      <w:pStyle w:val="Encabezado"/>
      <w:rPr>
        <w:rStyle w:val="Estilo1"/>
        <w:rFonts w:asciiTheme="minorHAnsi" w:hAnsiTheme="minorHAnsi"/>
        <w:b w:val="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D893D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152AB0"/>
    <w:multiLevelType w:val="hybridMultilevel"/>
    <w:tmpl w:val="F92EF7D6"/>
    <w:lvl w:ilvl="0" w:tplc="327889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44E1"/>
    <w:multiLevelType w:val="hybridMultilevel"/>
    <w:tmpl w:val="0DE42B1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58B"/>
    <w:multiLevelType w:val="hybridMultilevel"/>
    <w:tmpl w:val="1742B97E"/>
    <w:lvl w:ilvl="0" w:tplc="440A000F">
      <w:start w:val="1"/>
      <w:numFmt w:val="decimal"/>
      <w:lvlText w:val="%1."/>
      <w:lvlJc w:val="left"/>
      <w:pPr>
        <w:ind w:left="715" w:hanging="360"/>
      </w:pPr>
    </w:lvl>
    <w:lvl w:ilvl="1" w:tplc="440A0019">
      <w:start w:val="1"/>
      <w:numFmt w:val="lowerLetter"/>
      <w:lvlText w:val="%2."/>
      <w:lvlJc w:val="left"/>
      <w:pPr>
        <w:ind w:left="1435" w:hanging="360"/>
      </w:pPr>
    </w:lvl>
    <w:lvl w:ilvl="2" w:tplc="440A001B" w:tentative="1">
      <w:start w:val="1"/>
      <w:numFmt w:val="lowerRoman"/>
      <w:lvlText w:val="%3."/>
      <w:lvlJc w:val="right"/>
      <w:pPr>
        <w:ind w:left="2155" w:hanging="180"/>
      </w:pPr>
    </w:lvl>
    <w:lvl w:ilvl="3" w:tplc="440A000F" w:tentative="1">
      <w:start w:val="1"/>
      <w:numFmt w:val="decimal"/>
      <w:lvlText w:val="%4."/>
      <w:lvlJc w:val="left"/>
      <w:pPr>
        <w:ind w:left="2875" w:hanging="360"/>
      </w:pPr>
    </w:lvl>
    <w:lvl w:ilvl="4" w:tplc="440A0019" w:tentative="1">
      <w:start w:val="1"/>
      <w:numFmt w:val="lowerLetter"/>
      <w:lvlText w:val="%5."/>
      <w:lvlJc w:val="left"/>
      <w:pPr>
        <w:ind w:left="3595" w:hanging="360"/>
      </w:pPr>
    </w:lvl>
    <w:lvl w:ilvl="5" w:tplc="440A001B" w:tentative="1">
      <w:start w:val="1"/>
      <w:numFmt w:val="lowerRoman"/>
      <w:lvlText w:val="%6."/>
      <w:lvlJc w:val="right"/>
      <w:pPr>
        <w:ind w:left="4315" w:hanging="180"/>
      </w:pPr>
    </w:lvl>
    <w:lvl w:ilvl="6" w:tplc="440A000F" w:tentative="1">
      <w:start w:val="1"/>
      <w:numFmt w:val="decimal"/>
      <w:lvlText w:val="%7."/>
      <w:lvlJc w:val="left"/>
      <w:pPr>
        <w:ind w:left="5035" w:hanging="360"/>
      </w:pPr>
    </w:lvl>
    <w:lvl w:ilvl="7" w:tplc="440A0019" w:tentative="1">
      <w:start w:val="1"/>
      <w:numFmt w:val="lowerLetter"/>
      <w:lvlText w:val="%8."/>
      <w:lvlJc w:val="left"/>
      <w:pPr>
        <w:ind w:left="5755" w:hanging="360"/>
      </w:pPr>
    </w:lvl>
    <w:lvl w:ilvl="8" w:tplc="4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095F37DC"/>
    <w:multiLevelType w:val="hybridMultilevel"/>
    <w:tmpl w:val="4CEEA358"/>
    <w:lvl w:ilvl="0" w:tplc="DE420D80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D436D38"/>
    <w:multiLevelType w:val="hybridMultilevel"/>
    <w:tmpl w:val="4E464B20"/>
    <w:lvl w:ilvl="0" w:tplc="06AAF9AE">
      <w:start w:val="1"/>
      <w:numFmt w:val="decimal"/>
      <w:suff w:val="space"/>
      <w:lvlText w:val="Art. %1.-"/>
      <w:lvlJc w:val="left"/>
      <w:pPr>
        <w:ind w:left="720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6321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12AD9"/>
    <w:multiLevelType w:val="hybridMultilevel"/>
    <w:tmpl w:val="C4B2522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DE420D8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557C"/>
    <w:multiLevelType w:val="hybridMultilevel"/>
    <w:tmpl w:val="872E6488"/>
    <w:lvl w:ilvl="0" w:tplc="327889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19B4"/>
    <w:multiLevelType w:val="hybridMultilevel"/>
    <w:tmpl w:val="89AE5D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05C93"/>
    <w:multiLevelType w:val="hybridMultilevel"/>
    <w:tmpl w:val="C4B2522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DE420D8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134"/>
    <w:multiLevelType w:val="hybridMultilevel"/>
    <w:tmpl w:val="B546CF5C"/>
    <w:lvl w:ilvl="0" w:tplc="04E8A00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80F01"/>
    <w:multiLevelType w:val="hybridMultilevel"/>
    <w:tmpl w:val="967811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B06B7"/>
    <w:multiLevelType w:val="hybridMultilevel"/>
    <w:tmpl w:val="872E6488"/>
    <w:lvl w:ilvl="0" w:tplc="327889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4DDB"/>
    <w:multiLevelType w:val="hybridMultilevel"/>
    <w:tmpl w:val="D0DACCE0"/>
    <w:lvl w:ilvl="0" w:tplc="30DE1B1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428D1"/>
    <w:multiLevelType w:val="hybridMultilevel"/>
    <w:tmpl w:val="166EC1C4"/>
    <w:lvl w:ilvl="0" w:tplc="04D2306E">
      <w:start w:val="3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0B88"/>
    <w:multiLevelType w:val="hybridMultilevel"/>
    <w:tmpl w:val="40B4C7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F5C9F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C6D11"/>
    <w:multiLevelType w:val="hybridMultilevel"/>
    <w:tmpl w:val="CE6209D4"/>
    <w:lvl w:ilvl="0" w:tplc="DE420D80">
      <w:start w:val="1"/>
      <w:numFmt w:val="lowerRoman"/>
      <w:lvlText w:val="%1."/>
      <w:lvlJc w:val="left"/>
      <w:pPr>
        <w:ind w:left="171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33" w:hanging="360"/>
      </w:pPr>
    </w:lvl>
    <w:lvl w:ilvl="2" w:tplc="440A001B" w:tentative="1">
      <w:start w:val="1"/>
      <w:numFmt w:val="lowerRoman"/>
      <w:lvlText w:val="%3."/>
      <w:lvlJc w:val="right"/>
      <w:pPr>
        <w:ind w:left="3153" w:hanging="180"/>
      </w:pPr>
    </w:lvl>
    <w:lvl w:ilvl="3" w:tplc="440A000F" w:tentative="1">
      <w:start w:val="1"/>
      <w:numFmt w:val="decimal"/>
      <w:lvlText w:val="%4."/>
      <w:lvlJc w:val="left"/>
      <w:pPr>
        <w:ind w:left="3873" w:hanging="360"/>
      </w:pPr>
    </w:lvl>
    <w:lvl w:ilvl="4" w:tplc="440A0019" w:tentative="1">
      <w:start w:val="1"/>
      <w:numFmt w:val="lowerLetter"/>
      <w:lvlText w:val="%5."/>
      <w:lvlJc w:val="left"/>
      <w:pPr>
        <w:ind w:left="4593" w:hanging="360"/>
      </w:pPr>
    </w:lvl>
    <w:lvl w:ilvl="5" w:tplc="440A001B" w:tentative="1">
      <w:start w:val="1"/>
      <w:numFmt w:val="lowerRoman"/>
      <w:lvlText w:val="%6."/>
      <w:lvlJc w:val="right"/>
      <w:pPr>
        <w:ind w:left="5313" w:hanging="180"/>
      </w:pPr>
    </w:lvl>
    <w:lvl w:ilvl="6" w:tplc="440A000F" w:tentative="1">
      <w:start w:val="1"/>
      <w:numFmt w:val="decimal"/>
      <w:lvlText w:val="%7."/>
      <w:lvlJc w:val="left"/>
      <w:pPr>
        <w:ind w:left="6033" w:hanging="360"/>
      </w:pPr>
    </w:lvl>
    <w:lvl w:ilvl="7" w:tplc="440A0019" w:tentative="1">
      <w:start w:val="1"/>
      <w:numFmt w:val="lowerLetter"/>
      <w:lvlText w:val="%8."/>
      <w:lvlJc w:val="left"/>
      <w:pPr>
        <w:ind w:left="6753" w:hanging="360"/>
      </w:pPr>
    </w:lvl>
    <w:lvl w:ilvl="8" w:tplc="4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7BB60BB"/>
    <w:multiLevelType w:val="hybridMultilevel"/>
    <w:tmpl w:val="40B4C7E2"/>
    <w:lvl w:ilvl="0" w:tplc="440A000F">
      <w:start w:val="1"/>
      <w:numFmt w:val="decimal"/>
      <w:lvlText w:val="%1."/>
      <w:lvlJc w:val="left"/>
      <w:pPr>
        <w:ind w:left="715" w:hanging="360"/>
      </w:pPr>
    </w:lvl>
    <w:lvl w:ilvl="1" w:tplc="440A0019">
      <w:start w:val="1"/>
      <w:numFmt w:val="lowerLetter"/>
      <w:lvlText w:val="%2."/>
      <w:lvlJc w:val="left"/>
      <w:pPr>
        <w:ind w:left="1435" w:hanging="360"/>
      </w:pPr>
    </w:lvl>
    <w:lvl w:ilvl="2" w:tplc="440A001B" w:tentative="1">
      <w:start w:val="1"/>
      <w:numFmt w:val="lowerRoman"/>
      <w:lvlText w:val="%3."/>
      <w:lvlJc w:val="right"/>
      <w:pPr>
        <w:ind w:left="2155" w:hanging="180"/>
      </w:pPr>
    </w:lvl>
    <w:lvl w:ilvl="3" w:tplc="440A000F" w:tentative="1">
      <w:start w:val="1"/>
      <w:numFmt w:val="decimal"/>
      <w:lvlText w:val="%4."/>
      <w:lvlJc w:val="left"/>
      <w:pPr>
        <w:ind w:left="2875" w:hanging="360"/>
      </w:pPr>
    </w:lvl>
    <w:lvl w:ilvl="4" w:tplc="440A0019" w:tentative="1">
      <w:start w:val="1"/>
      <w:numFmt w:val="lowerLetter"/>
      <w:lvlText w:val="%5."/>
      <w:lvlJc w:val="left"/>
      <w:pPr>
        <w:ind w:left="3595" w:hanging="360"/>
      </w:pPr>
    </w:lvl>
    <w:lvl w:ilvl="5" w:tplc="440A001B" w:tentative="1">
      <w:start w:val="1"/>
      <w:numFmt w:val="lowerRoman"/>
      <w:lvlText w:val="%6."/>
      <w:lvlJc w:val="right"/>
      <w:pPr>
        <w:ind w:left="4315" w:hanging="180"/>
      </w:pPr>
    </w:lvl>
    <w:lvl w:ilvl="6" w:tplc="440A000F" w:tentative="1">
      <w:start w:val="1"/>
      <w:numFmt w:val="decimal"/>
      <w:lvlText w:val="%7."/>
      <w:lvlJc w:val="left"/>
      <w:pPr>
        <w:ind w:left="5035" w:hanging="360"/>
      </w:pPr>
    </w:lvl>
    <w:lvl w:ilvl="7" w:tplc="440A0019" w:tentative="1">
      <w:start w:val="1"/>
      <w:numFmt w:val="lowerLetter"/>
      <w:lvlText w:val="%8."/>
      <w:lvlJc w:val="left"/>
      <w:pPr>
        <w:ind w:left="5755" w:hanging="360"/>
      </w:pPr>
    </w:lvl>
    <w:lvl w:ilvl="8" w:tplc="4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5A0D7B25"/>
    <w:multiLevelType w:val="hybridMultilevel"/>
    <w:tmpl w:val="56B86472"/>
    <w:lvl w:ilvl="0" w:tplc="DF4C16C6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trike w:val="0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B5CC6"/>
    <w:multiLevelType w:val="hybridMultilevel"/>
    <w:tmpl w:val="D116BBBA"/>
    <w:lvl w:ilvl="0" w:tplc="7E889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6D55"/>
    <w:multiLevelType w:val="hybridMultilevel"/>
    <w:tmpl w:val="DF44B144"/>
    <w:lvl w:ilvl="0" w:tplc="0EA05A9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2CDD"/>
    <w:multiLevelType w:val="hybridMultilevel"/>
    <w:tmpl w:val="40B4C7E2"/>
    <w:lvl w:ilvl="0" w:tplc="440A000F">
      <w:start w:val="1"/>
      <w:numFmt w:val="decimal"/>
      <w:lvlText w:val="%1."/>
      <w:lvlJc w:val="left"/>
      <w:pPr>
        <w:ind w:left="715" w:hanging="360"/>
      </w:pPr>
    </w:lvl>
    <w:lvl w:ilvl="1" w:tplc="440A0019">
      <w:start w:val="1"/>
      <w:numFmt w:val="lowerLetter"/>
      <w:lvlText w:val="%2."/>
      <w:lvlJc w:val="left"/>
      <w:pPr>
        <w:ind w:left="1435" w:hanging="360"/>
      </w:pPr>
    </w:lvl>
    <w:lvl w:ilvl="2" w:tplc="440A001B" w:tentative="1">
      <w:start w:val="1"/>
      <w:numFmt w:val="lowerRoman"/>
      <w:lvlText w:val="%3."/>
      <w:lvlJc w:val="right"/>
      <w:pPr>
        <w:ind w:left="2155" w:hanging="180"/>
      </w:pPr>
    </w:lvl>
    <w:lvl w:ilvl="3" w:tplc="440A000F" w:tentative="1">
      <w:start w:val="1"/>
      <w:numFmt w:val="decimal"/>
      <w:lvlText w:val="%4."/>
      <w:lvlJc w:val="left"/>
      <w:pPr>
        <w:ind w:left="2875" w:hanging="360"/>
      </w:pPr>
    </w:lvl>
    <w:lvl w:ilvl="4" w:tplc="440A0019" w:tentative="1">
      <w:start w:val="1"/>
      <w:numFmt w:val="lowerLetter"/>
      <w:lvlText w:val="%5."/>
      <w:lvlJc w:val="left"/>
      <w:pPr>
        <w:ind w:left="3595" w:hanging="360"/>
      </w:pPr>
    </w:lvl>
    <w:lvl w:ilvl="5" w:tplc="440A001B" w:tentative="1">
      <w:start w:val="1"/>
      <w:numFmt w:val="lowerRoman"/>
      <w:lvlText w:val="%6."/>
      <w:lvlJc w:val="right"/>
      <w:pPr>
        <w:ind w:left="4315" w:hanging="180"/>
      </w:pPr>
    </w:lvl>
    <w:lvl w:ilvl="6" w:tplc="440A000F" w:tentative="1">
      <w:start w:val="1"/>
      <w:numFmt w:val="decimal"/>
      <w:lvlText w:val="%7."/>
      <w:lvlJc w:val="left"/>
      <w:pPr>
        <w:ind w:left="5035" w:hanging="360"/>
      </w:pPr>
    </w:lvl>
    <w:lvl w:ilvl="7" w:tplc="440A0019" w:tentative="1">
      <w:start w:val="1"/>
      <w:numFmt w:val="lowerLetter"/>
      <w:lvlText w:val="%8."/>
      <w:lvlJc w:val="left"/>
      <w:pPr>
        <w:ind w:left="5755" w:hanging="360"/>
      </w:pPr>
    </w:lvl>
    <w:lvl w:ilvl="8" w:tplc="4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64DB6A65"/>
    <w:multiLevelType w:val="hybridMultilevel"/>
    <w:tmpl w:val="0E66B7CE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2B3F30"/>
    <w:multiLevelType w:val="hybridMultilevel"/>
    <w:tmpl w:val="B57037BE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A85C8D"/>
    <w:multiLevelType w:val="hybridMultilevel"/>
    <w:tmpl w:val="40B4C7E2"/>
    <w:lvl w:ilvl="0" w:tplc="440A000F">
      <w:start w:val="1"/>
      <w:numFmt w:val="decimal"/>
      <w:lvlText w:val="%1."/>
      <w:lvlJc w:val="left"/>
      <w:pPr>
        <w:ind w:left="573" w:hanging="360"/>
      </w:pPr>
    </w:lvl>
    <w:lvl w:ilvl="1" w:tplc="440A0019">
      <w:start w:val="1"/>
      <w:numFmt w:val="lowerLetter"/>
      <w:lvlText w:val="%2."/>
      <w:lvlJc w:val="left"/>
      <w:pPr>
        <w:ind w:left="1293" w:hanging="360"/>
      </w:pPr>
    </w:lvl>
    <w:lvl w:ilvl="2" w:tplc="440A001B" w:tentative="1">
      <w:start w:val="1"/>
      <w:numFmt w:val="lowerRoman"/>
      <w:lvlText w:val="%3."/>
      <w:lvlJc w:val="right"/>
      <w:pPr>
        <w:ind w:left="2013" w:hanging="180"/>
      </w:pPr>
    </w:lvl>
    <w:lvl w:ilvl="3" w:tplc="440A000F" w:tentative="1">
      <w:start w:val="1"/>
      <w:numFmt w:val="decimal"/>
      <w:lvlText w:val="%4."/>
      <w:lvlJc w:val="left"/>
      <w:pPr>
        <w:ind w:left="2733" w:hanging="360"/>
      </w:pPr>
    </w:lvl>
    <w:lvl w:ilvl="4" w:tplc="440A0019" w:tentative="1">
      <w:start w:val="1"/>
      <w:numFmt w:val="lowerLetter"/>
      <w:lvlText w:val="%5."/>
      <w:lvlJc w:val="left"/>
      <w:pPr>
        <w:ind w:left="3453" w:hanging="360"/>
      </w:pPr>
    </w:lvl>
    <w:lvl w:ilvl="5" w:tplc="440A001B" w:tentative="1">
      <w:start w:val="1"/>
      <w:numFmt w:val="lowerRoman"/>
      <w:lvlText w:val="%6."/>
      <w:lvlJc w:val="right"/>
      <w:pPr>
        <w:ind w:left="4173" w:hanging="180"/>
      </w:pPr>
    </w:lvl>
    <w:lvl w:ilvl="6" w:tplc="440A000F" w:tentative="1">
      <w:start w:val="1"/>
      <w:numFmt w:val="decimal"/>
      <w:lvlText w:val="%7."/>
      <w:lvlJc w:val="left"/>
      <w:pPr>
        <w:ind w:left="4893" w:hanging="360"/>
      </w:pPr>
    </w:lvl>
    <w:lvl w:ilvl="7" w:tplc="440A0019" w:tentative="1">
      <w:start w:val="1"/>
      <w:numFmt w:val="lowerLetter"/>
      <w:lvlText w:val="%8."/>
      <w:lvlJc w:val="left"/>
      <w:pPr>
        <w:ind w:left="5613" w:hanging="360"/>
      </w:pPr>
    </w:lvl>
    <w:lvl w:ilvl="8" w:tplc="44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8" w15:restartNumberingAfterBreak="0">
    <w:nsid w:val="6B9D2E7E"/>
    <w:multiLevelType w:val="hybridMultilevel"/>
    <w:tmpl w:val="94169A64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FC6C40"/>
    <w:multiLevelType w:val="hybridMultilevel"/>
    <w:tmpl w:val="3ACC0E8A"/>
    <w:lvl w:ilvl="0" w:tplc="B0FA07F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7D7D"/>
    <w:multiLevelType w:val="hybridMultilevel"/>
    <w:tmpl w:val="11F690F0"/>
    <w:lvl w:ilvl="0" w:tplc="721C3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D25B0D"/>
    <w:multiLevelType w:val="hybridMultilevel"/>
    <w:tmpl w:val="AAAE7FD6"/>
    <w:lvl w:ilvl="0" w:tplc="D236D6D2">
      <w:start w:val="2"/>
      <w:numFmt w:val="decimal"/>
      <w:lvlText w:val="%1."/>
      <w:lvlJc w:val="left"/>
      <w:pPr>
        <w:ind w:left="715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94CE0"/>
    <w:multiLevelType w:val="hybridMultilevel"/>
    <w:tmpl w:val="C8E8F5FC"/>
    <w:lvl w:ilvl="0" w:tplc="65CCDC16">
      <w:start w:val="8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C23EA"/>
    <w:multiLevelType w:val="hybridMultilevel"/>
    <w:tmpl w:val="26FC054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B6472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5072"/>
    <w:multiLevelType w:val="hybridMultilevel"/>
    <w:tmpl w:val="323C78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"/>
  </w:num>
  <w:num w:numId="4">
    <w:abstractNumId w:val="12"/>
  </w:num>
  <w:num w:numId="5">
    <w:abstractNumId w:val="33"/>
  </w:num>
  <w:num w:numId="6">
    <w:abstractNumId w:val="35"/>
  </w:num>
  <w:num w:numId="7">
    <w:abstractNumId w:val="7"/>
  </w:num>
  <w:num w:numId="8">
    <w:abstractNumId w:val="18"/>
  </w:num>
  <w:num w:numId="9">
    <w:abstractNumId w:val="4"/>
  </w:num>
  <w:num w:numId="10">
    <w:abstractNumId w:val="34"/>
  </w:num>
  <w:num w:numId="11">
    <w:abstractNumId w:val="17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6"/>
  </w:num>
  <w:num w:numId="17">
    <w:abstractNumId w:val="28"/>
  </w:num>
  <w:num w:numId="18">
    <w:abstractNumId w:val="22"/>
  </w:num>
  <w:num w:numId="19">
    <w:abstractNumId w:val="25"/>
  </w:num>
  <w:num w:numId="20">
    <w:abstractNumId w:val="30"/>
  </w:num>
  <w:num w:numId="21">
    <w:abstractNumId w:val="5"/>
  </w:num>
  <w:num w:numId="22">
    <w:abstractNumId w:val="14"/>
  </w:num>
  <w:num w:numId="23">
    <w:abstractNumId w:val="23"/>
  </w:num>
  <w:num w:numId="24">
    <w:abstractNumId w:val="9"/>
  </w:num>
  <w:num w:numId="25">
    <w:abstractNumId w:val="6"/>
  </w:num>
  <w:num w:numId="26">
    <w:abstractNumId w:val="1"/>
  </w:num>
  <w:num w:numId="27">
    <w:abstractNumId w:val="3"/>
  </w:num>
  <w:num w:numId="28">
    <w:abstractNumId w:val="27"/>
  </w:num>
  <w:num w:numId="29">
    <w:abstractNumId w:val="24"/>
  </w:num>
  <w:num w:numId="30">
    <w:abstractNumId w:val="13"/>
  </w:num>
  <w:num w:numId="31">
    <w:abstractNumId w:val="29"/>
  </w:num>
  <w:num w:numId="32">
    <w:abstractNumId w:val="11"/>
  </w:num>
  <w:num w:numId="33">
    <w:abstractNumId w:val="32"/>
  </w:num>
  <w:num w:numId="34">
    <w:abstractNumId w:val="31"/>
  </w:num>
  <w:num w:numId="35">
    <w:abstractNumId w:val="15"/>
  </w:num>
  <w:num w:numId="3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4"/>
    <w:rsid w:val="00000136"/>
    <w:rsid w:val="0000201A"/>
    <w:rsid w:val="00012D82"/>
    <w:rsid w:val="000143C9"/>
    <w:rsid w:val="00031A8E"/>
    <w:rsid w:val="00035712"/>
    <w:rsid w:val="00037CAA"/>
    <w:rsid w:val="00040B19"/>
    <w:rsid w:val="000518C8"/>
    <w:rsid w:val="00054A3B"/>
    <w:rsid w:val="00063856"/>
    <w:rsid w:val="00065D35"/>
    <w:rsid w:val="000703FD"/>
    <w:rsid w:val="00075977"/>
    <w:rsid w:val="00081E48"/>
    <w:rsid w:val="0009719F"/>
    <w:rsid w:val="00097991"/>
    <w:rsid w:val="00097A37"/>
    <w:rsid w:val="000B0654"/>
    <w:rsid w:val="000B2125"/>
    <w:rsid w:val="000B519A"/>
    <w:rsid w:val="000B6540"/>
    <w:rsid w:val="000C00AD"/>
    <w:rsid w:val="000C4473"/>
    <w:rsid w:val="000C52E2"/>
    <w:rsid w:val="000C628D"/>
    <w:rsid w:val="000D17B3"/>
    <w:rsid w:val="000D4B5D"/>
    <w:rsid w:val="000D7449"/>
    <w:rsid w:val="000E0690"/>
    <w:rsid w:val="000E07C9"/>
    <w:rsid w:val="000E2A4A"/>
    <w:rsid w:val="000E33EE"/>
    <w:rsid w:val="000E3B85"/>
    <w:rsid w:val="000E6D22"/>
    <w:rsid w:val="000F0883"/>
    <w:rsid w:val="000F3A4A"/>
    <w:rsid w:val="00107F6A"/>
    <w:rsid w:val="0011059A"/>
    <w:rsid w:val="00114C3D"/>
    <w:rsid w:val="001207FE"/>
    <w:rsid w:val="00122D3E"/>
    <w:rsid w:val="0013093E"/>
    <w:rsid w:val="001317CB"/>
    <w:rsid w:val="00134137"/>
    <w:rsid w:val="00141954"/>
    <w:rsid w:val="00144AFC"/>
    <w:rsid w:val="00144F0B"/>
    <w:rsid w:val="00160AEC"/>
    <w:rsid w:val="00162B08"/>
    <w:rsid w:val="0016788E"/>
    <w:rsid w:val="001847C5"/>
    <w:rsid w:val="001850E9"/>
    <w:rsid w:val="00186B4A"/>
    <w:rsid w:val="001906A8"/>
    <w:rsid w:val="001A12DD"/>
    <w:rsid w:val="001A13B5"/>
    <w:rsid w:val="001A1CDF"/>
    <w:rsid w:val="001A31ED"/>
    <w:rsid w:val="001A4D40"/>
    <w:rsid w:val="001A6791"/>
    <w:rsid w:val="001B11AE"/>
    <w:rsid w:val="001B4297"/>
    <w:rsid w:val="001B6A2E"/>
    <w:rsid w:val="001B7014"/>
    <w:rsid w:val="001F4326"/>
    <w:rsid w:val="00200D4C"/>
    <w:rsid w:val="00207BC2"/>
    <w:rsid w:val="00217E54"/>
    <w:rsid w:val="00223BCF"/>
    <w:rsid w:val="00224EB8"/>
    <w:rsid w:val="0023165F"/>
    <w:rsid w:val="00237BD3"/>
    <w:rsid w:val="00253AE0"/>
    <w:rsid w:val="00256FDA"/>
    <w:rsid w:val="002605F7"/>
    <w:rsid w:val="002619BE"/>
    <w:rsid w:val="00262D1A"/>
    <w:rsid w:val="002651AD"/>
    <w:rsid w:val="00271781"/>
    <w:rsid w:val="00276262"/>
    <w:rsid w:val="00277D4E"/>
    <w:rsid w:val="00285C97"/>
    <w:rsid w:val="00287378"/>
    <w:rsid w:val="0029357E"/>
    <w:rsid w:val="002A4026"/>
    <w:rsid w:val="002A4961"/>
    <w:rsid w:val="002A4B22"/>
    <w:rsid w:val="002B2994"/>
    <w:rsid w:val="002C7F15"/>
    <w:rsid w:val="002E186A"/>
    <w:rsid w:val="002E509D"/>
    <w:rsid w:val="00301A79"/>
    <w:rsid w:val="00306C4B"/>
    <w:rsid w:val="003119D9"/>
    <w:rsid w:val="0031237B"/>
    <w:rsid w:val="003169F6"/>
    <w:rsid w:val="00323B17"/>
    <w:rsid w:val="0032443B"/>
    <w:rsid w:val="003338C9"/>
    <w:rsid w:val="00335AFC"/>
    <w:rsid w:val="00335DA7"/>
    <w:rsid w:val="00344A67"/>
    <w:rsid w:val="00367B21"/>
    <w:rsid w:val="00373EC6"/>
    <w:rsid w:val="0038095C"/>
    <w:rsid w:val="00384CD5"/>
    <w:rsid w:val="00393ADD"/>
    <w:rsid w:val="003963D4"/>
    <w:rsid w:val="003A379E"/>
    <w:rsid w:val="003C0B1A"/>
    <w:rsid w:val="003C37E2"/>
    <w:rsid w:val="003C388B"/>
    <w:rsid w:val="003C7DC8"/>
    <w:rsid w:val="003D1062"/>
    <w:rsid w:val="003D6A37"/>
    <w:rsid w:val="003F3418"/>
    <w:rsid w:val="003F6771"/>
    <w:rsid w:val="003F7FFA"/>
    <w:rsid w:val="004010B6"/>
    <w:rsid w:val="00405821"/>
    <w:rsid w:val="00406E8E"/>
    <w:rsid w:val="004077F4"/>
    <w:rsid w:val="004136AC"/>
    <w:rsid w:val="00415BD0"/>
    <w:rsid w:val="00421014"/>
    <w:rsid w:val="004300FB"/>
    <w:rsid w:val="00431538"/>
    <w:rsid w:val="0044191D"/>
    <w:rsid w:val="00457A72"/>
    <w:rsid w:val="00462AD2"/>
    <w:rsid w:val="004637C1"/>
    <w:rsid w:val="00475D6A"/>
    <w:rsid w:val="00482E83"/>
    <w:rsid w:val="004874E0"/>
    <w:rsid w:val="00494FF2"/>
    <w:rsid w:val="004A467E"/>
    <w:rsid w:val="004A731D"/>
    <w:rsid w:val="004B02EB"/>
    <w:rsid w:val="004B2703"/>
    <w:rsid w:val="004B2E3E"/>
    <w:rsid w:val="004B37E7"/>
    <w:rsid w:val="004B51E5"/>
    <w:rsid w:val="004B735B"/>
    <w:rsid w:val="004C3E34"/>
    <w:rsid w:val="004C6251"/>
    <w:rsid w:val="004C73DA"/>
    <w:rsid w:val="004D0961"/>
    <w:rsid w:val="004D6F9A"/>
    <w:rsid w:val="004E0DC2"/>
    <w:rsid w:val="004E2D1C"/>
    <w:rsid w:val="004F197D"/>
    <w:rsid w:val="004F29D7"/>
    <w:rsid w:val="004F6B72"/>
    <w:rsid w:val="00501A05"/>
    <w:rsid w:val="00501E14"/>
    <w:rsid w:val="00520511"/>
    <w:rsid w:val="00530CD5"/>
    <w:rsid w:val="0054139D"/>
    <w:rsid w:val="005422A4"/>
    <w:rsid w:val="005476A9"/>
    <w:rsid w:val="00554AA8"/>
    <w:rsid w:val="0056370B"/>
    <w:rsid w:val="0057249E"/>
    <w:rsid w:val="00572518"/>
    <w:rsid w:val="00572CAB"/>
    <w:rsid w:val="00574D24"/>
    <w:rsid w:val="00581EAD"/>
    <w:rsid w:val="00584F78"/>
    <w:rsid w:val="00587D4F"/>
    <w:rsid w:val="00590DA7"/>
    <w:rsid w:val="005A0A26"/>
    <w:rsid w:val="005A68E0"/>
    <w:rsid w:val="005B136B"/>
    <w:rsid w:val="005B2C10"/>
    <w:rsid w:val="005B2C8F"/>
    <w:rsid w:val="005B6CFF"/>
    <w:rsid w:val="005C5074"/>
    <w:rsid w:val="005C5810"/>
    <w:rsid w:val="005C58F2"/>
    <w:rsid w:val="005C72FD"/>
    <w:rsid w:val="005E056E"/>
    <w:rsid w:val="005E1999"/>
    <w:rsid w:val="005F0B30"/>
    <w:rsid w:val="005F50A7"/>
    <w:rsid w:val="006028FB"/>
    <w:rsid w:val="00604C7C"/>
    <w:rsid w:val="00605F83"/>
    <w:rsid w:val="00621C09"/>
    <w:rsid w:val="00621DFD"/>
    <w:rsid w:val="00633248"/>
    <w:rsid w:val="0063798C"/>
    <w:rsid w:val="0064003D"/>
    <w:rsid w:val="00641037"/>
    <w:rsid w:val="0064120F"/>
    <w:rsid w:val="00641FBC"/>
    <w:rsid w:val="00650CD1"/>
    <w:rsid w:val="00651ED1"/>
    <w:rsid w:val="00662B66"/>
    <w:rsid w:val="00662EDB"/>
    <w:rsid w:val="00670348"/>
    <w:rsid w:val="006716B4"/>
    <w:rsid w:val="00672A4B"/>
    <w:rsid w:val="00681491"/>
    <w:rsid w:val="00683A53"/>
    <w:rsid w:val="00683C52"/>
    <w:rsid w:val="00684400"/>
    <w:rsid w:val="00687E96"/>
    <w:rsid w:val="006927B8"/>
    <w:rsid w:val="006941CC"/>
    <w:rsid w:val="0069442D"/>
    <w:rsid w:val="00694A12"/>
    <w:rsid w:val="00694F19"/>
    <w:rsid w:val="006975D9"/>
    <w:rsid w:val="006A42EF"/>
    <w:rsid w:val="006B2398"/>
    <w:rsid w:val="006B7311"/>
    <w:rsid w:val="006C0ABC"/>
    <w:rsid w:val="006C205C"/>
    <w:rsid w:val="006C6DA9"/>
    <w:rsid w:val="006D32E4"/>
    <w:rsid w:val="006E3DE1"/>
    <w:rsid w:val="006E662F"/>
    <w:rsid w:val="006E6FC6"/>
    <w:rsid w:val="006F0C30"/>
    <w:rsid w:val="006F149A"/>
    <w:rsid w:val="006F46B9"/>
    <w:rsid w:val="006F7EAA"/>
    <w:rsid w:val="007007E4"/>
    <w:rsid w:val="00701998"/>
    <w:rsid w:val="00701C21"/>
    <w:rsid w:val="00701DB0"/>
    <w:rsid w:val="007035E6"/>
    <w:rsid w:val="007133CE"/>
    <w:rsid w:val="00713B05"/>
    <w:rsid w:val="00714D6B"/>
    <w:rsid w:val="00716E37"/>
    <w:rsid w:val="00720F1D"/>
    <w:rsid w:val="00723AF3"/>
    <w:rsid w:val="00730820"/>
    <w:rsid w:val="0073508E"/>
    <w:rsid w:val="00740CF2"/>
    <w:rsid w:val="00750A09"/>
    <w:rsid w:val="0075466A"/>
    <w:rsid w:val="00761B2B"/>
    <w:rsid w:val="0076203A"/>
    <w:rsid w:val="00766F8A"/>
    <w:rsid w:val="00774041"/>
    <w:rsid w:val="007803EF"/>
    <w:rsid w:val="00780D30"/>
    <w:rsid w:val="00782283"/>
    <w:rsid w:val="00785242"/>
    <w:rsid w:val="00792ED1"/>
    <w:rsid w:val="00793E61"/>
    <w:rsid w:val="00796A55"/>
    <w:rsid w:val="007A27AC"/>
    <w:rsid w:val="007A50E8"/>
    <w:rsid w:val="007B1D97"/>
    <w:rsid w:val="007B4448"/>
    <w:rsid w:val="007B5A91"/>
    <w:rsid w:val="007B6CD0"/>
    <w:rsid w:val="007C38F8"/>
    <w:rsid w:val="007C4CA3"/>
    <w:rsid w:val="007C4E87"/>
    <w:rsid w:val="007C7301"/>
    <w:rsid w:val="007D237C"/>
    <w:rsid w:val="007D613F"/>
    <w:rsid w:val="007D6C24"/>
    <w:rsid w:val="007E06E8"/>
    <w:rsid w:val="007E452E"/>
    <w:rsid w:val="007E4A4B"/>
    <w:rsid w:val="007F205F"/>
    <w:rsid w:val="007F2974"/>
    <w:rsid w:val="007F3040"/>
    <w:rsid w:val="007F4B6A"/>
    <w:rsid w:val="008020D1"/>
    <w:rsid w:val="00807F3B"/>
    <w:rsid w:val="00817D46"/>
    <w:rsid w:val="008272B8"/>
    <w:rsid w:val="008344B7"/>
    <w:rsid w:val="008456D9"/>
    <w:rsid w:val="00850B9B"/>
    <w:rsid w:val="00857D5D"/>
    <w:rsid w:val="00862A28"/>
    <w:rsid w:val="00862FCB"/>
    <w:rsid w:val="00870C23"/>
    <w:rsid w:val="00874918"/>
    <w:rsid w:val="00874B09"/>
    <w:rsid w:val="00876A32"/>
    <w:rsid w:val="00881E73"/>
    <w:rsid w:val="00885FEC"/>
    <w:rsid w:val="00887016"/>
    <w:rsid w:val="0089182F"/>
    <w:rsid w:val="0089220F"/>
    <w:rsid w:val="00892A06"/>
    <w:rsid w:val="00893C60"/>
    <w:rsid w:val="008A018D"/>
    <w:rsid w:val="008A51DB"/>
    <w:rsid w:val="008A61EB"/>
    <w:rsid w:val="008A7833"/>
    <w:rsid w:val="008B2B0E"/>
    <w:rsid w:val="008B43B0"/>
    <w:rsid w:val="008B67B6"/>
    <w:rsid w:val="008B7CBE"/>
    <w:rsid w:val="008C4DF3"/>
    <w:rsid w:val="008D5B42"/>
    <w:rsid w:val="008D7372"/>
    <w:rsid w:val="008F35D6"/>
    <w:rsid w:val="008F395F"/>
    <w:rsid w:val="00903B13"/>
    <w:rsid w:val="00904821"/>
    <w:rsid w:val="00906CA1"/>
    <w:rsid w:val="00913196"/>
    <w:rsid w:val="009133A5"/>
    <w:rsid w:val="00916E3F"/>
    <w:rsid w:val="009239DC"/>
    <w:rsid w:val="0093065A"/>
    <w:rsid w:val="00933644"/>
    <w:rsid w:val="009420EE"/>
    <w:rsid w:val="00942720"/>
    <w:rsid w:val="00954668"/>
    <w:rsid w:val="00962870"/>
    <w:rsid w:val="0097552D"/>
    <w:rsid w:val="009800FB"/>
    <w:rsid w:val="0098390F"/>
    <w:rsid w:val="00991378"/>
    <w:rsid w:val="00991E4E"/>
    <w:rsid w:val="00994DD1"/>
    <w:rsid w:val="00995273"/>
    <w:rsid w:val="0099550F"/>
    <w:rsid w:val="0099690A"/>
    <w:rsid w:val="009A0606"/>
    <w:rsid w:val="009A1F87"/>
    <w:rsid w:val="009B1375"/>
    <w:rsid w:val="009B632C"/>
    <w:rsid w:val="009C14BF"/>
    <w:rsid w:val="009C1B66"/>
    <w:rsid w:val="009C33BD"/>
    <w:rsid w:val="009C5253"/>
    <w:rsid w:val="009C5482"/>
    <w:rsid w:val="009E7BA3"/>
    <w:rsid w:val="009F41DB"/>
    <w:rsid w:val="009F49A1"/>
    <w:rsid w:val="009F6DEF"/>
    <w:rsid w:val="00A01B1F"/>
    <w:rsid w:val="00A0353B"/>
    <w:rsid w:val="00A0449F"/>
    <w:rsid w:val="00A0629A"/>
    <w:rsid w:val="00A10737"/>
    <w:rsid w:val="00A12EAD"/>
    <w:rsid w:val="00A239A2"/>
    <w:rsid w:val="00A31B1C"/>
    <w:rsid w:val="00A32120"/>
    <w:rsid w:val="00A32728"/>
    <w:rsid w:val="00A352B4"/>
    <w:rsid w:val="00A374F0"/>
    <w:rsid w:val="00A42650"/>
    <w:rsid w:val="00A65D67"/>
    <w:rsid w:val="00A66BD8"/>
    <w:rsid w:val="00A72DA5"/>
    <w:rsid w:val="00A73C08"/>
    <w:rsid w:val="00A93531"/>
    <w:rsid w:val="00A968CC"/>
    <w:rsid w:val="00AA1ACF"/>
    <w:rsid w:val="00AA206C"/>
    <w:rsid w:val="00AB106D"/>
    <w:rsid w:val="00AB7E30"/>
    <w:rsid w:val="00AC20A6"/>
    <w:rsid w:val="00AC41DA"/>
    <w:rsid w:val="00AC69F8"/>
    <w:rsid w:val="00AD0621"/>
    <w:rsid w:val="00AD533A"/>
    <w:rsid w:val="00AE0A47"/>
    <w:rsid w:val="00AE2A20"/>
    <w:rsid w:val="00AF6ECE"/>
    <w:rsid w:val="00B052C3"/>
    <w:rsid w:val="00B0788A"/>
    <w:rsid w:val="00B17EF7"/>
    <w:rsid w:val="00B20EC5"/>
    <w:rsid w:val="00B2636A"/>
    <w:rsid w:val="00B274DA"/>
    <w:rsid w:val="00B32DEC"/>
    <w:rsid w:val="00B41A56"/>
    <w:rsid w:val="00B41CC6"/>
    <w:rsid w:val="00B43250"/>
    <w:rsid w:val="00B45972"/>
    <w:rsid w:val="00B47B99"/>
    <w:rsid w:val="00B50135"/>
    <w:rsid w:val="00B525FE"/>
    <w:rsid w:val="00B52B62"/>
    <w:rsid w:val="00B558F7"/>
    <w:rsid w:val="00B56F47"/>
    <w:rsid w:val="00B57080"/>
    <w:rsid w:val="00B6274F"/>
    <w:rsid w:val="00B66F73"/>
    <w:rsid w:val="00B91943"/>
    <w:rsid w:val="00B92248"/>
    <w:rsid w:val="00B9274B"/>
    <w:rsid w:val="00B93F5D"/>
    <w:rsid w:val="00BA112E"/>
    <w:rsid w:val="00BA2F54"/>
    <w:rsid w:val="00BA6645"/>
    <w:rsid w:val="00BB24C9"/>
    <w:rsid w:val="00BB3271"/>
    <w:rsid w:val="00BC0136"/>
    <w:rsid w:val="00BC18F6"/>
    <w:rsid w:val="00BC60A0"/>
    <w:rsid w:val="00BC6C99"/>
    <w:rsid w:val="00BD0711"/>
    <w:rsid w:val="00BD6C22"/>
    <w:rsid w:val="00BE29B2"/>
    <w:rsid w:val="00BE5D2C"/>
    <w:rsid w:val="00BE61F0"/>
    <w:rsid w:val="00BF018F"/>
    <w:rsid w:val="00BF0CFD"/>
    <w:rsid w:val="00BF6DFF"/>
    <w:rsid w:val="00C0472D"/>
    <w:rsid w:val="00C107BB"/>
    <w:rsid w:val="00C16EF4"/>
    <w:rsid w:val="00C2224D"/>
    <w:rsid w:val="00C27878"/>
    <w:rsid w:val="00C317F4"/>
    <w:rsid w:val="00C4420E"/>
    <w:rsid w:val="00C45714"/>
    <w:rsid w:val="00C50599"/>
    <w:rsid w:val="00C50F47"/>
    <w:rsid w:val="00C52CAA"/>
    <w:rsid w:val="00C60EDD"/>
    <w:rsid w:val="00C61850"/>
    <w:rsid w:val="00C62E21"/>
    <w:rsid w:val="00C700ED"/>
    <w:rsid w:val="00C760E2"/>
    <w:rsid w:val="00C762C7"/>
    <w:rsid w:val="00C76BEA"/>
    <w:rsid w:val="00C775F3"/>
    <w:rsid w:val="00C843CE"/>
    <w:rsid w:val="00C8555C"/>
    <w:rsid w:val="00C87162"/>
    <w:rsid w:val="00C90FFB"/>
    <w:rsid w:val="00C92D9F"/>
    <w:rsid w:val="00C937A3"/>
    <w:rsid w:val="00CB2B68"/>
    <w:rsid w:val="00CB3566"/>
    <w:rsid w:val="00CB662C"/>
    <w:rsid w:val="00CC2876"/>
    <w:rsid w:val="00CD7DC0"/>
    <w:rsid w:val="00CF0875"/>
    <w:rsid w:val="00CF24AC"/>
    <w:rsid w:val="00CF35F3"/>
    <w:rsid w:val="00CF3982"/>
    <w:rsid w:val="00CF4CC1"/>
    <w:rsid w:val="00CF55B2"/>
    <w:rsid w:val="00D02A73"/>
    <w:rsid w:val="00D0369B"/>
    <w:rsid w:val="00D04CD0"/>
    <w:rsid w:val="00D10F9B"/>
    <w:rsid w:val="00D12765"/>
    <w:rsid w:val="00D14F82"/>
    <w:rsid w:val="00D154EB"/>
    <w:rsid w:val="00D26A2B"/>
    <w:rsid w:val="00D3022C"/>
    <w:rsid w:val="00D338F8"/>
    <w:rsid w:val="00D344AC"/>
    <w:rsid w:val="00D4296A"/>
    <w:rsid w:val="00D42D38"/>
    <w:rsid w:val="00D434E7"/>
    <w:rsid w:val="00D4581E"/>
    <w:rsid w:val="00D46E1D"/>
    <w:rsid w:val="00D53138"/>
    <w:rsid w:val="00D53368"/>
    <w:rsid w:val="00D54C4E"/>
    <w:rsid w:val="00D667F1"/>
    <w:rsid w:val="00D73809"/>
    <w:rsid w:val="00D75572"/>
    <w:rsid w:val="00DA0F67"/>
    <w:rsid w:val="00DD6955"/>
    <w:rsid w:val="00DD6ED8"/>
    <w:rsid w:val="00DE0E0E"/>
    <w:rsid w:val="00DE56E8"/>
    <w:rsid w:val="00DF0808"/>
    <w:rsid w:val="00DF48B6"/>
    <w:rsid w:val="00DF48FC"/>
    <w:rsid w:val="00E13926"/>
    <w:rsid w:val="00E15AAD"/>
    <w:rsid w:val="00E1655E"/>
    <w:rsid w:val="00E16562"/>
    <w:rsid w:val="00E225B1"/>
    <w:rsid w:val="00E22686"/>
    <w:rsid w:val="00E2702B"/>
    <w:rsid w:val="00E27BB4"/>
    <w:rsid w:val="00E327AF"/>
    <w:rsid w:val="00E42892"/>
    <w:rsid w:val="00E4516C"/>
    <w:rsid w:val="00E455C7"/>
    <w:rsid w:val="00E50676"/>
    <w:rsid w:val="00E512C3"/>
    <w:rsid w:val="00E52192"/>
    <w:rsid w:val="00E56321"/>
    <w:rsid w:val="00E61D2D"/>
    <w:rsid w:val="00E632D2"/>
    <w:rsid w:val="00E73E95"/>
    <w:rsid w:val="00E8759B"/>
    <w:rsid w:val="00E93750"/>
    <w:rsid w:val="00E94404"/>
    <w:rsid w:val="00EA122B"/>
    <w:rsid w:val="00EA1BF3"/>
    <w:rsid w:val="00EA5D24"/>
    <w:rsid w:val="00EA7AE0"/>
    <w:rsid w:val="00ED0C20"/>
    <w:rsid w:val="00ED1CBF"/>
    <w:rsid w:val="00ED2703"/>
    <w:rsid w:val="00ED3B5E"/>
    <w:rsid w:val="00EE2BDD"/>
    <w:rsid w:val="00EF2CCD"/>
    <w:rsid w:val="00F1170D"/>
    <w:rsid w:val="00F13D85"/>
    <w:rsid w:val="00F14C9B"/>
    <w:rsid w:val="00F15159"/>
    <w:rsid w:val="00F205EF"/>
    <w:rsid w:val="00F2695E"/>
    <w:rsid w:val="00F277FA"/>
    <w:rsid w:val="00F30DC7"/>
    <w:rsid w:val="00F339DE"/>
    <w:rsid w:val="00F433BC"/>
    <w:rsid w:val="00F44502"/>
    <w:rsid w:val="00F47E39"/>
    <w:rsid w:val="00F74469"/>
    <w:rsid w:val="00F755D5"/>
    <w:rsid w:val="00F824D3"/>
    <w:rsid w:val="00F86515"/>
    <w:rsid w:val="00FA1174"/>
    <w:rsid w:val="00FB5D7A"/>
    <w:rsid w:val="00FC5EEB"/>
    <w:rsid w:val="00FC6C10"/>
    <w:rsid w:val="00FD3F2A"/>
    <w:rsid w:val="00FD4868"/>
    <w:rsid w:val="00FD4CE1"/>
    <w:rsid w:val="00FD7915"/>
    <w:rsid w:val="00FE4118"/>
    <w:rsid w:val="00FE555C"/>
    <w:rsid w:val="00FF34B0"/>
    <w:rsid w:val="00FF4E4A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9793"/>
  <w15:docId w15:val="{CAFD25E6-5C76-4E66-AEE5-8493AB23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qFormat/>
    <w:rsid w:val="00C16E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34137"/>
    <w:pPr>
      <w:keepNext/>
      <w:tabs>
        <w:tab w:val="num" w:pos="576"/>
      </w:tabs>
      <w:spacing w:before="60" w:after="60" w:line="240" w:lineRule="auto"/>
      <w:ind w:left="576" w:hanging="576"/>
      <w:jc w:val="both"/>
      <w:outlineLvl w:val="1"/>
    </w:pPr>
    <w:rPr>
      <w:rFonts w:ascii="Arial Narrow" w:eastAsia="Times New Roman" w:hAnsi="Arial Narrow" w:cs="Arial"/>
      <w:b/>
      <w:bCs/>
      <w:iCs/>
      <w:szCs w:val="26"/>
      <w:lang w:eastAsia="es-ES"/>
    </w:rPr>
  </w:style>
  <w:style w:type="paragraph" w:styleId="Ttulo3">
    <w:name w:val="heading 3"/>
    <w:basedOn w:val="Normal"/>
    <w:next w:val="Normal"/>
    <w:link w:val="Ttulo3Car"/>
    <w:qFormat/>
    <w:rsid w:val="00C16EF4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C16EF4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Encabezado">
    <w:name w:val="header"/>
    <w:basedOn w:val="Normal"/>
    <w:link w:val="EncabezadoCar"/>
    <w:uiPriority w:val="99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E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EF4"/>
    <w:rPr>
      <w:lang w:val="es-SV"/>
    </w:rPr>
  </w:style>
  <w:style w:type="paragraph" w:styleId="Textoindependiente">
    <w:name w:val="Body Text"/>
    <w:basedOn w:val="Normal"/>
    <w:link w:val="TextoindependienteCar"/>
    <w:qFormat/>
    <w:rsid w:val="00C16E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EF4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paragraph" w:styleId="Textoindependiente2">
    <w:name w:val="Body Text 2"/>
    <w:basedOn w:val="Normal"/>
    <w:link w:val="Textoindependiente2Car"/>
    <w:rsid w:val="00C16E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C16EF4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8A61E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EF4"/>
    <w:rPr>
      <w:rFonts w:ascii="Tahoma" w:hAnsi="Tahoma" w:cs="Tahoma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rsid w:val="00C16EF4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C16E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6EF4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16EF4"/>
  </w:style>
  <w:style w:type="paragraph" w:styleId="Sinespaciado">
    <w:name w:val="No Spacing"/>
    <w:uiPriority w:val="1"/>
    <w:qFormat/>
    <w:rsid w:val="00C16EF4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character" w:customStyle="1" w:styleId="Estilo1">
    <w:name w:val="Estilo1"/>
    <w:basedOn w:val="Fuentedeprrafopredeter"/>
    <w:uiPriority w:val="1"/>
    <w:rsid w:val="00C16EF4"/>
    <w:rPr>
      <w:rFonts w:ascii="Arial Narrow" w:hAnsi="Arial Narrow"/>
      <w:b/>
      <w:sz w:val="20"/>
    </w:rPr>
  </w:style>
  <w:style w:type="paragraph" w:customStyle="1" w:styleId="Default">
    <w:name w:val="Default"/>
    <w:rsid w:val="00D34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571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5712"/>
    <w:rPr>
      <w:sz w:val="16"/>
      <w:szCs w:val="16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5D9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5D9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table" w:customStyle="1" w:styleId="Tablaconcuadrcula1">
    <w:name w:val="Tabla con cuadrícula1"/>
    <w:basedOn w:val="Tablanormal"/>
    <w:uiPriority w:val="59"/>
    <w:rsid w:val="00C2787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17C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317CB"/>
    <w:pPr>
      <w:spacing w:after="100"/>
      <w:ind w:left="220"/>
    </w:pPr>
    <w:rPr>
      <w:rFonts w:eastAsiaTheme="minorEastAsia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317CB"/>
    <w:pPr>
      <w:numPr>
        <w:numId w:val="1"/>
      </w:numPr>
      <w:tabs>
        <w:tab w:val="right" w:leader="dot" w:pos="8830"/>
      </w:tabs>
      <w:spacing w:after="100"/>
    </w:pPr>
    <w:rPr>
      <w:rFonts w:eastAsiaTheme="minorEastAsia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317CB"/>
    <w:pPr>
      <w:spacing w:after="100"/>
      <w:ind w:left="440"/>
    </w:pPr>
    <w:rPr>
      <w:rFonts w:eastAsiaTheme="minorEastAsia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317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3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99550F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9550F"/>
    <w:rPr>
      <w:rFonts w:ascii="Calibri" w:hAnsi="Calibri"/>
      <w:szCs w:val="21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9550F"/>
    <w:pPr>
      <w:spacing w:after="0" w:line="240" w:lineRule="auto"/>
    </w:pPr>
    <w:rPr>
      <w:rFonts w:ascii="Calibri" w:hAnsi="Calibri"/>
      <w:szCs w:val="21"/>
    </w:rPr>
  </w:style>
  <w:style w:type="character" w:styleId="MquinadeescribirHTML">
    <w:name w:val="HTML Typewriter"/>
    <w:basedOn w:val="Fuentedeprrafopredeter"/>
    <w:uiPriority w:val="99"/>
    <w:semiHidden/>
    <w:unhideWhenUsed/>
    <w:rsid w:val="0099550F"/>
    <w:rPr>
      <w:rFonts w:ascii="Courier New" w:eastAsiaTheme="minorHAnsi" w:hAnsi="Courier New" w:cs="Courier New" w:hint="default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B2C10"/>
    <w:pPr>
      <w:spacing w:after="100"/>
      <w:ind w:left="660"/>
    </w:pPr>
    <w:rPr>
      <w:rFonts w:eastAsiaTheme="minorEastAsia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5B2C10"/>
    <w:pPr>
      <w:spacing w:after="100"/>
      <w:ind w:left="880"/>
    </w:pPr>
    <w:rPr>
      <w:rFonts w:eastAsiaTheme="minorEastAsia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5B2C10"/>
    <w:pPr>
      <w:spacing w:after="100"/>
      <w:ind w:left="1100"/>
    </w:pPr>
    <w:rPr>
      <w:rFonts w:eastAsiaTheme="minorEastAsia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5B2C10"/>
    <w:pPr>
      <w:spacing w:after="100"/>
      <w:ind w:left="1320"/>
    </w:pPr>
    <w:rPr>
      <w:rFonts w:eastAsiaTheme="minorEastAsia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5B2C10"/>
    <w:pPr>
      <w:spacing w:after="100"/>
      <w:ind w:left="1540"/>
    </w:pPr>
    <w:rPr>
      <w:rFonts w:eastAsiaTheme="minorEastAsia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5B2C10"/>
    <w:pPr>
      <w:spacing w:after="100"/>
      <w:ind w:left="1760"/>
    </w:pPr>
    <w:rPr>
      <w:rFonts w:eastAsiaTheme="minorEastAsia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4F29D7"/>
    <w:rPr>
      <w:color w:val="800080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41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4137"/>
    <w:rPr>
      <w:sz w:val="16"/>
      <w:szCs w:val="16"/>
      <w:lang w:val="es-SV"/>
    </w:rPr>
  </w:style>
  <w:style w:type="character" w:customStyle="1" w:styleId="Ttulo2Car">
    <w:name w:val="Título 2 Car"/>
    <w:basedOn w:val="Fuentedeprrafopredeter"/>
    <w:link w:val="Ttulo2"/>
    <w:rsid w:val="00134137"/>
    <w:rPr>
      <w:rFonts w:ascii="Arial Narrow" w:eastAsia="Times New Roman" w:hAnsi="Arial Narrow" w:cs="Arial"/>
      <w:b/>
      <w:bCs/>
      <w:iCs/>
      <w:szCs w:val="26"/>
      <w:lang w:val="es-SV" w:eastAsia="es-ES"/>
    </w:rPr>
  </w:style>
  <w:style w:type="paragraph" w:styleId="Lista2">
    <w:name w:val="List 2"/>
    <w:basedOn w:val="Normal"/>
    <w:uiPriority w:val="99"/>
    <w:unhideWhenUsed/>
    <w:rsid w:val="00134137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unhideWhenUsed/>
    <w:rsid w:val="00134137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rsid w:val="00134137"/>
    <w:pPr>
      <w:ind w:firstLine="360"/>
      <w:jc w:val="left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341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134137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B212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B2125"/>
    <w:rPr>
      <w:lang w:val="es-SV"/>
    </w:rPr>
  </w:style>
  <w:style w:type="paragraph" w:styleId="Revisin">
    <w:name w:val="Revision"/>
    <w:hidden/>
    <w:uiPriority w:val="99"/>
    <w:semiHidden/>
    <w:rsid w:val="00B6274F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D3B18ACB94346A00B415865940FF8" ma:contentTypeVersion="4" ma:contentTypeDescription="Crear nuevo documento." ma:contentTypeScope="" ma:versionID="5bef0ff0271dc8ea9f9f34541398f665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TAK2XWSQXAVX-1676556059-4744</_dlc_DocId>
    <_dlc_DocIdUrl xmlns="925361b9-3a0c-4c35-ae0e-5f5ef97db517">
      <Url>http://sis/dn/_layouts/15/DocIdRedir.aspx?ID=TAK2XWSQXAVX-1676556059-4744</Url>
      <Description>TAK2XWSQXAVX-1676556059-4744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1F04C-5245-45A6-9824-CC7E5ED048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C3D2C0-4E14-462F-950F-F476CC0E6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0CB5F-7780-4879-8411-AC1DA6277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34D07-3CE7-4F9D-8F30-B2CBAF1272F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0287c0b5-b5c5-4019-839b-c1f429e15169"/>
    <ds:schemaRef ds:uri="http://schemas.microsoft.com/office/infopath/2007/PartnerControls"/>
    <ds:schemaRef ds:uri="925361b9-3a0c-4c35-ae0e-5f5ef97db51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88CDD6-C0B7-4D25-A194-4793A58D2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1662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DNGABRIELA</dc:creator>
  <cp:lastModifiedBy>Evelyn Guadalupe Auxiliadora Meléndez Gómez</cp:lastModifiedBy>
  <cp:revision>32</cp:revision>
  <cp:lastPrinted>2022-06-13T14:44:00Z</cp:lastPrinted>
  <dcterms:created xsi:type="dcterms:W3CDTF">2022-05-25T22:51:00Z</dcterms:created>
  <dcterms:modified xsi:type="dcterms:W3CDTF">2022-06-13T14:44:00Z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0x010100DB8D3B18ACB94346A00B415865940FF8</vt:lpwstr>
  </property>
  <property fmtid="{D5CDD505-2E9C-101B-9397-08002B2CF9AE}" pid="3" name="_dlc_DocIdItemGuid">
    <vt:lpwstr>d750c777-9f2c-49b1-ba45-7d503ba5285c</vt:lpwstr>
  </property>
</Properties>
</file>