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0" w:type="dxa"/>
        <w:tblCellMar>
          <w:left w:w="0" w:type="dxa"/>
          <w:right w:w="0" w:type="dxa"/>
        </w:tblCellMar>
        <w:tblLook w:val="04A0" w:firstRow="1" w:lastRow="0" w:firstColumn="1" w:lastColumn="0" w:noHBand="0" w:noVBand="1"/>
      </w:tblPr>
      <w:tblGrid>
        <w:gridCol w:w="2835"/>
        <w:gridCol w:w="1110"/>
        <w:gridCol w:w="1193"/>
        <w:gridCol w:w="1193"/>
        <w:gridCol w:w="1217"/>
        <w:gridCol w:w="1505"/>
        <w:gridCol w:w="1193"/>
      </w:tblGrid>
      <w:tr w:rsidR="007C7D3D" w:rsidTr="007C7D3D">
        <w:trPr>
          <w:trHeight w:val="375"/>
        </w:trPr>
        <w:tc>
          <w:tcPr>
            <w:tcW w:w="9610" w:type="dxa"/>
            <w:gridSpan w:val="7"/>
            <w:noWrap/>
            <w:tcMar>
              <w:top w:w="0" w:type="dxa"/>
              <w:left w:w="70" w:type="dxa"/>
              <w:bottom w:w="0" w:type="dxa"/>
              <w:right w:w="70" w:type="dxa"/>
            </w:tcMar>
            <w:vAlign w:val="bottom"/>
            <w:hideMark/>
          </w:tcPr>
          <w:p w:rsidR="007C7D3D" w:rsidRDefault="007C7D3D">
            <w:pPr>
              <w:jc w:val="center"/>
              <w:rPr>
                <w:b/>
                <w:bCs/>
                <w:color w:val="000000"/>
                <w:sz w:val="28"/>
                <w:szCs w:val="28"/>
              </w:rPr>
            </w:pPr>
            <w:r>
              <w:rPr>
                <w:b/>
                <w:bCs/>
                <w:color w:val="000000"/>
                <w:sz w:val="28"/>
                <w:szCs w:val="28"/>
              </w:rPr>
              <w:t>PENSIONES IGUALES Y MENORES A LA PENSIÓN MINIMA</w:t>
            </w:r>
          </w:p>
        </w:tc>
      </w:tr>
      <w:tr w:rsidR="007C7D3D" w:rsidTr="007C7D3D">
        <w:trPr>
          <w:trHeight w:val="375"/>
        </w:trPr>
        <w:tc>
          <w:tcPr>
            <w:tcW w:w="9610" w:type="dxa"/>
            <w:gridSpan w:val="7"/>
            <w:noWrap/>
            <w:tcMar>
              <w:top w:w="0" w:type="dxa"/>
              <w:left w:w="70" w:type="dxa"/>
              <w:bottom w:w="0" w:type="dxa"/>
              <w:right w:w="70" w:type="dxa"/>
            </w:tcMar>
            <w:vAlign w:val="bottom"/>
            <w:hideMark/>
          </w:tcPr>
          <w:p w:rsidR="007C7D3D" w:rsidRDefault="007C7D3D">
            <w:pPr>
              <w:jc w:val="center"/>
              <w:rPr>
                <w:b/>
                <w:bCs/>
                <w:color w:val="000000"/>
                <w:sz w:val="28"/>
                <w:szCs w:val="28"/>
              </w:rPr>
            </w:pPr>
            <w:r>
              <w:rPr>
                <w:b/>
                <w:bCs/>
                <w:color w:val="000000"/>
                <w:sz w:val="28"/>
                <w:szCs w:val="28"/>
              </w:rPr>
              <w:t>SISTEMA DE  PENSIONES PUBLICO</w:t>
            </w:r>
          </w:p>
        </w:tc>
      </w:tr>
      <w:tr w:rsidR="007C7D3D" w:rsidTr="007C7D3D">
        <w:trPr>
          <w:trHeight w:val="300"/>
        </w:trPr>
        <w:tc>
          <w:tcPr>
            <w:tcW w:w="9610" w:type="dxa"/>
            <w:gridSpan w:val="7"/>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Noviembre de 2020</w:t>
            </w:r>
          </w:p>
        </w:tc>
      </w:tr>
      <w:tr w:rsidR="007C7D3D" w:rsidTr="007C7D3D">
        <w:trPr>
          <w:trHeight w:val="300"/>
        </w:trPr>
        <w:tc>
          <w:tcPr>
            <w:tcW w:w="2835" w:type="dxa"/>
            <w:noWrap/>
            <w:tcMar>
              <w:top w:w="0" w:type="dxa"/>
              <w:left w:w="70" w:type="dxa"/>
              <w:bottom w:w="0" w:type="dxa"/>
              <w:right w:w="70" w:type="dxa"/>
            </w:tcMar>
            <w:vAlign w:val="bottom"/>
            <w:hideMark/>
          </w:tcPr>
          <w:p w:rsidR="007C7D3D" w:rsidRDefault="007C7D3D">
            <w:pPr>
              <w:rPr>
                <w:b/>
                <w:bCs/>
                <w:color w:val="000000"/>
              </w:rPr>
            </w:pPr>
          </w:p>
        </w:tc>
        <w:tc>
          <w:tcPr>
            <w:tcW w:w="47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INVALIDEZ</w:t>
            </w:r>
          </w:p>
        </w:tc>
        <w:tc>
          <w:tcPr>
            <w:tcW w:w="11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VEJEZ</w:t>
            </w:r>
          </w:p>
        </w:tc>
        <w:tc>
          <w:tcPr>
            <w:tcW w:w="11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VIUDEZ</w:t>
            </w:r>
          </w:p>
        </w:tc>
        <w:tc>
          <w:tcPr>
            <w:tcW w:w="12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ORFANDAD</w:t>
            </w:r>
          </w:p>
        </w:tc>
        <w:tc>
          <w:tcPr>
            <w:tcW w:w="15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ASCENDENCIA</w:t>
            </w:r>
          </w:p>
        </w:tc>
        <w:tc>
          <w:tcPr>
            <w:tcW w:w="11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TOTALES</w:t>
            </w:r>
          </w:p>
        </w:tc>
      </w:tr>
      <w:tr w:rsidR="007C7D3D" w:rsidTr="007C7D3D">
        <w:trPr>
          <w:trHeight w:val="300"/>
        </w:trPr>
        <w:tc>
          <w:tcPr>
            <w:tcW w:w="283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rPr>
                <w:color w:val="000000"/>
              </w:rPr>
            </w:pPr>
            <w:r>
              <w:rPr>
                <w:color w:val="000000"/>
              </w:rPr>
              <w:t>Menores a US$ 207.60</w:t>
            </w:r>
            <w:r>
              <w:rPr>
                <w:color w:val="0F243E"/>
              </w:rPr>
              <w:t xml:space="preserve"> </w:t>
            </w:r>
            <w:r>
              <w:rPr>
                <w:color w:val="0F243E"/>
                <w:sz w:val="24"/>
                <w:szCs w:val="24"/>
              </w:rPr>
              <w:t> </w:t>
            </w:r>
            <w:r>
              <w:rPr>
                <w:sz w:val="20"/>
                <w:szCs w:val="20"/>
              </w:rPr>
              <w:t>/1</w:t>
            </w:r>
          </w:p>
        </w:tc>
        <w:tc>
          <w:tcPr>
            <w:tcW w:w="4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43</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3,914</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7,014</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1,334</w:t>
            </w:r>
          </w:p>
        </w:tc>
        <w:tc>
          <w:tcPr>
            <w:tcW w:w="15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115</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12,420</w:t>
            </w:r>
          </w:p>
        </w:tc>
      </w:tr>
      <w:tr w:rsidR="007C7D3D" w:rsidTr="007C7D3D">
        <w:trPr>
          <w:trHeight w:val="300"/>
        </w:trPr>
        <w:tc>
          <w:tcPr>
            <w:tcW w:w="28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rPr>
                <w:color w:val="000000"/>
              </w:rPr>
            </w:pPr>
            <w:r>
              <w:rPr>
                <w:color w:val="000000"/>
              </w:rPr>
              <w:t>Iguales a US$207.6</w:t>
            </w:r>
          </w:p>
        </w:tc>
        <w:tc>
          <w:tcPr>
            <w:tcW w:w="4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382</w:t>
            </w:r>
            <w:bookmarkStart w:id="0" w:name="_GoBack"/>
            <w:bookmarkEnd w:id="0"/>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16,080</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17,868</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648</w:t>
            </w:r>
          </w:p>
        </w:tc>
        <w:tc>
          <w:tcPr>
            <w:tcW w:w="15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179</w:t>
            </w:r>
          </w:p>
        </w:tc>
        <w:tc>
          <w:tcPr>
            <w:tcW w:w="11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41010D">
            <w:pPr>
              <w:jc w:val="center"/>
              <w:rPr>
                <w:color w:val="000000"/>
              </w:rPr>
            </w:pPr>
            <w:r>
              <w:rPr>
                <w:color w:val="000000"/>
              </w:rPr>
              <w:t>35,157</w:t>
            </w:r>
          </w:p>
        </w:tc>
      </w:tr>
      <w:tr w:rsidR="007C7D3D" w:rsidTr="007C7D3D">
        <w:trPr>
          <w:trHeight w:val="300"/>
        </w:trPr>
        <w:tc>
          <w:tcPr>
            <w:tcW w:w="9610" w:type="dxa"/>
            <w:gridSpan w:val="7"/>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r>
              <w:t xml:space="preserve">1/ Respecto a las pensiones de sobrevivencia no todas tiene derecho a la garantía de la pensión mínima, ya que en los casos donde existen otros ingresos el ajuste no es procedente,  por otra parte, otras pueden estar ajustadas a la pensión mínima, sin embargo, dado que en algunos casos existen más de un beneficiario por causante, el monto de la pensión mínima se </w:t>
            </w:r>
            <w:r>
              <w:rPr>
                <w:color w:val="0F243E"/>
              </w:rPr>
              <w:t>distribuye</w:t>
            </w:r>
            <w:r>
              <w:t xml:space="preserve"> entre el número de beneficiarios.</w:t>
            </w:r>
          </w:p>
        </w:tc>
      </w:tr>
    </w:tbl>
    <w:p w:rsidR="007C7D3D" w:rsidRDefault="007C7D3D" w:rsidP="007C7D3D">
      <w:pPr>
        <w:rPr>
          <w:color w:val="1F497D"/>
        </w:rPr>
      </w:pPr>
    </w:p>
    <w:p w:rsidR="007C7D3D" w:rsidRDefault="007C7D3D" w:rsidP="007C7D3D">
      <w:pPr>
        <w:rPr>
          <w:color w:val="1F497D"/>
        </w:rPr>
      </w:pPr>
    </w:p>
    <w:p w:rsidR="007C7D3D" w:rsidRDefault="007C7D3D" w:rsidP="007C7D3D">
      <w:pPr>
        <w:rPr>
          <w:color w:val="1F497D"/>
        </w:rPr>
      </w:pPr>
    </w:p>
    <w:tbl>
      <w:tblPr>
        <w:tblW w:w="9564" w:type="dxa"/>
        <w:tblCellMar>
          <w:left w:w="0" w:type="dxa"/>
          <w:right w:w="0" w:type="dxa"/>
        </w:tblCellMar>
        <w:tblLook w:val="04A0" w:firstRow="1" w:lastRow="0" w:firstColumn="1" w:lastColumn="0" w:noHBand="0" w:noVBand="1"/>
      </w:tblPr>
      <w:tblGrid>
        <w:gridCol w:w="2835"/>
        <w:gridCol w:w="1110"/>
        <w:gridCol w:w="1198"/>
        <w:gridCol w:w="1190"/>
        <w:gridCol w:w="1217"/>
        <w:gridCol w:w="1505"/>
        <w:gridCol w:w="1190"/>
      </w:tblGrid>
      <w:tr w:rsidR="007C7D3D" w:rsidTr="007C7D3D">
        <w:trPr>
          <w:trHeight w:val="375"/>
        </w:trPr>
        <w:tc>
          <w:tcPr>
            <w:tcW w:w="9564" w:type="dxa"/>
            <w:gridSpan w:val="7"/>
            <w:noWrap/>
            <w:tcMar>
              <w:top w:w="0" w:type="dxa"/>
              <w:left w:w="70" w:type="dxa"/>
              <w:bottom w:w="0" w:type="dxa"/>
              <w:right w:w="70" w:type="dxa"/>
            </w:tcMar>
            <w:vAlign w:val="bottom"/>
            <w:hideMark/>
          </w:tcPr>
          <w:p w:rsidR="007C7D3D" w:rsidRDefault="007C7D3D">
            <w:pPr>
              <w:jc w:val="center"/>
              <w:rPr>
                <w:b/>
                <w:bCs/>
                <w:color w:val="000000"/>
                <w:sz w:val="28"/>
                <w:szCs w:val="28"/>
              </w:rPr>
            </w:pPr>
            <w:r>
              <w:rPr>
                <w:b/>
                <w:bCs/>
                <w:color w:val="000000"/>
                <w:sz w:val="28"/>
                <w:szCs w:val="28"/>
              </w:rPr>
              <w:t>PENSIONES IGUALES Y MENORES A LA PENSIÓN MINIMA</w:t>
            </w:r>
          </w:p>
        </w:tc>
      </w:tr>
      <w:tr w:rsidR="007C7D3D" w:rsidTr="007C7D3D">
        <w:trPr>
          <w:trHeight w:val="375"/>
        </w:trPr>
        <w:tc>
          <w:tcPr>
            <w:tcW w:w="9564" w:type="dxa"/>
            <w:gridSpan w:val="7"/>
            <w:noWrap/>
            <w:tcMar>
              <w:top w:w="0" w:type="dxa"/>
              <w:left w:w="70" w:type="dxa"/>
              <w:bottom w:w="0" w:type="dxa"/>
              <w:right w:w="70" w:type="dxa"/>
            </w:tcMar>
            <w:vAlign w:val="bottom"/>
            <w:hideMark/>
          </w:tcPr>
          <w:p w:rsidR="007C7D3D" w:rsidRDefault="007C7D3D">
            <w:pPr>
              <w:jc w:val="center"/>
              <w:rPr>
                <w:b/>
                <w:bCs/>
                <w:color w:val="000000"/>
                <w:sz w:val="28"/>
                <w:szCs w:val="28"/>
              </w:rPr>
            </w:pPr>
            <w:r>
              <w:rPr>
                <w:b/>
                <w:bCs/>
                <w:color w:val="000000"/>
                <w:sz w:val="28"/>
                <w:szCs w:val="28"/>
              </w:rPr>
              <w:t>SISTEMA DE  AHORRO PARA PENSIONES</w:t>
            </w:r>
          </w:p>
        </w:tc>
      </w:tr>
      <w:tr w:rsidR="007C7D3D" w:rsidTr="007C7D3D">
        <w:trPr>
          <w:trHeight w:val="300"/>
        </w:trPr>
        <w:tc>
          <w:tcPr>
            <w:tcW w:w="9564" w:type="dxa"/>
            <w:gridSpan w:val="7"/>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Noviembre de 2020</w:t>
            </w:r>
          </w:p>
        </w:tc>
      </w:tr>
      <w:tr w:rsidR="007C7D3D" w:rsidTr="007C7D3D">
        <w:trPr>
          <w:trHeight w:val="300"/>
        </w:trPr>
        <w:tc>
          <w:tcPr>
            <w:tcW w:w="2835" w:type="dxa"/>
            <w:noWrap/>
            <w:tcMar>
              <w:top w:w="0" w:type="dxa"/>
              <w:left w:w="70" w:type="dxa"/>
              <w:bottom w:w="0" w:type="dxa"/>
              <w:right w:w="70" w:type="dxa"/>
            </w:tcMar>
            <w:vAlign w:val="bottom"/>
            <w:hideMark/>
          </w:tcPr>
          <w:p w:rsidR="007C7D3D" w:rsidRDefault="007C7D3D">
            <w:pPr>
              <w:rPr>
                <w:b/>
                <w:bCs/>
                <w:color w:val="000000"/>
              </w:rPr>
            </w:pPr>
          </w:p>
        </w:tc>
        <w:tc>
          <w:tcPr>
            <w:tcW w:w="42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INVALIDEZ</w:t>
            </w:r>
          </w:p>
        </w:tc>
        <w:tc>
          <w:tcPr>
            <w:tcW w:w="11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VEJEZ</w:t>
            </w:r>
          </w:p>
        </w:tc>
        <w:tc>
          <w:tcPr>
            <w:tcW w:w="11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VIUDEZ</w:t>
            </w:r>
          </w:p>
        </w:tc>
        <w:tc>
          <w:tcPr>
            <w:tcW w:w="12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ORFANDAD</w:t>
            </w:r>
          </w:p>
        </w:tc>
        <w:tc>
          <w:tcPr>
            <w:tcW w:w="15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ASCENDENCIA</w:t>
            </w:r>
          </w:p>
        </w:tc>
        <w:tc>
          <w:tcPr>
            <w:tcW w:w="11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b/>
                <w:bCs/>
                <w:color w:val="000000"/>
              </w:rPr>
            </w:pPr>
            <w:r>
              <w:rPr>
                <w:b/>
                <w:bCs/>
                <w:color w:val="000000"/>
              </w:rPr>
              <w:t>TOTALES</w:t>
            </w:r>
          </w:p>
        </w:tc>
      </w:tr>
      <w:tr w:rsidR="007C7D3D" w:rsidTr="007C7D3D">
        <w:trPr>
          <w:trHeight w:val="300"/>
        </w:trPr>
        <w:tc>
          <w:tcPr>
            <w:tcW w:w="283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rPr>
                <w:color w:val="000000"/>
              </w:rPr>
            </w:pPr>
            <w:r>
              <w:rPr>
                <w:color w:val="000000"/>
              </w:rPr>
              <w:t>Menores a US$ 207.60</w:t>
            </w:r>
            <w:r>
              <w:rPr>
                <w:color w:val="0F243E"/>
              </w:rPr>
              <w:t xml:space="preserve">  </w:t>
            </w:r>
            <w:r>
              <w:rPr>
                <w:sz w:val="20"/>
                <w:szCs w:val="20"/>
              </w:rPr>
              <w:t>/1</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860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29</w:t>
            </w:r>
          </w:p>
        </w:tc>
        <w:tc>
          <w:tcPr>
            <w:tcW w:w="11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13,097</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10,077</w:t>
            </w:r>
          </w:p>
        </w:tc>
        <w:tc>
          <w:tcPr>
            <w:tcW w:w="15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7,796</w:t>
            </w:r>
          </w:p>
        </w:tc>
        <w:tc>
          <w:tcPr>
            <w:tcW w:w="11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31,859</w:t>
            </w:r>
          </w:p>
        </w:tc>
      </w:tr>
      <w:tr w:rsidR="007C7D3D" w:rsidTr="007C7D3D">
        <w:trPr>
          <w:trHeight w:val="300"/>
        </w:trPr>
        <w:tc>
          <w:tcPr>
            <w:tcW w:w="28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rPr>
                <w:color w:val="000000"/>
              </w:rPr>
            </w:pPr>
            <w:r>
              <w:rPr>
                <w:color w:val="000000"/>
              </w:rPr>
              <w:t>Iguales a US$207.6</w:t>
            </w:r>
          </w:p>
        </w:tc>
        <w:tc>
          <w:tcPr>
            <w:tcW w:w="4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862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11,462</w:t>
            </w:r>
          </w:p>
        </w:tc>
        <w:tc>
          <w:tcPr>
            <w:tcW w:w="11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1</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w:t>
            </w:r>
          </w:p>
        </w:tc>
        <w:tc>
          <w:tcPr>
            <w:tcW w:w="15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w:t>
            </w:r>
          </w:p>
        </w:tc>
        <w:tc>
          <w:tcPr>
            <w:tcW w:w="11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jc w:val="center"/>
              <w:rPr>
                <w:color w:val="000000"/>
              </w:rPr>
            </w:pPr>
            <w:r>
              <w:rPr>
                <w:color w:val="000000"/>
              </w:rPr>
              <w:t>12,325</w:t>
            </w:r>
          </w:p>
        </w:tc>
      </w:tr>
      <w:tr w:rsidR="007C7D3D" w:rsidTr="007C7D3D">
        <w:trPr>
          <w:trHeight w:val="300"/>
        </w:trPr>
        <w:tc>
          <w:tcPr>
            <w:tcW w:w="9564" w:type="dxa"/>
            <w:gridSpan w:val="7"/>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7D3D" w:rsidRDefault="007C7D3D">
            <w:pPr>
              <w:rPr>
                <w:color w:val="000000"/>
              </w:rPr>
            </w:pPr>
            <w:r>
              <w:rPr>
                <w:color w:val="000000"/>
              </w:rPr>
              <w:t>1/En las pensiones de sobrevivencia se incluyen pensionados con derecho a la pensión mínima, sin embargo, dado que el inciso 4° del artículo 145 de la Ley del SAP establece que estas se calcularán con los porcentajes establecidos en el artículo 121 de la referida Ley, por tanto, el monto es inferior a los US$207.60, asimismo, existe otros pensionados que no tienen derecho a la garantía de la pensión mínima, también, en algunos casos existen más de un beneficiario por causante, el monto de la pensión mínima se diluye entre el número de beneficiarios.</w:t>
            </w:r>
          </w:p>
        </w:tc>
      </w:tr>
    </w:tbl>
    <w:p w:rsidR="003D6ADB" w:rsidRDefault="0041010D"/>
    <w:sectPr w:rsidR="003D6A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3D"/>
    <w:rsid w:val="0041010D"/>
    <w:rsid w:val="00443A68"/>
    <w:rsid w:val="007C7D3D"/>
    <w:rsid w:val="00C414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918F"/>
  <w15:chartTrackingRefBased/>
  <w15:docId w15:val="{D96D2066-A50E-4D7E-AE56-BF59974C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3D"/>
    <w:pPr>
      <w:spacing w:after="0" w:line="240" w:lineRule="auto"/>
    </w:pPr>
    <w:rPr>
      <w:rFonts w:ascii="Calibri" w:hAnsi="Calibri" w:cs="Calibri"/>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Marcel Menjivar Navarrete</dc:creator>
  <cp:keywords/>
  <dc:description/>
  <cp:lastModifiedBy>Cristian Marcel Menjivar Navarrete</cp:lastModifiedBy>
  <cp:revision>2</cp:revision>
  <dcterms:created xsi:type="dcterms:W3CDTF">2021-01-20T14:35:00Z</dcterms:created>
  <dcterms:modified xsi:type="dcterms:W3CDTF">2021-01-21T22:43:00Z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66337c9e-030f-421d-8852-df372a5da61e</vt:lpwstr>
  </property>
</Properties>
</file>