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1C713" w14:textId="10AC9B2F" w:rsidR="00A84541" w:rsidRPr="004161AA" w:rsidRDefault="006355FE" w:rsidP="00A84541">
      <w:pPr>
        <w:widowControl w:val="0"/>
        <w:ind w:left="397" w:hanging="397"/>
        <w:rPr>
          <w:rFonts w:ascii="Arial Narrow" w:hAnsi="Arial Narrow" w:cs="Arial"/>
          <w:b/>
          <w:caps/>
        </w:rPr>
      </w:pPr>
      <w:bookmarkStart w:id="0" w:name="_Hlk35020768"/>
      <w:bookmarkStart w:id="1" w:name="_GoBack"/>
      <w:r>
        <w:rPr>
          <w:noProof/>
          <w:lang w:eastAsia="es-SV"/>
        </w:rPr>
        <w:drawing>
          <wp:anchor distT="0" distB="0" distL="114300" distR="114300" simplePos="0" relativeHeight="251658240" behindDoc="1" locked="0" layoutInCell="1" allowOverlap="1" wp14:anchorId="5EA3FCAC" wp14:editId="0F46CAF2">
            <wp:simplePos x="0" y="0"/>
            <wp:positionH relativeFrom="column">
              <wp:posOffset>-908685</wp:posOffset>
            </wp:positionH>
            <wp:positionV relativeFrom="paragraph">
              <wp:posOffset>136525</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84541" w:rsidRPr="004161AA">
        <w:rPr>
          <w:rFonts w:ascii="Arial Narrow" w:hAnsi="Arial Narrow" w:cs="Arial"/>
          <w:b/>
          <w:caps/>
        </w:rPr>
        <w:t>El Comité de Normas del Banco Central de Reserva de el salvador,</w:t>
      </w:r>
    </w:p>
    <w:p w14:paraId="219F0144" w14:textId="77777777" w:rsidR="00A84541" w:rsidRPr="00D62B63" w:rsidRDefault="00A84541" w:rsidP="00A84541">
      <w:pPr>
        <w:widowControl w:val="0"/>
        <w:rPr>
          <w:rFonts w:ascii="Arial Narrow" w:hAnsi="Arial Narrow" w:cs="Arial"/>
          <w:sz w:val="20"/>
          <w:szCs w:val="20"/>
        </w:rPr>
      </w:pPr>
    </w:p>
    <w:p w14:paraId="6C004D9D" w14:textId="77777777" w:rsidR="00A84541" w:rsidRPr="004161AA" w:rsidRDefault="00A84541" w:rsidP="00A84541">
      <w:pPr>
        <w:widowControl w:val="0"/>
        <w:rPr>
          <w:rFonts w:ascii="Arial Narrow" w:hAnsi="Arial Narrow" w:cs="Arial"/>
          <w:b/>
        </w:rPr>
      </w:pPr>
      <w:r w:rsidRPr="004161AA">
        <w:rPr>
          <w:rFonts w:ascii="Arial Narrow" w:hAnsi="Arial Narrow" w:cs="Arial"/>
          <w:b/>
        </w:rPr>
        <w:t xml:space="preserve">CONSIDERANDO: </w:t>
      </w:r>
    </w:p>
    <w:p w14:paraId="1A9BB1D8" w14:textId="77777777" w:rsidR="007B1F3A" w:rsidRPr="00D62B63" w:rsidRDefault="007B1F3A" w:rsidP="00A84541">
      <w:pPr>
        <w:widowControl w:val="0"/>
        <w:rPr>
          <w:rFonts w:ascii="Arial Narrow" w:hAnsi="Arial Narrow"/>
          <w:sz w:val="20"/>
          <w:szCs w:val="20"/>
        </w:rPr>
      </w:pPr>
    </w:p>
    <w:p w14:paraId="1724F018" w14:textId="3F4B7CD2" w:rsidR="008D0DC7" w:rsidRPr="004161AA" w:rsidRDefault="008D0DC7" w:rsidP="008D0DC7">
      <w:pPr>
        <w:pStyle w:val="Prrafodelista"/>
        <w:widowControl w:val="0"/>
        <w:numPr>
          <w:ilvl w:val="0"/>
          <w:numId w:val="31"/>
        </w:numPr>
        <w:ind w:left="425" w:hanging="425"/>
        <w:rPr>
          <w:rFonts w:ascii="Arial Narrow" w:hAnsi="Arial Narrow"/>
        </w:rPr>
      </w:pPr>
      <w:r w:rsidRPr="004161AA">
        <w:rPr>
          <w:rFonts w:ascii="Arial Narrow" w:hAnsi="Arial Narrow"/>
        </w:rPr>
        <w:t xml:space="preserve">Que el artículo 2 de la Ley de Supervisión y Regulación del </w:t>
      </w:r>
      <w:r w:rsidR="00D34D19" w:rsidRPr="004161AA">
        <w:rPr>
          <w:rFonts w:ascii="Arial Narrow" w:hAnsi="Arial Narrow"/>
        </w:rPr>
        <w:t>Sistema</w:t>
      </w:r>
      <w:r w:rsidRPr="004161AA">
        <w:rPr>
          <w:rFonts w:ascii="Arial Narrow" w:hAnsi="Arial Narrow"/>
        </w:rPr>
        <w:t xml:space="preserve"> Financiero establece que el siste</w:t>
      </w:r>
      <w:r w:rsidR="009117DB" w:rsidRPr="004161AA">
        <w:rPr>
          <w:rFonts w:ascii="Arial Narrow" w:hAnsi="Arial Narrow"/>
        </w:rPr>
        <w:t>m</w:t>
      </w:r>
      <w:r w:rsidRPr="004161AA">
        <w:rPr>
          <w:rFonts w:ascii="Arial Narrow" w:hAnsi="Arial Narrow"/>
        </w:rPr>
        <w:t>a de supervisión y regulación financiera tien</w:t>
      </w:r>
      <w:r w:rsidR="009B1391" w:rsidRPr="004161AA">
        <w:rPr>
          <w:rFonts w:ascii="Arial Narrow" w:hAnsi="Arial Narrow"/>
        </w:rPr>
        <w:t>e</w:t>
      </w:r>
      <w:r w:rsidRPr="004161AA">
        <w:rPr>
          <w:rFonts w:ascii="Arial Narrow" w:hAnsi="Arial Narrow"/>
        </w:rPr>
        <w:t xml:space="preserve"> por objeto preservar la estabilidad del sistema financiero y velar por la eficiencia y transparencia del mismo, así como velar por la seguridad y solidez de los integrantes del sistema financiero de acuerdo a lo que establece esta Ley, otras leyes aplicables, los reglam</w:t>
      </w:r>
      <w:r w:rsidR="00220024" w:rsidRPr="004161AA">
        <w:rPr>
          <w:rFonts w:ascii="Arial Narrow" w:hAnsi="Arial Narrow"/>
        </w:rPr>
        <w:t>e</w:t>
      </w:r>
      <w:r w:rsidRPr="004161AA">
        <w:rPr>
          <w:rFonts w:ascii="Arial Narrow" w:hAnsi="Arial Narrow"/>
        </w:rPr>
        <w:t>ntos y las normas técnicas que al efecto se dicten, todo en concordancia con las mejores prácticas internacionales sobre la materia.</w:t>
      </w:r>
    </w:p>
    <w:p w14:paraId="4E006638" w14:textId="77777777" w:rsidR="00AB0AAF" w:rsidRPr="00D62B63" w:rsidRDefault="00AB0AAF" w:rsidP="00AB0AAF">
      <w:pPr>
        <w:pStyle w:val="Prrafodelista"/>
        <w:widowControl w:val="0"/>
        <w:ind w:left="425"/>
        <w:rPr>
          <w:rFonts w:ascii="Arial Narrow" w:hAnsi="Arial Narrow"/>
          <w:sz w:val="20"/>
          <w:szCs w:val="20"/>
        </w:rPr>
      </w:pPr>
    </w:p>
    <w:p w14:paraId="5200DFBC" w14:textId="1439CC7F" w:rsidR="00E94ACC" w:rsidRPr="004161AA" w:rsidRDefault="00E94ACC" w:rsidP="008D0DC7">
      <w:pPr>
        <w:pStyle w:val="Prrafodelista"/>
        <w:widowControl w:val="0"/>
        <w:numPr>
          <w:ilvl w:val="0"/>
          <w:numId w:val="31"/>
        </w:numPr>
        <w:ind w:left="425" w:hanging="425"/>
        <w:rPr>
          <w:rFonts w:ascii="Arial Narrow" w:hAnsi="Arial Narrow"/>
        </w:rPr>
      </w:pPr>
      <w:r w:rsidRPr="004161AA">
        <w:rPr>
          <w:rFonts w:ascii="Arial Narrow" w:hAnsi="Arial Narrow"/>
        </w:rPr>
        <w:t xml:space="preserve">Que el </w:t>
      </w:r>
      <w:r w:rsidR="00AB0AAF" w:rsidRPr="004161AA">
        <w:rPr>
          <w:rFonts w:ascii="Arial Narrow" w:hAnsi="Arial Narrow"/>
        </w:rPr>
        <w:t>artículo 99, literal a) de la Ley de Supervisión y Regulación del Sistema Financiero establece</w:t>
      </w:r>
      <w:r w:rsidR="008026E1" w:rsidRPr="004161AA">
        <w:rPr>
          <w:rFonts w:ascii="Arial Narrow" w:hAnsi="Arial Narrow"/>
        </w:rPr>
        <w:t xml:space="preserve"> que le corresponde al Comité de Normas del Banco Central de Reserva de El </w:t>
      </w:r>
      <w:r w:rsidR="00C15EF6" w:rsidRPr="004161AA">
        <w:rPr>
          <w:rFonts w:ascii="Arial Narrow" w:hAnsi="Arial Narrow"/>
        </w:rPr>
        <w:t xml:space="preserve">Salvador </w:t>
      </w:r>
      <w:r w:rsidR="00C15EF6" w:rsidRPr="004161AA">
        <w:rPr>
          <w:rFonts w:ascii="Arial Narrow" w:hAnsi="Arial Narrow" w:cs="Arial"/>
          <w:bCs/>
        </w:rPr>
        <w:t xml:space="preserve">La </w:t>
      </w:r>
      <w:r w:rsidR="00C15EF6" w:rsidRPr="004161AA">
        <w:rPr>
          <w:rFonts w:ascii="Arial Narrow" w:hAnsi="Arial Narrow" w:cs="Arial"/>
        </w:rPr>
        <w:t xml:space="preserve">aprobación de normas técnicas, </w:t>
      </w:r>
      <w:r w:rsidR="00C15EF6" w:rsidRPr="004161AA">
        <w:rPr>
          <w:rFonts w:ascii="Arial Narrow" w:hAnsi="Arial Narrow" w:cs="Arial"/>
          <w:bCs/>
        </w:rPr>
        <w:t>de</w:t>
      </w:r>
      <w:r w:rsidR="00C15EF6" w:rsidRPr="004161AA">
        <w:rPr>
          <w:rFonts w:ascii="Arial Narrow" w:hAnsi="Arial Narrow" w:cs="Arial"/>
        </w:rPr>
        <w:t xml:space="preserve"> instructivos y disposiciones que las leyes que regulan a </w:t>
      </w:r>
      <w:r w:rsidR="00C15EF6" w:rsidRPr="004161AA">
        <w:rPr>
          <w:rFonts w:ascii="Arial Narrow" w:hAnsi="Arial Narrow" w:cs="Arial"/>
          <w:bCs/>
        </w:rPr>
        <w:t xml:space="preserve">los supervisados </w:t>
      </w:r>
      <w:r w:rsidR="00C15EF6" w:rsidRPr="004161AA">
        <w:rPr>
          <w:rFonts w:ascii="Arial Narrow" w:hAnsi="Arial Narrow" w:cs="Arial"/>
        </w:rPr>
        <w:t xml:space="preserve">establecen que deben dictarse para facilitar su aplicación, especialmente los </w:t>
      </w:r>
      <w:r w:rsidR="00C15EF6" w:rsidRPr="004161AA">
        <w:rPr>
          <w:rFonts w:ascii="Arial Narrow" w:hAnsi="Arial Narrow" w:cs="Arial"/>
          <w:bCs/>
        </w:rPr>
        <w:t xml:space="preserve">relativos a </w:t>
      </w:r>
      <w:r w:rsidR="00C15EF6" w:rsidRPr="004161AA">
        <w:rPr>
          <w:rFonts w:ascii="Arial Narrow" w:hAnsi="Arial Narrow" w:cs="Arial"/>
        </w:rPr>
        <w:t>requerimientos de solvencia, liquidez, provisiones, reservas, clasificación de activos de riesgo, criterios para establecer la necesidad de consolidación, prácticas de buen gobierno corporativo, transparencia de la información y sobre cualquier otro aspecto inherente a la gestión de riesgos por parte de</w:t>
      </w:r>
      <w:r w:rsidR="00C15EF6" w:rsidRPr="004161AA">
        <w:rPr>
          <w:rFonts w:ascii="Arial Narrow" w:hAnsi="Arial Narrow" w:cs="Arial"/>
          <w:bCs/>
        </w:rPr>
        <w:t xml:space="preserve"> los </w:t>
      </w:r>
      <w:r w:rsidR="00C15EF6" w:rsidRPr="004161AA">
        <w:rPr>
          <w:rFonts w:ascii="Arial Narrow" w:hAnsi="Arial Narrow" w:cs="Arial"/>
        </w:rPr>
        <w:t>supervisad</w:t>
      </w:r>
      <w:r w:rsidR="00C15EF6" w:rsidRPr="004161AA">
        <w:rPr>
          <w:rFonts w:ascii="Arial Narrow" w:hAnsi="Arial Narrow" w:cs="Arial"/>
          <w:bCs/>
        </w:rPr>
        <w:t>o</w:t>
      </w:r>
      <w:r w:rsidR="00C15EF6" w:rsidRPr="004161AA">
        <w:rPr>
          <w:rFonts w:ascii="Arial Narrow" w:hAnsi="Arial Narrow" w:cs="Arial"/>
        </w:rPr>
        <w:t>s.</w:t>
      </w:r>
    </w:p>
    <w:p w14:paraId="32B1917D" w14:textId="77777777" w:rsidR="00FE7AA9" w:rsidRPr="00D62B63" w:rsidRDefault="00FE7AA9" w:rsidP="00FE7AA9">
      <w:pPr>
        <w:pStyle w:val="Prrafodelista"/>
        <w:widowControl w:val="0"/>
        <w:ind w:left="425"/>
        <w:rPr>
          <w:rFonts w:ascii="Arial Narrow" w:hAnsi="Arial Narrow"/>
          <w:sz w:val="20"/>
          <w:szCs w:val="20"/>
        </w:rPr>
      </w:pPr>
    </w:p>
    <w:p w14:paraId="5D1DAED1" w14:textId="7A9DE110" w:rsidR="00A84541" w:rsidRPr="004161AA" w:rsidRDefault="00A84541" w:rsidP="00A84541">
      <w:pPr>
        <w:pStyle w:val="Prrafodelista"/>
        <w:widowControl w:val="0"/>
        <w:numPr>
          <w:ilvl w:val="0"/>
          <w:numId w:val="24"/>
        </w:numPr>
        <w:ind w:left="425" w:hanging="425"/>
        <w:rPr>
          <w:rFonts w:ascii="Arial Narrow" w:hAnsi="Arial Narrow"/>
        </w:rPr>
      </w:pPr>
      <w:r w:rsidRPr="004161AA">
        <w:rPr>
          <w:rFonts w:ascii="Arial Narrow" w:hAnsi="Arial Narrow"/>
        </w:rPr>
        <w:t xml:space="preserve">Que el </w:t>
      </w:r>
      <w:r w:rsidR="00AB0AAF" w:rsidRPr="004161AA">
        <w:rPr>
          <w:rFonts w:ascii="Arial Narrow" w:hAnsi="Arial Narrow"/>
        </w:rPr>
        <w:t>a</w:t>
      </w:r>
      <w:r w:rsidRPr="004161AA">
        <w:rPr>
          <w:rFonts w:ascii="Arial Narrow" w:hAnsi="Arial Narrow"/>
        </w:rPr>
        <w:t xml:space="preserve">rtículo 100 de la Ley de Supervisión y Regulación del Sistema Financiero, </w:t>
      </w:r>
      <w:r w:rsidR="009F0169">
        <w:rPr>
          <w:rFonts w:ascii="Arial Narrow" w:hAnsi="Arial Narrow"/>
        </w:rPr>
        <w:t>establece</w:t>
      </w:r>
      <w:r w:rsidRPr="004161AA">
        <w:rPr>
          <w:rFonts w:ascii="Arial Narrow" w:hAnsi="Arial Narrow"/>
        </w:rPr>
        <w:t xml:space="preserve"> que, en casos excepcionales</w:t>
      </w:r>
      <w:r w:rsidR="004D7DED" w:rsidRPr="004161AA">
        <w:rPr>
          <w:rFonts w:ascii="Arial Narrow" w:hAnsi="Arial Narrow"/>
        </w:rPr>
        <w:t>,</w:t>
      </w:r>
      <w:r w:rsidRPr="004161AA">
        <w:rPr>
          <w:rFonts w:ascii="Arial Narrow" w:hAnsi="Arial Narrow"/>
        </w:rPr>
        <w:t xml:space="preserve"> </w:t>
      </w:r>
      <w:r w:rsidR="00C82682" w:rsidRPr="004161AA">
        <w:rPr>
          <w:rFonts w:ascii="Arial Narrow" w:hAnsi="Arial Narrow"/>
        </w:rPr>
        <w:t xml:space="preserve">en circunstancias que hagan prever la ocurrencia de posibles desequilibrios del sistema financiero o </w:t>
      </w:r>
      <w:r w:rsidRPr="004161AA">
        <w:rPr>
          <w:rFonts w:ascii="Arial Narrow" w:hAnsi="Arial Narrow"/>
        </w:rPr>
        <w:t xml:space="preserve">por razones de interés social, el Comité de Normas </w:t>
      </w:r>
      <w:r w:rsidR="00634928" w:rsidRPr="004161AA">
        <w:rPr>
          <w:rFonts w:ascii="Arial Narrow" w:hAnsi="Arial Narrow"/>
        </w:rPr>
        <w:t>con al</w:t>
      </w:r>
      <w:r w:rsidR="00D34D19" w:rsidRPr="004161AA">
        <w:rPr>
          <w:rFonts w:ascii="Arial Narrow" w:hAnsi="Arial Narrow"/>
        </w:rPr>
        <w:t xml:space="preserve"> </w:t>
      </w:r>
      <w:r w:rsidR="00634928" w:rsidRPr="004161AA">
        <w:rPr>
          <w:rFonts w:ascii="Arial Narrow" w:hAnsi="Arial Narrow"/>
        </w:rPr>
        <w:t xml:space="preserve">menos dos de sus miembros </w:t>
      </w:r>
      <w:r w:rsidRPr="004161AA">
        <w:rPr>
          <w:rFonts w:ascii="Arial Narrow" w:hAnsi="Arial Narrow"/>
        </w:rPr>
        <w:t xml:space="preserve">podrá emitir, sin más trámite, normas técnicas de carácter temporal y de vigencia inmediata, sin la consulta previa, </w:t>
      </w:r>
      <w:r w:rsidR="001D5976" w:rsidRPr="004161AA">
        <w:rPr>
          <w:rFonts w:ascii="Arial Narrow" w:hAnsi="Arial Narrow"/>
        </w:rPr>
        <w:t xml:space="preserve">a la que se refiere dicho artículo, </w:t>
      </w:r>
      <w:r w:rsidRPr="004161AA">
        <w:rPr>
          <w:rFonts w:ascii="Arial Narrow" w:hAnsi="Arial Narrow"/>
        </w:rPr>
        <w:t>las cuales podrán tener una vigencia máxima de ciento ochenta días.</w:t>
      </w:r>
    </w:p>
    <w:p w14:paraId="45587277" w14:textId="77777777" w:rsidR="00E94ACC" w:rsidRPr="00461662" w:rsidRDefault="00E94ACC" w:rsidP="00E94ACC">
      <w:pPr>
        <w:pStyle w:val="Prrafodelista"/>
        <w:widowControl w:val="0"/>
        <w:ind w:left="425"/>
        <w:rPr>
          <w:rFonts w:ascii="Arial Narrow" w:hAnsi="Arial Narrow"/>
          <w:sz w:val="22"/>
          <w:szCs w:val="22"/>
        </w:rPr>
      </w:pPr>
    </w:p>
    <w:p w14:paraId="7C295616" w14:textId="77777777" w:rsidR="00E94ACC" w:rsidRPr="004161AA" w:rsidRDefault="00E94ACC" w:rsidP="00E94ACC">
      <w:pPr>
        <w:pStyle w:val="Prrafodelista"/>
        <w:widowControl w:val="0"/>
        <w:numPr>
          <w:ilvl w:val="0"/>
          <w:numId w:val="24"/>
        </w:numPr>
        <w:ind w:left="425" w:hanging="425"/>
        <w:rPr>
          <w:rFonts w:ascii="Arial Narrow" w:hAnsi="Arial Narrow"/>
        </w:rPr>
      </w:pPr>
      <w:r w:rsidRPr="004161AA">
        <w:rPr>
          <w:rFonts w:ascii="Arial Narrow" w:hAnsi="Arial Narrow" w:cs="Calibri"/>
          <w:lang w:val="es-SV"/>
        </w:rPr>
        <w:lastRenderedPageBreak/>
        <w:t>Que la Organización Mundial de la Salud declaró el 11 marzo de 2020, pandemia al COVID-19, lo cual ha provocado una crisis económica a nivel mundial, afectando de igual forma a El Salvador. A consecuencia de la citada crisis económica, existen deudores de las entidades supervisadas que presentan problemas de pago en sus préstamos.</w:t>
      </w:r>
    </w:p>
    <w:p w14:paraId="58D89775" w14:textId="77777777" w:rsidR="00E94ACC" w:rsidRPr="00461662" w:rsidRDefault="00E94ACC" w:rsidP="00E94ACC">
      <w:pPr>
        <w:pStyle w:val="Prrafodelista"/>
        <w:tabs>
          <w:tab w:val="left" w:pos="5717"/>
        </w:tabs>
        <w:rPr>
          <w:rFonts w:ascii="Arial Narrow" w:hAnsi="Arial Narrow"/>
          <w:strike/>
          <w:sz w:val="22"/>
          <w:szCs w:val="22"/>
        </w:rPr>
      </w:pPr>
    </w:p>
    <w:p w14:paraId="09073F70" w14:textId="57693DFC" w:rsidR="00E94ACC" w:rsidRPr="004161AA" w:rsidRDefault="00E94ACC" w:rsidP="00AB0AAF">
      <w:pPr>
        <w:pStyle w:val="Prrafodelista"/>
        <w:widowControl w:val="0"/>
        <w:numPr>
          <w:ilvl w:val="0"/>
          <w:numId w:val="24"/>
        </w:numPr>
        <w:ind w:left="425" w:hanging="425"/>
        <w:rPr>
          <w:rFonts w:ascii="Arial Narrow" w:hAnsi="Arial Narrow"/>
        </w:rPr>
      </w:pPr>
      <w:r w:rsidRPr="004161AA">
        <w:rPr>
          <w:rFonts w:ascii="Arial Narrow" w:hAnsi="Arial Narrow"/>
        </w:rPr>
        <w:t>Que las Normas Técnicas Temporales para Enfrentar Incumplimientos y Obligaciones Contractuales aprobadas el 18 de marzo de 2020, por el Comité de Normas del Banco Central de Reserva de El Salvador estarán vigentes hasta el 14 de septiembre de 2020.</w:t>
      </w:r>
    </w:p>
    <w:p w14:paraId="6044A28F" w14:textId="77777777" w:rsidR="001C6D55" w:rsidRPr="00461662" w:rsidRDefault="001C6D55" w:rsidP="00D942B9">
      <w:pPr>
        <w:pStyle w:val="Prrafodelista"/>
        <w:rPr>
          <w:rFonts w:ascii="Arial Narrow" w:hAnsi="Arial Narrow"/>
          <w:sz w:val="22"/>
          <w:szCs w:val="22"/>
        </w:rPr>
      </w:pPr>
    </w:p>
    <w:p w14:paraId="372588FF" w14:textId="5E73D46D" w:rsidR="001C6D55" w:rsidRPr="004161AA" w:rsidRDefault="001C6D55" w:rsidP="001C6D55">
      <w:pPr>
        <w:pStyle w:val="Prrafodelista"/>
        <w:widowControl w:val="0"/>
        <w:numPr>
          <w:ilvl w:val="0"/>
          <w:numId w:val="24"/>
        </w:numPr>
        <w:ind w:left="425" w:hanging="425"/>
        <w:rPr>
          <w:rFonts w:ascii="Arial Narrow" w:hAnsi="Arial Narrow"/>
        </w:rPr>
      </w:pPr>
      <w:r w:rsidRPr="004161AA">
        <w:rPr>
          <w:rFonts w:ascii="Arial Narrow" w:hAnsi="Arial Narrow"/>
        </w:rPr>
        <w:t xml:space="preserve">Que la Pandemia por COVID-19 continúa afectando económicamente, entre otros aspectos, a las personas naturales como a las </w:t>
      </w:r>
      <w:r w:rsidR="00DF2ECD" w:rsidRPr="004161AA">
        <w:rPr>
          <w:rFonts w:ascii="Arial Narrow" w:hAnsi="Arial Narrow"/>
        </w:rPr>
        <w:t>jurídicas</w:t>
      </w:r>
      <w:r w:rsidRPr="004161AA">
        <w:rPr>
          <w:rFonts w:ascii="Arial Narrow" w:hAnsi="Arial Narrow"/>
        </w:rPr>
        <w:t xml:space="preserve"> tanto a nivel mundial como en El Salvador, implicando pérdidas de empleo</w:t>
      </w:r>
      <w:r w:rsidR="00DB0F5F">
        <w:rPr>
          <w:rFonts w:ascii="Arial Narrow" w:hAnsi="Arial Narrow"/>
        </w:rPr>
        <w:t xml:space="preserve"> e ingresos</w:t>
      </w:r>
      <w:r w:rsidRPr="004161AA">
        <w:rPr>
          <w:rFonts w:ascii="Arial Narrow" w:hAnsi="Arial Narrow"/>
        </w:rPr>
        <w:t>. Por su parte las entidades financieras deben continuar brindando mecanismos de apoyo a los clientes que han sido directamente afectados por la referida pandemia.</w:t>
      </w:r>
    </w:p>
    <w:p w14:paraId="7D7243C6" w14:textId="77777777" w:rsidR="00A84541" w:rsidRPr="004161AA" w:rsidRDefault="00A84541" w:rsidP="00A84541">
      <w:pPr>
        <w:widowControl w:val="0"/>
        <w:rPr>
          <w:rFonts w:ascii="Arial Narrow" w:hAnsi="Arial Narrow"/>
          <w:b/>
        </w:rPr>
      </w:pPr>
      <w:r w:rsidRPr="004161AA">
        <w:rPr>
          <w:rFonts w:ascii="Arial Narrow" w:hAnsi="Arial Narrow"/>
          <w:b/>
        </w:rPr>
        <w:t xml:space="preserve">POR TANTO, </w:t>
      </w:r>
    </w:p>
    <w:p w14:paraId="239F0947" w14:textId="77777777" w:rsidR="00A84541" w:rsidRPr="004161AA" w:rsidRDefault="00A84541" w:rsidP="00A84541">
      <w:pPr>
        <w:widowControl w:val="0"/>
        <w:rPr>
          <w:rFonts w:ascii="Arial Narrow" w:hAnsi="Arial Narrow"/>
        </w:rPr>
      </w:pPr>
    </w:p>
    <w:p w14:paraId="2733B67F" w14:textId="77777777" w:rsidR="00A84541" w:rsidRPr="004161AA" w:rsidRDefault="00A84541" w:rsidP="00A84541">
      <w:pPr>
        <w:widowControl w:val="0"/>
        <w:rPr>
          <w:rFonts w:ascii="Arial Narrow" w:hAnsi="Arial Narrow"/>
        </w:rPr>
      </w:pPr>
      <w:r w:rsidRPr="004161AA">
        <w:rPr>
          <w:rFonts w:ascii="Arial Narrow" w:hAnsi="Arial Narrow"/>
        </w:rPr>
        <w:t xml:space="preserve">en virtud de las facultades normativas que le confiere el artículo 100 de la Ley de Supervisión y Regulación del Sistema Financiero, </w:t>
      </w:r>
    </w:p>
    <w:p w14:paraId="05ECE77A" w14:textId="77777777" w:rsidR="00A84541" w:rsidRPr="004161AA" w:rsidRDefault="00A84541" w:rsidP="00A84541">
      <w:pPr>
        <w:widowControl w:val="0"/>
        <w:rPr>
          <w:rFonts w:ascii="Arial Narrow" w:hAnsi="Arial Narrow"/>
        </w:rPr>
      </w:pPr>
    </w:p>
    <w:p w14:paraId="6C78F5C8" w14:textId="6AF0C1A4" w:rsidR="00A84541" w:rsidRPr="004161AA" w:rsidRDefault="00A84541" w:rsidP="00A84541">
      <w:pPr>
        <w:widowControl w:val="0"/>
        <w:rPr>
          <w:rFonts w:ascii="Arial Narrow" w:hAnsi="Arial Narrow"/>
        </w:rPr>
      </w:pPr>
      <w:r w:rsidRPr="004161AA">
        <w:rPr>
          <w:rFonts w:ascii="Arial Narrow" w:hAnsi="Arial Narrow"/>
          <w:b/>
        </w:rPr>
        <w:t>ACUERDA,</w:t>
      </w:r>
      <w:r w:rsidRPr="004161AA">
        <w:rPr>
          <w:rFonts w:ascii="Arial Narrow" w:hAnsi="Arial Narrow"/>
        </w:rPr>
        <w:t xml:space="preserve"> emitir las siguientes: </w:t>
      </w:r>
    </w:p>
    <w:p w14:paraId="57690BC4" w14:textId="77777777" w:rsidR="008E7DD1" w:rsidRPr="004161AA" w:rsidRDefault="008E7DD1" w:rsidP="00A84541">
      <w:pPr>
        <w:widowControl w:val="0"/>
        <w:rPr>
          <w:rFonts w:ascii="Arial Narrow" w:hAnsi="Arial Narrow"/>
        </w:rPr>
      </w:pPr>
    </w:p>
    <w:p w14:paraId="46A185F4" w14:textId="64A68EEB" w:rsidR="00A84541" w:rsidRPr="004161AA" w:rsidRDefault="00D942B9" w:rsidP="00A84541">
      <w:pPr>
        <w:jc w:val="center"/>
        <w:rPr>
          <w:rFonts w:ascii="Arial Narrow" w:hAnsi="Arial Narrow"/>
          <w:b/>
          <w:bCs/>
          <w:iCs/>
          <w:lang w:val="es-MX"/>
        </w:rPr>
      </w:pPr>
      <w:r w:rsidRPr="004161AA">
        <w:rPr>
          <w:rFonts w:ascii="Arial Narrow" w:hAnsi="Arial Narrow"/>
          <w:b/>
          <w:bCs/>
          <w:iCs/>
          <w:lang w:val="es-MX"/>
        </w:rPr>
        <w:t>NORMAS TÉCNICAS TEMPO</w:t>
      </w:r>
      <w:r w:rsidR="00FA01DE" w:rsidRPr="004161AA">
        <w:rPr>
          <w:rFonts w:ascii="Arial Narrow" w:hAnsi="Arial Narrow"/>
          <w:b/>
          <w:bCs/>
          <w:iCs/>
          <w:lang w:val="es-MX"/>
        </w:rPr>
        <w:t>RALES PARA EL TRATAMIENTO DE CRÉ</w:t>
      </w:r>
      <w:r w:rsidRPr="004161AA">
        <w:rPr>
          <w:rFonts w:ascii="Arial Narrow" w:hAnsi="Arial Narrow"/>
          <w:b/>
          <w:bCs/>
          <w:iCs/>
          <w:lang w:val="es-MX"/>
        </w:rPr>
        <w:t>DITOS AFECTADOS POR COVID-19</w:t>
      </w:r>
    </w:p>
    <w:p w14:paraId="22B03F5F" w14:textId="77777777" w:rsidR="00D942B9" w:rsidRPr="004161AA" w:rsidRDefault="00D942B9" w:rsidP="00A84541">
      <w:pPr>
        <w:jc w:val="center"/>
        <w:rPr>
          <w:rFonts w:ascii="Arial Narrow" w:hAnsi="Arial Narrow"/>
          <w:b/>
          <w:bCs/>
          <w:iCs/>
          <w:lang w:val="es-MX"/>
        </w:rPr>
      </w:pPr>
    </w:p>
    <w:p w14:paraId="5CC085F1" w14:textId="77777777" w:rsidR="00A84541" w:rsidRPr="004161AA" w:rsidRDefault="00A84541" w:rsidP="00A84541">
      <w:pPr>
        <w:jc w:val="center"/>
        <w:rPr>
          <w:rFonts w:ascii="Arial Narrow" w:hAnsi="Arial Narrow"/>
          <w:b/>
          <w:bCs/>
          <w:iCs/>
          <w:lang w:val="es-MX"/>
        </w:rPr>
      </w:pPr>
      <w:r w:rsidRPr="004161AA">
        <w:rPr>
          <w:rFonts w:ascii="Arial Narrow" w:hAnsi="Arial Narrow"/>
          <w:b/>
          <w:bCs/>
          <w:iCs/>
          <w:lang w:val="es-MX"/>
        </w:rPr>
        <w:t>CAPÍTULO I</w:t>
      </w:r>
    </w:p>
    <w:p w14:paraId="60DF5580" w14:textId="3200BD2F" w:rsidR="00A84541" w:rsidRPr="004161AA" w:rsidRDefault="00A84541" w:rsidP="00A84541">
      <w:pPr>
        <w:jc w:val="center"/>
        <w:rPr>
          <w:rFonts w:ascii="Arial Narrow" w:hAnsi="Arial Narrow"/>
          <w:b/>
          <w:bCs/>
          <w:iCs/>
          <w:lang w:val="es-MX"/>
        </w:rPr>
      </w:pPr>
      <w:r w:rsidRPr="004161AA">
        <w:rPr>
          <w:rFonts w:ascii="Arial Narrow" w:hAnsi="Arial Narrow"/>
          <w:b/>
          <w:bCs/>
          <w:iCs/>
          <w:lang w:val="es-MX"/>
        </w:rPr>
        <w:t>OBJETO</w:t>
      </w:r>
      <w:r w:rsidR="00AC2F4D">
        <w:rPr>
          <w:rFonts w:ascii="Arial Narrow" w:hAnsi="Arial Narrow"/>
          <w:b/>
          <w:bCs/>
          <w:iCs/>
          <w:lang w:val="es-MX"/>
        </w:rPr>
        <w:t>,</w:t>
      </w:r>
      <w:r w:rsidRPr="004161AA">
        <w:rPr>
          <w:rFonts w:ascii="Arial Narrow" w:hAnsi="Arial Narrow"/>
          <w:b/>
          <w:bCs/>
          <w:iCs/>
          <w:lang w:val="es-MX"/>
        </w:rPr>
        <w:t xml:space="preserve"> SUJETOS</w:t>
      </w:r>
      <w:r w:rsidR="00AC2F4D">
        <w:rPr>
          <w:rFonts w:ascii="Arial Narrow" w:hAnsi="Arial Narrow"/>
          <w:b/>
          <w:bCs/>
          <w:iCs/>
          <w:lang w:val="es-MX"/>
        </w:rPr>
        <w:t xml:space="preserve"> Y TÉRMINOS</w:t>
      </w:r>
    </w:p>
    <w:p w14:paraId="72DFFF5D" w14:textId="77777777" w:rsidR="00A84541" w:rsidRPr="004161AA" w:rsidRDefault="00A84541" w:rsidP="00A84541">
      <w:pPr>
        <w:rPr>
          <w:rFonts w:ascii="Arial Narrow" w:hAnsi="Arial Narrow"/>
          <w:b/>
          <w:bCs/>
          <w:iCs/>
          <w:lang w:val="es-MX"/>
        </w:rPr>
      </w:pPr>
    </w:p>
    <w:p w14:paraId="16549A42" w14:textId="77777777" w:rsidR="00A84541" w:rsidRPr="004161AA" w:rsidRDefault="00A84541" w:rsidP="00A84541">
      <w:pPr>
        <w:rPr>
          <w:rFonts w:ascii="Arial Narrow" w:hAnsi="Arial Narrow"/>
          <w:b/>
          <w:bCs/>
          <w:iCs/>
          <w:lang w:val="es-MX"/>
        </w:rPr>
      </w:pPr>
      <w:r w:rsidRPr="004161AA">
        <w:rPr>
          <w:rFonts w:ascii="Arial Narrow" w:hAnsi="Arial Narrow"/>
          <w:b/>
          <w:bCs/>
          <w:iCs/>
          <w:lang w:val="es-MX"/>
        </w:rPr>
        <w:t>Objeto</w:t>
      </w:r>
    </w:p>
    <w:p w14:paraId="46AE990A" w14:textId="2C70672C" w:rsidR="00A84541" w:rsidRPr="004161AA" w:rsidRDefault="00A84541" w:rsidP="00A84541">
      <w:pPr>
        <w:pStyle w:val="Prrafodelista"/>
        <w:widowControl w:val="0"/>
        <w:numPr>
          <w:ilvl w:val="0"/>
          <w:numId w:val="26"/>
        </w:numPr>
        <w:spacing w:after="120"/>
        <w:ind w:left="0" w:firstLine="0"/>
        <w:contextualSpacing w:val="0"/>
        <w:outlineLvl w:val="0"/>
        <w:rPr>
          <w:rFonts w:ascii="Arial Narrow" w:hAnsi="Arial Narrow"/>
          <w:iCs/>
          <w:lang w:val="es-MX"/>
        </w:rPr>
      </w:pPr>
      <w:r w:rsidRPr="004161AA">
        <w:rPr>
          <w:rFonts w:ascii="Arial Narrow" w:hAnsi="Arial Narrow"/>
          <w:iCs/>
          <w:lang w:val="es-MX"/>
        </w:rPr>
        <w:t xml:space="preserve">Las presentes Normas tienen por objeto </w:t>
      </w:r>
      <w:r w:rsidR="00A77EC6" w:rsidRPr="004161AA">
        <w:rPr>
          <w:rFonts w:ascii="Arial Narrow" w:hAnsi="Arial Narrow"/>
          <w:iCs/>
          <w:lang w:val="es-MX"/>
        </w:rPr>
        <w:t xml:space="preserve">posibilitar </w:t>
      </w:r>
      <w:r w:rsidRPr="004161AA">
        <w:rPr>
          <w:rFonts w:ascii="Arial Narrow" w:hAnsi="Arial Narrow"/>
          <w:iCs/>
          <w:lang w:val="es-MX"/>
        </w:rPr>
        <w:t xml:space="preserve">mecanismos de </w:t>
      </w:r>
      <w:r w:rsidRPr="004161AA">
        <w:rPr>
          <w:rFonts w:ascii="Arial Narrow" w:hAnsi="Arial Narrow"/>
          <w:iCs/>
          <w:lang w:val="es-MX"/>
        </w:rPr>
        <w:lastRenderedPageBreak/>
        <w:t xml:space="preserve">apoyo a la situación crediticia de los deudores que </w:t>
      </w:r>
      <w:r w:rsidR="00025442" w:rsidRPr="004161AA">
        <w:rPr>
          <w:rFonts w:ascii="Arial Narrow" w:hAnsi="Arial Narrow"/>
          <w:iCs/>
          <w:lang w:val="es-MX"/>
        </w:rPr>
        <w:t>presenten</w:t>
      </w:r>
      <w:r w:rsidRPr="004161AA">
        <w:rPr>
          <w:rFonts w:ascii="Arial Narrow" w:hAnsi="Arial Narrow"/>
          <w:iCs/>
          <w:lang w:val="es-MX"/>
        </w:rPr>
        <w:t xml:space="preserve"> </w:t>
      </w:r>
      <w:r w:rsidR="00A77EC6" w:rsidRPr="004161AA">
        <w:rPr>
          <w:rFonts w:ascii="Arial Narrow" w:hAnsi="Arial Narrow"/>
          <w:iCs/>
          <w:lang w:val="es-MX"/>
        </w:rPr>
        <w:t xml:space="preserve">o hayan presentado </w:t>
      </w:r>
      <w:r w:rsidRPr="004161AA">
        <w:rPr>
          <w:rFonts w:ascii="Arial Narrow" w:hAnsi="Arial Narrow"/>
          <w:iCs/>
          <w:lang w:val="es-MX"/>
        </w:rPr>
        <w:t xml:space="preserve">dificultades de pago en sus préstamos con entidades financieras a las que les aplican las presentes Normas, como consecuencia de la crisis económica derivada de los efectos de </w:t>
      </w:r>
      <w:r w:rsidR="00025442" w:rsidRPr="004161AA">
        <w:rPr>
          <w:rFonts w:ascii="Arial Narrow" w:hAnsi="Arial Narrow"/>
          <w:iCs/>
          <w:lang w:val="es-MX"/>
        </w:rPr>
        <w:t>la pandemia por COVID-19, la cual fue declarada por la Organización Mundial de la Salud.</w:t>
      </w:r>
    </w:p>
    <w:p w14:paraId="1A735D8D" w14:textId="77777777" w:rsidR="00A84541" w:rsidRPr="004161AA" w:rsidRDefault="00A84541" w:rsidP="00A84541">
      <w:pPr>
        <w:rPr>
          <w:rFonts w:ascii="Arial Narrow" w:hAnsi="Arial Narrow"/>
          <w:iCs/>
          <w:lang w:val="es-MX"/>
        </w:rPr>
      </w:pPr>
    </w:p>
    <w:p w14:paraId="3331DDEA" w14:textId="77777777" w:rsidR="00A84541" w:rsidRPr="004161AA" w:rsidRDefault="00A84541" w:rsidP="00A84541">
      <w:pPr>
        <w:pStyle w:val="Prrafodelista"/>
        <w:widowControl w:val="0"/>
        <w:ind w:left="0"/>
        <w:contextualSpacing w:val="0"/>
        <w:outlineLvl w:val="0"/>
        <w:rPr>
          <w:rFonts w:ascii="Arial Narrow" w:hAnsi="Arial Narrow"/>
          <w:b/>
          <w:bCs/>
          <w:iCs/>
          <w:lang w:val="es-MX"/>
        </w:rPr>
      </w:pPr>
      <w:r w:rsidRPr="004161AA">
        <w:rPr>
          <w:rFonts w:ascii="Arial Narrow" w:hAnsi="Arial Narrow"/>
          <w:b/>
          <w:bCs/>
          <w:iCs/>
          <w:lang w:val="es-MX"/>
        </w:rPr>
        <w:t>Sujetos</w:t>
      </w:r>
    </w:p>
    <w:p w14:paraId="144BAAD2" w14:textId="77777777" w:rsidR="00A1696D" w:rsidRPr="004161AA" w:rsidRDefault="00A84541" w:rsidP="00A1696D">
      <w:pPr>
        <w:pStyle w:val="Prrafodelista"/>
        <w:widowControl w:val="0"/>
        <w:numPr>
          <w:ilvl w:val="0"/>
          <w:numId w:val="26"/>
        </w:numPr>
        <w:spacing w:after="120"/>
        <w:ind w:left="0" w:firstLine="0"/>
        <w:contextualSpacing w:val="0"/>
        <w:outlineLvl w:val="0"/>
        <w:rPr>
          <w:rFonts w:ascii="Arial Narrow" w:hAnsi="Arial Narrow"/>
        </w:rPr>
      </w:pPr>
      <w:r w:rsidRPr="004161AA">
        <w:rPr>
          <w:rFonts w:ascii="Arial Narrow" w:hAnsi="Arial Narrow"/>
        </w:rPr>
        <w:t>Los sujetos obligados al cumplimiento de estas Normas son:</w:t>
      </w:r>
      <w:r w:rsidRPr="004161AA" w:rsidDel="00706049">
        <w:rPr>
          <w:rFonts w:ascii="Arial Narrow" w:hAnsi="Arial Narrow"/>
        </w:rPr>
        <w:t xml:space="preserve"> </w:t>
      </w:r>
    </w:p>
    <w:p w14:paraId="1B1B2636" w14:textId="4393B320" w:rsidR="00A84541" w:rsidRPr="004161AA" w:rsidRDefault="00A84541" w:rsidP="00A1696D">
      <w:pPr>
        <w:numPr>
          <w:ilvl w:val="0"/>
          <w:numId w:val="23"/>
        </w:numPr>
        <w:tabs>
          <w:tab w:val="clear" w:pos="720"/>
        </w:tabs>
        <w:ind w:left="425" w:hanging="425"/>
        <w:rPr>
          <w:rFonts w:ascii="Arial Narrow" w:hAnsi="Arial Narrow"/>
        </w:rPr>
      </w:pPr>
      <w:r w:rsidRPr="004161AA">
        <w:rPr>
          <w:rFonts w:ascii="Arial Narrow" w:hAnsi="Arial Narrow"/>
        </w:rPr>
        <w:t xml:space="preserve">Los bancos constituidos en El Salvador, sus oficinas en el extranjero y sus subsidiarias; </w:t>
      </w:r>
    </w:p>
    <w:p w14:paraId="7B95B50A" w14:textId="77777777" w:rsidR="00A84541" w:rsidRPr="004161AA" w:rsidRDefault="00A84541" w:rsidP="00A84541">
      <w:pPr>
        <w:numPr>
          <w:ilvl w:val="0"/>
          <w:numId w:val="23"/>
        </w:numPr>
        <w:tabs>
          <w:tab w:val="clear" w:pos="720"/>
        </w:tabs>
        <w:ind w:left="425" w:hanging="425"/>
        <w:rPr>
          <w:rFonts w:ascii="Arial Narrow" w:hAnsi="Arial Narrow"/>
        </w:rPr>
      </w:pPr>
      <w:r w:rsidRPr="004161AA">
        <w:rPr>
          <w:rFonts w:ascii="Arial Narrow" w:hAnsi="Arial Narrow"/>
        </w:rPr>
        <w:t xml:space="preserve">Las sucursales y oficinas de bancos extranjeros establecidos en el país, en lo pertinente; </w:t>
      </w:r>
    </w:p>
    <w:p w14:paraId="394F2F27" w14:textId="77777777" w:rsidR="00A84541" w:rsidRPr="004161AA" w:rsidRDefault="00A84541" w:rsidP="00A84541">
      <w:pPr>
        <w:numPr>
          <w:ilvl w:val="0"/>
          <w:numId w:val="23"/>
        </w:numPr>
        <w:tabs>
          <w:tab w:val="clear" w:pos="720"/>
        </w:tabs>
        <w:ind w:left="425" w:hanging="425"/>
        <w:rPr>
          <w:rFonts w:ascii="Arial Narrow" w:hAnsi="Arial Narrow"/>
        </w:rPr>
      </w:pPr>
      <w:r w:rsidRPr="004161AA">
        <w:rPr>
          <w:rFonts w:ascii="Arial Narrow" w:hAnsi="Arial Narrow"/>
        </w:rPr>
        <w:t xml:space="preserve">Las sociedades de seguros, sus sucursales en el extranjero; </w:t>
      </w:r>
    </w:p>
    <w:p w14:paraId="2DD0C203" w14:textId="77777777" w:rsidR="00A84541" w:rsidRPr="004161AA" w:rsidRDefault="00A84541" w:rsidP="00A84541">
      <w:pPr>
        <w:numPr>
          <w:ilvl w:val="0"/>
          <w:numId w:val="23"/>
        </w:numPr>
        <w:tabs>
          <w:tab w:val="clear" w:pos="720"/>
        </w:tabs>
        <w:ind w:left="425" w:hanging="425"/>
        <w:rPr>
          <w:rFonts w:ascii="Arial Narrow" w:hAnsi="Arial Narrow"/>
        </w:rPr>
      </w:pPr>
      <w:r w:rsidRPr="004161AA">
        <w:rPr>
          <w:rFonts w:ascii="Arial Narrow" w:hAnsi="Arial Narrow"/>
        </w:rPr>
        <w:t xml:space="preserve">Las sucursales de sociedades de seguros extranjeras establecidas en el país, en lo pertinente; </w:t>
      </w:r>
    </w:p>
    <w:p w14:paraId="3CAFB492" w14:textId="77777777" w:rsidR="00A84541" w:rsidRPr="004161AA" w:rsidRDefault="00A84541" w:rsidP="00A84541">
      <w:pPr>
        <w:numPr>
          <w:ilvl w:val="0"/>
          <w:numId w:val="23"/>
        </w:numPr>
        <w:tabs>
          <w:tab w:val="clear" w:pos="720"/>
        </w:tabs>
        <w:ind w:left="425" w:hanging="425"/>
        <w:rPr>
          <w:rFonts w:ascii="Arial Narrow" w:hAnsi="Arial Narrow"/>
        </w:rPr>
      </w:pPr>
      <w:r w:rsidRPr="004161AA">
        <w:rPr>
          <w:rFonts w:ascii="Arial Narrow" w:hAnsi="Arial Narrow"/>
        </w:rPr>
        <w:t>Las asociaciones cooperativas que presten servicios de seguros;</w:t>
      </w:r>
    </w:p>
    <w:p w14:paraId="3BAF29D1" w14:textId="77777777" w:rsidR="00A84541" w:rsidRPr="004161AA" w:rsidRDefault="00A84541" w:rsidP="00A84541">
      <w:pPr>
        <w:numPr>
          <w:ilvl w:val="0"/>
          <w:numId w:val="23"/>
        </w:numPr>
        <w:tabs>
          <w:tab w:val="clear" w:pos="720"/>
        </w:tabs>
        <w:ind w:left="425" w:hanging="425"/>
        <w:rPr>
          <w:rFonts w:ascii="Arial Narrow" w:hAnsi="Arial Narrow"/>
        </w:rPr>
      </w:pPr>
      <w:r w:rsidRPr="004161AA">
        <w:rPr>
          <w:rFonts w:ascii="Arial Narrow" w:hAnsi="Arial Narrow"/>
        </w:rPr>
        <w:t xml:space="preserve">Los bancos cooperativos, las sociedades de ahorro y crédito y las federaciones reguladas por la Ley de Bancos Cooperativos y Sociedades de Ahorro y Crédito; </w:t>
      </w:r>
    </w:p>
    <w:p w14:paraId="49E41C87" w14:textId="77777777" w:rsidR="00A84541" w:rsidRPr="004161AA" w:rsidRDefault="00A84541" w:rsidP="00A84541">
      <w:pPr>
        <w:numPr>
          <w:ilvl w:val="0"/>
          <w:numId w:val="23"/>
        </w:numPr>
        <w:tabs>
          <w:tab w:val="clear" w:pos="720"/>
        </w:tabs>
        <w:ind w:left="425" w:hanging="425"/>
        <w:rPr>
          <w:rFonts w:ascii="Arial Narrow" w:hAnsi="Arial Narrow"/>
        </w:rPr>
      </w:pPr>
      <w:r w:rsidRPr="004161AA">
        <w:rPr>
          <w:rFonts w:ascii="Arial Narrow" w:hAnsi="Arial Narrow"/>
        </w:rPr>
        <w:t xml:space="preserve">El Banco Hipotecario de El Salvador, S.A.; </w:t>
      </w:r>
    </w:p>
    <w:p w14:paraId="4F274C92" w14:textId="77777777" w:rsidR="00A84541" w:rsidRPr="004161AA" w:rsidRDefault="00A84541" w:rsidP="00A84541">
      <w:pPr>
        <w:numPr>
          <w:ilvl w:val="0"/>
          <w:numId w:val="23"/>
        </w:numPr>
        <w:tabs>
          <w:tab w:val="clear" w:pos="720"/>
        </w:tabs>
        <w:ind w:left="425" w:hanging="425"/>
        <w:rPr>
          <w:rFonts w:ascii="Arial Narrow" w:hAnsi="Arial Narrow"/>
        </w:rPr>
      </w:pPr>
      <w:r w:rsidRPr="004161AA">
        <w:rPr>
          <w:rFonts w:ascii="Arial Narrow" w:hAnsi="Arial Narrow"/>
        </w:rPr>
        <w:t xml:space="preserve">El Fondo Social para la Vivienda, el Fondo Nacional de Vivienda Popular y el Fondo Solidario para la Familia Microempresaria, en lo que no contradiga a sus leyes de creación ni a lo dispuesto por la Corte de Cuentas; </w:t>
      </w:r>
    </w:p>
    <w:p w14:paraId="31B15B9A" w14:textId="77777777" w:rsidR="00A84541" w:rsidRPr="004161AA" w:rsidRDefault="00A84541" w:rsidP="00A84541">
      <w:pPr>
        <w:numPr>
          <w:ilvl w:val="0"/>
          <w:numId w:val="23"/>
        </w:numPr>
        <w:tabs>
          <w:tab w:val="clear" w:pos="720"/>
        </w:tabs>
        <w:ind w:left="425" w:hanging="425"/>
        <w:rPr>
          <w:rFonts w:ascii="Arial Narrow" w:hAnsi="Arial Narrow"/>
        </w:rPr>
      </w:pPr>
      <w:r w:rsidRPr="004161AA">
        <w:rPr>
          <w:rFonts w:ascii="Arial Narrow" w:hAnsi="Arial Narrow"/>
        </w:rPr>
        <w:t xml:space="preserve">El Banco de Fomento Agropecuario, en lo que no contradiga a su ley de creación ni a lo dispuesto por la Corte de Cuentas; </w:t>
      </w:r>
    </w:p>
    <w:p w14:paraId="7C13DF42" w14:textId="1F732EB4" w:rsidR="00A84541" w:rsidRPr="004161AA" w:rsidRDefault="00025442" w:rsidP="00D47493">
      <w:pPr>
        <w:numPr>
          <w:ilvl w:val="0"/>
          <w:numId w:val="23"/>
        </w:numPr>
        <w:tabs>
          <w:tab w:val="clear" w:pos="720"/>
        </w:tabs>
        <w:ind w:left="425" w:hanging="425"/>
        <w:rPr>
          <w:rFonts w:ascii="Arial Narrow" w:hAnsi="Arial Narrow"/>
        </w:rPr>
      </w:pPr>
      <w:r w:rsidRPr="004161AA">
        <w:rPr>
          <w:rFonts w:ascii="Arial Narrow" w:hAnsi="Arial Narrow"/>
        </w:rPr>
        <w:t xml:space="preserve">Banco </w:t>
      </w:r>
      <w:r w:rsidR="00030F75" w:rsidRPr="004161AA">
        <w:rPr>
          <w:rFonts w:ascii="Arial Narrow" w:hAnsi="Arial Narrow"/>
        </w:rPr>
        <w:t>d</w:t>
      </w:r>
      <w:r w:rsidRPr="004161AA">
        <w:rPr>
          <w:rFonts w:ascii="Arial Narrow" w:hAnsi="Arial Narrow"/>
        </w:rPr>
        <w:t xml:space="preserve">e Desarrollo </w:t>
      </w:r>
      <w:r w:rsidR="00030F75" w:rsidRPr="004161AA">
        <w:rPr>
          <w:rFonts w:ascii="Arial Narrow" w:hAnsi="Arial Narrow"/>
        </w:rPr>
        <w:t>d</w:t>
      </w:r>
      <w:r w:rsidRPr="004161AA">
        <w:rPr>
          <w:rFonts w:ascii="Arial Narrow" w:hAnsi="Arial Narrow"/>
        </w:rPr>
        <w:t xml:space="preserve">e </w:t>
      </w:r>
      <w:r w:rsidR="00030F75" w:rsidRPr="004161AA">
        <w:rPr>
          <w:rFonts w:ascii="Arial Narrow" w:hAnsi="Arial Narrow"/>
        </w:rPr>
        <w:t>l</w:t>
      </w:r>
      <w:r w:rsidRPr="004161AA">
        <w:rPr>
          <w:rFonts w:ascii="Arial Narrow" w:hAnsi="Arial Narrow"/>
        </w:rPr>
        <w:t xml:space="preserve">a República </w:t>
      </w:r>
      <w:r w:rsidR="00030F75" w:rsidRPr="004161AA">
        <w:rPr>
          <w:rFonts w:ascii="Arial Narrow" w:hAnsi="Arial Narrow"/>
        </w:rPr>
        <w:t>d</w:t>
      </w:r>
      <w:r w:rsidRPr="004161AA">
        <w:rPr>
          <w:rFonts w:ascii="Arial Narrow" w:hAnsi="Arial Narrow"/>
        </w:rPr>
        <w:t>e El Salvador</w:t>
      </w:r>
      <w:r w:rsidR="00A84541" w:rsidRPr="004161AA">
        <w:rPr>
          <w:rFonts w:ascii="Arial Narrow" w:hAnsi="Arial Narrow"/>
        </w:rPr>
        <w:t xml:space="preserve">, en lo que no contradiga a su ley de creación ni a lo dispuesto por la Corte de Cuentas; </w:t>
      </w:r>
    </w:p>
    <w:p w14:paraId="2168EFA6" w14:textId="77777777" w:rsidR="00A84541" w:rsidRPr="004161AA" w:rsidRDefault="00A84541" w:rsidP="00A84541">
      <w:pPr>
        <w:numPr>
          <w:ilvl w:val="0"/>
          <w:numId w:val="23"/>
        </w:numPr>
        <w:tabs>
          <w:tab w:val="clear" w:pos="720"/>
        </w:tabs>
        <w:ind w:left="425" w:hanging="425"/>
        <w:rPr>
          <w:rFonts w:ascii="Arial Narrow" w:hAnsi="Arial Narrow"/>
        </w:rPr>
      </w:pPr>
      <w:r w:rsidRPr="004161AA">
        <w:rPr>
          <w:rFonts w:ascii="Arial Narrow" w:hAnsi="Arial Narrow"/>
        </w:rPr>
        <w:t xml:space="preserve">Las sociedades de garantía recíproca y sus reafianzadoras locales; </w:t>
      </w:r>
    </w:p>
    <w:p w14:paraId="51BE72C5" w14:textId="77777777" w:rsidR="00A84541" w:rsidRPr="004161AA" w:rsidRDefault="00A84541" w:rsidP="00A84541">
      <w:pPr>
        <w:numPr>
          <w:ilvl w:val="0"/>
          <w:numId w:val="23"/>
        </w:numPr>
        <w:tabs>
          <w:tab w:val="clear" w:pos="720"/>
        </w:tabs>
        <w:ind w:left="425" w:hanging="425"/>
        <w:rPr>
          <w:rFonts w:ascii="Arial Narrow" w:hAnsi="Arial Narrow"/>
        </w:rPr>
      </w:pPr>
      <w:r w:rsidRPr="004161AA">
        <w:rPr>
          <w:rFonts w:ascii="Arial Narrow" w:hAnsi="Arial Narrow"/>
        </w:rPr>
        <w:t>El Instituto de Previsión Social de la Fuerza Armada; y</w:t>
      </w:r>
    </w:p>
    <w:p w14:paraId="1245C3A4" w14:textId="77777777" w:rsidR="00A84541" w:rsidRPr="004161AA" w:rsidRDefault="00A84541" w:rsidP="00A84541">
      <w:pPr>
        <w:numPr>
          <w:ilvl w:val="0"/>
          <w:numId w:val="23"/>
        </w:numPr>
        <w:tabs>
          <w:tab w:val="clear" w:pos="720"/>
        </w:tabs>
        <w:ind w:left="425" w:hanging="425"/>
        <w:rPr>
          <w:rFonts w:ascii="Arial Narrow" w:hAnsi="Arial Narrow"/>
        </w:rPr>
      </w:pPr>
      <w:r w:rsidRPr="004161AA">
        <w:rPr>
          <w:rFonts w:ascii="Arial Narrow" w:hAnsi="Arial Narrow"/>
        </w:rPr>
        <w:t xml:space="preserve">Los emisores de tarjetas de crédito. </w:t>
      </w:r>
    </w:p>
    <w:p w14:paraId="196F166A" w14:textId="77777777" w:rsidR="00A84541" w:rsidRPr="004161AA" w:rsidRDefault="00A84541" w:rsidP="00A84541">
      <w:pPr>
        <w:pStyle w:val="Textoindependiente21"/>
        <w:jc w:val="both"/>
        <w:rPr>
          <w:iCs/>
          <w:sz w:val="24"/>
          <w:szCs w:val="24"/>
          <w:lang w:val="es-MX"/>
        </w:rPr>
      </w:pPr>
    </w:p>
    <w:p w14:paraId="55BB9DF3" w14:textId="77777777" w:rsidR="00A84541" w:rsidRPr="004161AA" w:rsidRDefault="00A84541" w:rsidP="00A84541">
      <w:pPr>
        <w:pStyle w:val="Textoindependiente21"/>
        <w:jc w:val="both"/>
        <w:rPr>
          <w:rFonts w:cs="Arial"/>
          <w:b/>
          <w:bCs/>
          <w:sz w:val="24"/>
          <w:szCs w:val="24"/>
        </w:rPr>
      </w:pPr>
      <w:r w:rsidRPr="004161AA">
        <w:rPr>
          <w:rFonts w:cs="Arial"/>
          <w:b/>
          <w:bCs/>
          <w:sz w:val="24"/>
          <w:szCs w:val="24"/>
        </w:rPr>
        <w:t>Términos</w:t>
      </w:r>
    </w:p>
    <w:p w14:paraId="19A74B05" w14:textId="0E03A363" w:rsidR="00A84541" w:rsidRPr="004161AA" w:rsidRDefault="00A84541" w:rsidP="00A84541">
      <w:pPr>
        <w:pStyle w:val="Prrafodelista"/>
        <w:widowControl w:val="0"/>
        <w:numPr>
          <w:ilvl w:val="0"/>
          <w:numId w:val="26"/>
        </w:numPr>
        <w:spacing w:after="120"/>
        <w:ind w:left="0" w:firstLine="0"/>
        <w:contextualSpacing w:val="0"/>
        <w:outlineLvl w:val="0"/>
        <w:rPr>
          <w:rFonts w:ascii="Arial Narrow" w:hAnsi="Arial Narrow"/>
        </w:rPr>
      </w:pPr>
      <w:r w:rsidRPr="004161AA">
        <w:rPr>
          <w:rFonts w:ascii="Arial Narrow" w:hAnsi="Arial Narrow"/>
          <w:lang w:val="es-MX"/>
        </w:rPr>
        <w:t xml:space="preserve">Para efectos de las presentes </w:t>
      </w:r>
      <w:r w:rsidR="009D5F9B" w:rsidRPr="004161AA">
        <w:rPr>
          <w:rFonts w:ascii="Arial Narrow" w:hAnsi="Arial Narrow"/>
          <w:lang w:val="es-MX"/>
        </w:rPr>
        <w:t>Normas</w:t>
      </w:r>
      <w:r w:rsidRPr="004161AA">
        <w:rPr>
          <w:rFonts w:ascii="Arial Narrow" w:hAnsi="Arial Narrow"/>
          <w:lang w:val="es-MX"/>
        </w:rPr>
        <w:t>, los términos que se indican a continuación tienen el significado siguiente:</w:t>
      </w:r>
    </w:p>
    <w:p w14:paraId="41F5CD31" w14:textId="57E9E4A1" w:rsidR="00A84541" w:rsidRPr="004161AA" w:rsidRDefault="00A84541" w:rsidP="00194F6E">
      <w:pPr>
        <w:pStyle w:val="Textoindependiente21"/>
        <w:numPr>
          <w:ilvl w:val="0"/>
          <w:numId w:val="27"/>
        </w:numPr>
        <w:ind w:left="426" w:hanging="426"/>
        <w:jc w:val="both"/>
        <w:rPr>
          <w:b/>
          <w:sz w:val="24"/>
          <w:szCs w:val="24"/>
          <w:lang w:val="es-MX"/>
        </w:rPr>
      </w:pPr>
      <w:r w:rsidRPr="004161AA">
        <w:rPr>
          <w:rFonts w:cs="Arial"/>
          <w:b/>
          <w:bCs/>
          <w:sz w:val="24"/>
          <w:szCs w:val="24"/>
        </w:rPr>
        <w:t xml:space="preserve">Entidad: </w:t>
      </w:r>
      <w:r w:rsidR="00194F6E" w:rsidRPr="004161AA">
        <w:rPr>
          <w:sz w:val="24"/>
          <w:szCs w:val="24"/>
          <w:lang w:val="es-MX"/>
        </w:rPr>
        <w:t>sujeto obligado al cumplimiento de las disposiciones establecidas en las presentes Normas</w:t>
      </w:r>
      <w:r w:rsidRPr="004161AA">
        <w:rPr>
          <w:rFonts w:cs="Arial"/>
          <w:sz w:val="24"/>
          <w:szCs w:val="24"/>
        </w:rPr>
        <w:t>;</w:t>
      </w:r>
    </w:p>
    <w:p w14:paraId="0DCDAA7E" w14:textId="77777777" w:rsidR="00A84541" w:rsidRPr="004161AA" w:rsidRDefault="00A84541" w:rsidP="00A84541">
      <w:pPr>
        <w:pStyle w:val="Textoindependiente21"/>
        <w:numPr>
          <w:ilvl w:val="0"/>
          <w:numId w:val="27"/>
        </w:numPr>
        <w:ind w:left="426" w:hanging="426"/>
        <w:jc w:val="both"/>
        <w:rPr>
          <w:rFonts w:cs="Arial"/>
          <w:b/>
          <w:bCs/>
          <w:sz w:val="24"/>
          <w:szCs w:val="24"/>
        </w:rPr>
      </w:pPr>
      <w:r w:rsidRPr="004161AA">
        <w:rPr>
          <w:rFonts w:cs="Arial"/>
          <w:b/>
          <w:bCs/>
          <w:sz w:val="24"/>
          <w:szCs w:val="24"/>
        </w:rPr>
        <w:t xml:space="preserve">Junta Directiva: </w:t>
      </w:r>
      <w:r w:rsidRPr="004161AA">
        <w:rPr>
          <w:rFonts w:cs="Arial"/>
          <w:sz w:val="24"/>
          <w:szCs w:val="24"/>
        </w:rPr>
        <w:t>órgano colegiado encargado de la administración de la entidad, con funciones de supervisión, dirección y control u órgano equivalente; para el caso de las Asociaciones Cooperativas será el Consejo de Administración o según se defina en su Ley de creación;</w:t>
      </w:r>
    </w:p>
    <w:p w14:paraId="26126783" w14:textId="77777777" w:rsidR="00A84541" w:rsidRPr="004161AA" w:rsidRDefault="00A84541" w:rsidP="00A84541">
      <w:pPr>
        <w:pStyle w:val="Textoindependiente21"/>
        <w:numPr>
          <w:ilvl w:val="0"/>
          <w:numId w:val="27"/>
        </w:numPr>
        <w:ind w:left="426" w:hanging="426"/>
        <w:jc w:val="both"/>
        <w:rPr>
          <w:b/>
          <w:bCs/>
          <w:sz w:val="24"/>
          <w:szCs w:val="24"/>
        </w:rPr>
      </w:pPr>
      <w:r w:rsidRPr="004161AA">
        <w:rPr>
          <w:rFonts w:cs="Arial"/>
          <w:b/>
          <w:bCs/>
          <w:sz w:val="24"/>
          <w:szCs w:val="24"/>
        </w:rPr>
        <w:t xml:space="preserve">NCB-022: </w:t>
      </w:r>
      <w:r w:rsidRPr="004161AA">
        <w:rPr>
          <w:rFonts w:cs="Arial"/>
          <w:sz w:val="24"/>
          <w:szCs w:val="24"/>
        </w:rPr>
        <w:t>Normas para Clasificar los Activos de Riesgo Crediticio y Constituir las Reservas de Saneamiento; y</w:t>
      </w:r>
    </w:p>
    <w:p w14:paraId="2B19C7DC" w14:textId="77777777" w:rsidR="00A84541" w:rsidRPr="004161AA" w:rsidRDefault="00A84541" w:rsidP="00A84541">
      <w:pPr>
        <w:pStyle w:val="Textoindependiente21"/>
        <w:numPr>
          <w:ilvl w:val="0"/>
          <w:numId w:val="27"/>
        </w:numPr>
        <w:ind w:left="426" w:hanging="426"/>
        <w:jc w:val="both"/>
        <w:rPr>
          <w:rFonts w:cs="Arial"/>
          <w:b/>
          <w:bCs/>
          <w:sz w:val="24"/>
          <w:szCs w:val="24"/>
        </w:rPr>
      </w:pPr>
      <w:r w:rsidRPr="004161AA">
        <w:rPr>
          <w:rFonts w:cs="Arial"/>
          <w:b/>
          <w:bCs/>
          <w:sz w:val="24"/>
          <w:szCs w:val="24"/>
        </w:rPr>
        <w:t xml:space="preserve">Superintendencia: </w:t>
      </w:r>
      <w:r w:rsidRPr="004161AA">
        <w:rPr>
          <w:rFonts w:cs="Arial"/>
          <w:sz w:val="24"/>
          <w:szCs w:val="24"/>
        </w:rPr>
        <w:t>Superintendencia del Sistema Financiero.</w:t>
      </w:r>
    </w:p>
    <w:p w14:paraId="17151067" w14:textId="77777777" w:rsidR="00A84541" w:rsidRPr="004161AA" w:rsidRDefault="00A84541" w:rsidP="00A84541">
      <w:pPr>
        <w:pStyle w:val="Textoindependiente21"/>
        <w:jc w:val="both"/>
        <w:rPr>
          <w:iCs/>
          <w:sz w:val="24"/>
          <w:szCs w:val="24"/>
          <w:lang w:val="es-MX"/>
        </w:rPr>
      </w:pPr>
    </w:p>
    <w:p w14:paraId="1E22EBDA" w14:textId="2C6309DF" w:rsidR="00A84541" w:rsidRDefault="00A84541" w:rsidP="00AC2F4D">
      <w:pPr>
        <w:rPr>
          <w:rFonts w:ascii="Arial Narrow" w:hAnsi="Arial Narrow"/>
          <w:b/>
          <w:bCs/>
          <w:iCs/>
          <w:lang w:val="es-MX"/>
        </w:rPr>
      </w:pPr>
    </w:p>
    <w:p w14:paraId="5B0BE5B6" w14:textId="4527BA38" w:rsidR="003A2D82" w:rsidRPr="004161AA" w:rsidRDefault="003A2D82" w:rsidP="00A84541">
      <w:pPr>
        <w:jc w:val="center"/>
        <w:rPr>
          <w:rFonts w:ascii="Arial Narrow" w:hAnsi="Arial Narrow"/>
          <w:b/>
          <w:bCs/>
          <w:iCs/>
          <w:lang w:val="es-MX"/>
        </w:rPr>
      </w:pPr>
      <w:r>
        <w:rPr>
          <w:rFonts w:ascii="Arial Narrow" w:hAnsi="Arial Narrow"/>
          <w:b/>
          <w:bCs/>
          <w:iCs/>
          <w:lang w:val="es-MX"/>
        </w:rPr>
        <w:t xml:space="preserve">CAPITULO </w:t>
      </w:r>
      <w:r w:rsidR="00AC2F4D">
        <w:rPr>
          <w:rFonts w:ascii="Arial Narrow" w:hAnsi="Arial Narrow"/>
          <w:b/>
          <w:bCs/>
          <w:iCs/>
          <w:lang w:val="es-MX"/>
        </w:rPr>
        <w:t>II</w:t>
      </w:r>
    </w:p>
    <w:p w14:paraId="3CBED905" w14:textId="77777777" w:rsidR="00A84541" w:rsidRPr="004161AA" w:rsidRDefault="00A84541" w:rsidP="00A84541">
      <w:pPr>
        <w:jc w:val="center"/>
        <w:rPr>
          <w:rFonts w:ascii="Arial Narrow" w:hAnsi="Arial Narrow"/>
          <w:b/>
          <w:bCs/>
          <w:iCs/>
          <w:lang w:val="es-MX"/>
        </w:rPr>
      </w:pPr>
      <w:r w:rsidRPr="004161AA">
        <w:rPr>
          <w:rFonts w:ascii="Arial Narrow" w:hAnsi="Arial Narrow"/>
          <w:b/>
          <w:bCs/>
          <w:iCs/>
          <w:lang w:val="es-MX"/>
        </w:rPr>
        <w:t>MEDIDAS TEMPORALES PARA APOYAR A DEUDORES CON PROBLEMAS DE PAGO</w:t>
      </w:r>
    </w:p>
    <w:p w14:paraId="009871F5" w14:textId="18FBC8B9" w:rsidR="00A84541" w:rsidRPr="004161AA" w:rsidRDefault="00A84541" w:rsidP="003A2D82">
      <w:pPr>
        <w:rPr>
          <w:rFonts w:ascii="Arial Narrow" w:hAnsi="Arial Narrow"/>
          <w:b/>
          <w:iCs/>
          <w:lang w:val="es-MX"/>
        </w:rPr>
      </w:pPr>
    </w:p>
    <w:p w14:paraId="73586F03" w14:textId="77777777" w:rsidR="00A84541" w:rsidRPr="004161AA" w:rsidRDefault="00A84541" w:rsidP="00A84541">
      <w:pPr>
        <w:rPr>
          <w:rFonts w:ascii="Arial Narrow" w:hAnsi="Arial Narrow"/>
          <w:b/>
          <w:iCs/>
          <w:lang w:val="es-MX"/>
        </w:rPr>
      </w:pPr>
    </w:p>
    <w:p w14:paraId="22A7A9F9" w14:textId="77777777" w:rsidR="00A84541" w:rsidRPr="004161AA" w:rsidRDefault="00A84541" w:rsidP="00A84541">
      <w:pPr>
        <w:rPr>
          <w:rFonts w:ascii="Arial Narrow" w:hAnsi="Arial Narrow"/>
          <w:b/>
          <w:iCs/>
          <w:lang w:val="es-MX"/>
        </w:rPr>
      </w:pPr>
      <w:r w:rsidRPr="004161AA">
        <w:rPr>
          <w:rFonts w:ascii="Arial Narrow" w:hAnsi="Arial Narrow"/>
          <w:b/>
          <w:iCs/>
          <w:lang w:val="es-MX"/>
        </w:rPr>
        <w:t xml:space="preserve">Políticas </w:t>
      </w:r>
    </w:p>
    <w:p w14:paraId="1530796C" w14:textId="1807790A" w:rsidR="00A84541" w:rsidRPr="004161AA" w:rsidRDefault="00A84541" w:rsidP="00A84541">
      <w:pPr>
        <w:pStyle w:val="Prrafodelista"/>
        <w:widowControl w:val="0"/>
        <w:numPr>
          <w:ilvl w:val="0"/>
          <w:numId w:val="26"/>
        </w:numPr>
        <w:ind w:left="0" w:firstLine="0"/>
        <w:contextualSpacing w:val="0"/>
        <w:outlineLvl w:val="0"/>
        <w:rPr>
          <w:rFonts w:ascii="Arial Narrow" w:hAnsi="Arial Narrow"/>
          <w:iCs/>
          <w:lang w:val="es-MX"/>
        </w:rPr>
      </w:pPr>
      <w:r w:rsidRPr="004161AA">
        <w:rPr>
          <w:rFonts w:ascii="Arial Narrow" w:hAnsi="Arial Narrow"/>
          <w:iCs/>
          <w:lang w:val="es-MX"/>
        </w:rPr>
        <w:t xml:space="preserve">Las entidades podrán </w:t>
      </w:r>
      <w:r w:rsidR="00717344" w:rsidRPr="004161AA">
        <w:rPr>
          <w:rFonts w:ascii="Arial Narrow" w:hAnsi="Arial Narrow"/>
          <w:iCs/>
          <w:lang w:val="es-MX"/>
        </w:rPr>
        <w:t>utiliza</w:t>
      </w:r>
      <w:r w:rsidR="00DF3AF5" w:rsidRPr="004161AA">
        <w:rPr>
          <w:rFonts w:ascii="Arial Narrow" w:hAnsi="Arial Narrow"/>
          <w:iCs/>
          <w:lang w:val="es-MX"/>
        </w:rPr>
        <w:t>r</w:t>
      </w:r>
      <w:r w:rsidR="00717344" w:rsidRPr="004161AA">
        <w:rPr>
          <w:rFonts w:ascii="Arial Narrow" w:hAnsi="Arial Narrow"/>
          <w:iCs/>
          <w:lang w:val="es-MX"/>
        </w:rPr>
        <w:t xml:space="preserve"> las </w:t>
      </w:r>
      <w:r w:rsidRPr="004161AA">
        <w:rPr>
          <w:rFonts w:ascii="Arial Narrow" w:hAnsi="Arial Narrow"/>
          <w:iCs/>
          <w:lang w:val="es-MX"/>
        </w:rPr>
        <w:t xml:space="preserve">políticas </w:t>
      </w:r>
      <w:r w:rsidR="00843376" w:rsidRPr="004161AA">
        <w:rPr>
          <w:rFonts w:ascii="Arial Narrow" w:hAnsi="Arial Narrow"/>
          <w:iCs/>
          <w:lang w:val="es-MX"/>
        </w:rPr>
        <w:t xml:space="preserve">que les fueron autorizadas de acuerdo a las </w:t>
      </w:r>
      <w:r w:rsidR="002B6BF7" w:rsidRPr="004161AA">
        <w:rPr>
          <w:rFonts w:ascii="Arial Narrow" w:hAnsi="Arial Narrow"/>
          <w:iCs/>
          <w:lang w:val="es-MX"/>
        </w:rPr>
        <w:t>“</w:t>
      </w:r>
      <w:r w:rsidR="00843376" w:rsidRPr="004161AA">
        <w:rPr>
          <w:rFonts w:ascii="Arial Narrow" w:hAnsi="Arial Narrow"/>
          <w:iCs/>
          <w:lang w:val="es-MX"/>
        </w:rPr>
        <w:t xml:space="preserve">Normas </w:t>
      </w:r>
      <w:r w:rsidR="00E564A0" w:rsidRPr="004161AA">
        <w:rPr>
          <w:rFonts w:ascii="Arial Narrow" w:hAnsi="Arial Narrow"/>
          <w:iCs/>
          <w:lang w:val="es-MX"/>
        </w:rPr>
        <w:t xml:space="preserve">Técnicas Temporales </w:t>
      </w:r>
      <w:r w:rsidR="002B6BF7" w:rsidRPr="004161AA">
        <w:rPr>
          <w:rFonts w:ascii="Arial Narrow" w:hAnsi="Arial Narrow"/>
          <w:iCs/>
          <w:lang w:val="es-MX"/>
        </w:rPr>
        <w:t>p</w:t>
      </w:r>
      <w:r w:rsidR="00E564A0" w:rsidRPr="004161AA">
        <w:rPr>
          <w:rFonts w:ascii="Arial Narrow" w:hAnsi="Arial Narrow"/>
          <w:iCs/>
          <w:lang w:val="es-MX"/>
        </w:rPr>
        <w:t>ara Enfrentar Incumplimientos y Obligaciones Contractual</w:t>
      </w:r>
      <w:r w:rsidR="002B6BF7" w:rsidRPr="004161AA">
        <w:rPr>
          <w:rFonts w:ascii="Arial Narrow" w:hAnsi="Arial Narrow"/>
          <w:iCs/>
          <w:lang w:val="es-MX"/>
        </w:rPr>
        <w:t>e</w:t>
      </w:r>
      <w:r w:rsidR="00E564A0" w:rsidRPr="004161AA">
        <w:rPr>
          <w:rFonts w:ascii="Arial Narrow" w:hAnsi="Arial Narrow"/>
          <w:iCs/>
          <w:lang w:val="es-MX"/>
        </w:rPr>
        <w:t>s</w:t>
      </w:r>
      <w:r w:rsidR="002B6BF7" w:rsidRPr="004161AA">
        <w:rPr>
          <w:rFonts w:ascii="Arial Narrow" w:hAnsi="Arial Narrow"/>
          <w:iCs/>
          <w:lang w:val="es-MX"/>
        </w:rPr>
        <w:t>”</w:t>
      </w:r>
      <w:r w:rsidR="00E564A0" w:rsidRPr="004161AA">
        <w:rPr>
          <w:rFonts w:ascii="Arial Narrow" w:hAnsi="Arial Narrow"/>
          <w:iCs/>
          <w:lang w:val="es-MX"/>
        </w:rPr>
        <w:t xml:space="preserve"> </w:t>
      </w:r>
      <w:r w:rsidRPr="004161AA">
        <w:rPr>
          <w:rFonts w:ascii="Arial Narrow" w:hAnsi="Arial Narrow"/>
          <w:iCs/>
          <w:lang w:val="es-MX"/>
        </w:rPr>
        <w:t xml:space="preserve">que contengan </w:t>
      </w:r>
      <w:r w:rsidR="00717344" w:rsidRPr="004161AA">
        <w:rPr>
          <w:rFonts w:ascii="Arial Narrow" w:hAnsi="Arial Narrow"/>
          <w:iCs/>
          <w:lang w:val="es-MX"/>
        </w:rPr>
        <w:t xml:space="preserve">las </w:t>
      </w:r>
      <w:r w:rsidRPr="004161AA">
        <w:rPr>
          <w:rFonts w:ascii="Arial Narrow" w:hAnsi="Arial Narrow"/>
          <w:iCs/>
          <w:lang w:val="es-MX"/>
        </w:rPr>
        <w:t xml:space="preserve">medidas extraordinarias relacionadas con el otorgamiento de créditos en cualquier modalidad, la gestión del portafolio existente, la consolidación, la reestructuración y el refinanciamiento, las cuales deben asegurar que las personas afectadas por las situaciones generadas por el COVID-19, no incurran en incumplimientos de obligaciones crediticias contractuales; asimismo la entidad debe de velar por el establecimiento de controles internos suficientes para garantizar su cumplimiento y el debido seguimiento a la cartera que se genere bajo esas condiciones. En Anexo No. 1 de las presentes Normas se presenta contenido mínimo de las </w:t>
      </w:r>
      <w:r w:rsidR="000B3F2F" w:rsidRPr="004161AA">
        <w:rPr>
          <w:rFonts w:ascii="Arial Narrow" w:hAnsi="Arial Narrow"/>
          <w:iCs/>
          <w:lang w:val="es-MX"/>
        </w:rPr>
        <w:t>éstas</w:t>
      </w:r>
      <w:r w:rsidRPr="004161AA">
        <w:rPr>
          <w:rFonts w:ascii="Arial Narrow" w:hAnsi="Arial Narrow"/>
          <w:iCs/>
          <w:lang w:val="es-MX"/>
        </w:rPr>
        <w:t>.</w:t>
      </w:r>
      <w:r w:rsidR="00A60880" w:rsidRPr="004161AA">
        <w:rPr>
          <w:rFonts w:ascii="Arial Narrow" w:hAnsi="Arial Narrow"/>
          <w:iCs/>
          <w:lang w:val="es-MX"/>
        </w:rPr>
        <w:t xml:space="preserve"> </w:t>
      </w:r>
    </w:p>
    <w:p w14:paraId="3F0D14ED" w14:textId="3E34033F" w:rsidR="005C64BC" w:rsidRPr="004161AA" w:rsidRDefault="005C64BC" w:rsidP="005C64BC">
      <w:pPr>
        <w:widowControl w:val="0"/>
        <w:outlineLvl w:val="0"/>
        <w:rPr>
          <w:rFonts w:ascii="Arial Narrow" w:hAnsi="Arial Narrow"/>
          <w:iCs/>
          <w:lang w:val="es-MX"/>
        </w:rPr>
      </w:pPr>
    </w:p>
    <w:p w14:paraId="70236378" w14:textId="5AE407AB" w:rsidR="00A84541" w:rsidRPr="004161AA" w:rsidRDefault="00A84541" w:rsidP="00A84541">
      <w:pPr>
        <w:pStyle w:val="Textoindependiente21"/>
        <w:jc w:val="both"/>
        <w:rPr>
          <w:iCs/>
          <w:sz w:val="24"/>
          <w:szCs w:val="24"/>
          <w:lang w:val="es-MX"/>
        </w:rPr>
      </w:pPr>
      <w:r w:rsidRPr="004161AA">
        <w:rPr>
          <w:iCs/>
          <w:sz w:val="24"/>
          <w:szCs w:val="24"/>
          <w:lang w:val="es-MX"/>
        </w:rPr>
        <w:t>L</w:t>
      </w:r>
      <w:r w:rsidR="00717344" w:rsidRPr="004161AA">
        <w:rPr>
          <w:iCs/>
          <w:sz w:val="24"/>
          <w:szCs w:val="24"/>
          <w:lang w:val="es-MX"/>
        </w:rPr>
        <w:t>o</w:t>
      </w:r>
      <w:r w:rsidRPr="004161AA">
        <w:rPr>
          <w:iCs/>
          <w:sz w:val="24"/>
          <w:szCs w:val="24"/>
          <w:lang w:val="es-MX"/>
        </w:rPr>
        <w:t xml:space="preserve">s </w:t>
      </w:r>
      <w:r w:rsidR="00717344" w:rsidRPr="004161AA">
        <w:rPr>
          <w:iCs/>
          <w:sz w:val="24"/>
          <w:szCs w:val="24"/>
          <w:lang w:val="es-MX"/>
        </w:rPr>
        <w:t xml:space="preserve">cambios </w:t>
      </w:r>
      <w:r w:rsidR="00D027EF" w:rsidRPr="004161AA">
        <w:rPr>
          <w:iCs/>
          <w:sz w:val="24"/>
          <w:szCs w:val="24"/>
          <w:lang w:val="es-MX"/>
        </w:rPr>
        <w:t xml:space="preserve">que las entidades realicen </w:t>
      </w:r>
      <w:r w:rsidR="00A7434E" w:rsidRPr="004161AA">
        <w:rPr>
          <w:iCs/>
          <w:sz w:val="24"/>
          <w:szCs w:val="24"/>
          <w:lang w:val="es-MX"/>
        </w:rPr>
        <w:t>a</w:t>
      </w:r>
      <w:r w:rsidR="00717344" w:rsidRPr="004161AA">
        <w:rPr>
          <w:iCs/>
          <w:sz w:val="24"/>
          <w:szCs w:val="24"/>
          <w:lang w:val="es-MX"/>
        </w:rPr>
        <w:t xml:space="preserve"> las </w:t>
      </w:r>
      <w:r w:rsidRPr="004161AA">
        <w:rPr>
          <w:iCs/>
          <w:sz w:val="24"/>
          <w:szCs w:val="24"/>
          <w:lang w:val="es-MX"/>
        </w:rPr>
        <w:t>referidas políticas deberán ser remitidas por cada entidad a la Superintendencia en un plazo no mayor a diez días hábiles después de haber sido aprobadas por la instancia que se considere pertinente a efecto de que sean de aplicación inmediata, las cuales deberán ser ratificadas posteriormente por la Junta Directiva, Consejo de Administración o su equivalente según corresponda.</w:t>
      </w:r>
    </w:p>
    <w:p w14:paraId="18ABECF4" w14:textId="77777777" w:rsidR="00A84541" w:rsidRPr="004161AA" w:rsidRDefault="00A84541" w:rsidP="00A84541">
      <w:pPr>
        <w:pStyle w:val="Textoindependiente21"/>
        <w:ind w:firstLine="708"/>
        <w:rPr>
          <w:iCs/>
          <w:sz w:val="24"/>
          <w:szCs w:val="24"/>
          <w:lang w:val="es-MX"/>
        </w:rPr>
      </w:pPr>
    </w:p>
    <w:p w14:paraId="16AE17F2" w14:textId="375E3F29" w:rsidR="00A84541" w:rsidRDefault="00A84541" w:rsidP="00A84541">
      <w:pPr>
        <w:pStyle w:val="Textoindependiente21"/>
        <w:jc w:val="both"/>
        <w:rPr>
          <w:iCs/>
          <w:sz w:val="24"/>
          <w:szCs w:val="24"/>
          <w:lang w:val="es-MX"/>
        </w:rPr>
      </w:pPr>
      <w:r w:rsidRPr="004161AA">
        <w:rPr>
          <w:iCs/>
          <w:sz w:val="24"/>
          <w:szCs w:val="24"/>
          <w:lang w:val="es-MX"/>
        </w:rPr>
        <w:t xml:space="preserve">La implementación de dichas políticas </w:t>
      </w:r>
      <w:r w:rsidR="00F107C0" w:rsidRPr="004161AA">
        <w:rPr>
          <w:iCs/>
          <w:sz w:val="24"/>
          <w:szCs w:val="24"/>
          <w:lang w:val="es-MX"/>
        </w:rPr>
        <w:t>y sus modificaciones</w:t>
      </w:r>
      <w:r w:rsidR="00C92BF1" w:rsidRPr="004161AA">
        <w:rPr>
          <w:iCs/>
          <w:sz w:val="24"/>
          <w:szCs w:val="24"/>
          <w:lang w:val="es-MX"/>
        </w:rPr>
        <w:t xml:space="preserve"> s</w:t>
      </w:r>
      <w:r w:rsidR="0022750E" w:rsidRPr="004161AA">
        <w:rPr>
          <w:iCs/>
          <w:sz w:val="24"/>
          <w:szCs w:val="24"/>
          <w:lang w:val="es-MX"/>
        </w:rPr>
        <w:t>on</w:t>
      </w:r>
      <w:r w:rsidRPr="004161AA">
        <w:rPr>
          <w:iCs/>
          <w:sz w:val="24"/>
          <w:szCs w:val="24"/>
          <w:lang w:val="es-MX"/>
        </w:rPr>
        <w:t xml:space="preserve"> de carácter temporal, durante la vigencia de las presentes </w:t>
      </w:r>
      <w:r w:rsidR="009D5F9B" w:rsidRPr="004161AA">
        <w:rPr>
          <w:iCs/>
          <w:sz w:val="24"/>
          <w:szCs w:val="24"/>
          <w:lang w:val="es-MX"/>
        </w:rPr>
        <w:t>Normas</w:t>
      </w:r>
      <w:r w:rsidRPr="004161AA">
        <w:rPr>
          <w:iCs/>
          <w:sz w:val="24"/>
          <w:szCs w:val="24"/>
          <w:lang w:val="es-MX"/>
        </w:rPr>
        <w:t>.</w:t>
      </w:r>
    </w:p>
    <w:p w14:paraId="35A9DF69" w14:textId="50EC9EFA" w:rsidR="00DC4D4B" w:rsidRDefault="00DC4D4B" w:rsidP="00A84541">
      <w:pPr>
        <w:pStyle w:val="Textoindependiente21"/>
        <w:jc w:val="both"/>
        <w:rPr>
          <w:iCs/>
          <w:sz w:val="24"/>
          <w:szCs w:val="24"/>
          <w:lang w:val="es-MX"/>
        </w:rPr>
      </w:pPr>
    </w:p>
    <w:p w14:paraId="209BC2E0" w14:textId="1B5A368C" w:rsidR="00DC4D4B" w:rsidRPr="004161AA" w:rsidRDefault="00DC4D4B" w:rsidP="00A84541">
      <w:pPr>
        <w:pStyle w:val="Textoindependiente21"/>
        <w:jc w:val="both"/>
        <w:rPr>
          <w:iCs/>
          <w:sz w:val="24"/>
          <w:szCs w:val="24"/>
          <w:lang w:val="es-MX"/>
        </w:rPr>
      </w:pPr>
      <w:r>
        <w:rPr>
          <w:iCs/>
          <w:sz w:val="24"/>
          <w:szCs w:val="24"/>
          <w:lang w:val="es-MX"/>
        </w:rPr>
        <w:t>En todo caso las políticas a las que hace referencia este artículo deben ser acordes al marco legal vigente y en especial a la Ley de Protección al Consumidor.</w:t>
      </w:r>
    </w:p>
    <w:p w14:paraId="2FD96772" w14:textId="77777777" w:rsidR="00A84541" w:rsidRPr="004161AA" w:rsidRDefault="00A84541" w:rsidP="00A84541">
      <w:pPr>
        <w:pStyle w:val="Textoindependiente21"/>
        <w:ind w:firstLine="708"/>
        <w:jc w:val="both"/>
        <w:rPr>
          <w:i/>
          <w:iCs/>
          <w:sz w:val="24"/>
          <w:szCs w:val="24"/>
          <w:lang w:val="es-MX"/>
        </w:rPr>
      </w:pPr>
    </w:p>
    <w:p w14:paraId="426253A9" w14:textId="3538A36D" w:rsidR="00A84541" w:rsidRPr="004161AA" w:rsidRDefault="00A84541" w:rsidP="00A84541">
      <w:pPr>
        <w:pStyle w:val="Prrafodelista"/>
        <w:widowControl w:val="0"/>
        <w:numPr>
          <w:ilvl w:val="0"/>
          <w:numId w:val="26"/>
        </w:numPr>
        <w:ind w:left="0" w:firstLine="0"/>
        <w:contextualSpacing w:val="0"/>
        <w:outlineLvl w:val="0"/>
        <w:rPr>
          <w:rFonts w:ascii="Arial Narrow" w:hAnsi="Arial Narrow"/>
          <w:iCs/>
          <w:lang w:val="es-MX"/>
        </w:rPr>
      </w:pPr>
      <w:r w:rsidRPr="004161AA">
        <w:rPr>
          <w:rFonts w:ascii="Arial Narrow" w:hAnsi="Arial Narrow"/>
          <w:iCs/>
          <w:lang w:val="es-MX"/>
        </w:rPr>
        <w:t xml:space="preserve">Las entidades </w:t>
      </w:r>
      <w:r w:rsidR="00717344" w:rsidRPr="004161AA">
        <w:rPr>
          <w:rFonts w:ascii="Arial Narrow" w:hAnsi="Arial Narrow"/>
          <w:iCs/>
          <w:lang w:val="es-MX"/>
        </w:rPr>
        <w:t xml:space="preserve">podrán seguir </w:t>
      </w:r>
      <w:r w:rsidRPr="004161AA">
        <w:rPr>
          <w:rFonts w:ascii="Arial Narrow" w:hAnsi="Arial Narrow"/>
          <w:iCs/>
          <w:lang w:val="es-MX"/>
        </w:rPr>
        <w:t>implementa</w:t>
      </w:r>
      <w:r w:rsidR="00717344" w:rsidRPr="004161AA">
        <w:rPr>
          <w:rFonts w:ascii="Arial Narrow" w:hAnsi="Arial Narrow"/>
          <w:iCs/>
          <w:lang w:val="es-MX"/>
        </w:rPr>
        <w:t>ndo los</w:t>
      </w:r>
      <w:r w:rsidR="00E1193C" w:rsidRPr="004161AA">
        <w:rPr>
          <w:rFonts w:ascii="Arial Narrow" w:hAnsi="Arial Narrow"/>
          <w:iCs/>
          <w:lang w:val="es-MX"/>
        </w:rPr>
        <w:t xml:space="preserve"> </w:t>
      </w:r>
      <w:r w:rsidRPr="004161AA">
        <w:rPr>
          <w:rFonts w:ascii="Arial Narrow" w:hAnsi="Arial Narrow"/>
          <w:iCs/>
          <w:lang w:val="es-MX"/>
        </w:rPr>
        <w:t>procedimientos mediante los cuales podrán modificar las condiciones de los créditos acordados con los deudores, nuevas condiciones para el pago de las obligaciones, revisar los términos y condiciones de los préstamos, en materia de tasas de interés y plazos, lo cual le permitirá pactar y otorgar períodos de gracia manteniendo la categoría de riesgo, entre otros, siempre que se cumpla con las políticas extraordinarias establecidas por cada entidad de conformidad al artículo 4 de las presentes Normas.</w:t>
      </w:r>
    </w:p>
    <w:p w14:paraId="51304CAA" w14:textId="77777777" w:rsidR="00A84541" w:rsidRPr="004161AA" w:rsidRDefault="00A84541" w:rsidP="00A84541">
      <w:pPr>
        <w:rPr>
          <w:rFonts w:ascii="Arial Narrow" w:hAnsi="Arial Narrow"/>
          <w:iCs/>
          <w:lang w:val="es-MX"/>
        </w:rPr>
      </w:pPr>
    </w:p>
    <w:p w14:paraId="44FA0088" w14:textId="77777777" w:rsidR="00A84541" w:rsidRPr="004161AA" w:rsidRDefault="00A84541" w:rsidP="00A84541">
      <w:pPr>
        <w:rPr>
          <w:rFonts w:ascii="Arial Narrow" w:hAnsi="Arial Narrow"/>
          <w:iCs/>
          <w:lang w:val="es-MX"/>
        </w:rPr>
      </w:pPr>
      <w:r w:rsidRPr="004161AA">
        <w:rPr>
          <w:rFonts w:ascii="Arial Narrow" w:hAnsi="Arial Narrow"/>
          <w:iCs/>
          <w:lang w:val="es-MX"/>
        </w:rPr>
        <w:t>Antes de consolidar, reestructurar o refinanciar un crédito, deberá establecerse razonablemente que el mismo será recuperado bajo las nuevas condiciones.</w:t>
      </w:r>
    </w:p>
    <w:p w14:paraId="45F33507" w14:textId="77777777" w:rsidR="00A84541" w:rsidRPr="004161AA" w:rsidRDefault="00A84541" w:rsidP="00A84541">
      <w:pPr>
        <w:rPr>
          <w:rFonts w:ascii="Arial Narrow" w:hAnsi="Arial Narrow"/>
          <w:iCs/>
          <w:lang w:val="es-MX"/>
        </w:rPr>
      </w:pPr>
    </w:p>
    <w:p w14:paraId="1E461C4C" w14:textId="542833C7" w:rsidR="00A84541" w:rsidRDefault="00A84541" w:rsidP="00A84541">
      <w:pPr>
        <w:rPr>
          <w:rFonts w:ascii="Arial Narrow" w:hAnsi="Arial Narrow"/>
          <w:iCs/>
          <w:lang w:val="es-MX"/>
        </w:rPr>
      </w:pPr>
      <w:r w:rsidRPr="004161AA">
        <w:rPr>
          <w:rFonts w:ascii="Arial Narrow" w:hAnsi="Arial Narrow"/>
          <w:iCs/>
          <w:lang w:val="es-MX"/>
        </w:rPr>
        <w:t xml:space="preserve">Asimismo, las entidades </w:t>
      </w:r>
      <w:r w:rsidR="00C46452" w:rsidRPr="004161AA">
        <w:rPr>
          <w:rFonts w:ascii="Arial Narrow" w:hAnsi="Arial Narrow"/>
          <w:iCs/>
          <w:lang w:val="es-MX"/>
        </w:rPr>
        <w:t xml:space="preserve">deben seguir </w:t>
      </w:r>
      <w:r w:rsidRPr="004161AA">
        <w:rPr>
          <w:rFonts w:ascii="Arial Narrow" w:hAnsi="Arial Narrow"/>
          <w:iCs/>
          <w:lang w:val="es-MX"/>
        </w:rPr>
        <w:t>adopta</w:t>
      </w:r>
      <w:r w:rsidR="00C46452" w:rsidRPr="004161AA">
        <w:rPr>
          <w:rFonts w:ascii="Arial Narrow" w:hAnsi="Arial Narrow"/>
          <w:iCs/>
          <w:lang w:val="es-MX"/>
        </w:rPr>
        <w:t>ndo</w:t>
      </w:r>
      <w:r w:rsidRPr="004161AA">
        <w:rPr>
          <w:rFonts w:ascii="Arial Narrow" w:hAnsi="Arial Narrow"/>
          <w:iCs/>
          <w:lang w:val="es-MX"/>
        </w:rPr>
        <w:t xml:space="preserve"> los mecanismos necesarios para mantener la vigencia de las diferentes pólizas de seguros que dan cobertura a las obligaciones crediticias de las personas que se vean afectadas por la pandemia COVID-19.</w:t>
      </w:r>
    </w:p>
    <w:p w14:paraId="2557384E" w14:textId="1E17C81A" w:rsidR="00A72EF3" w:rsidRDefault="00A72EF3" w:rsidP="00A84541">
      <w:pPr>
        <w:rPr>
          <w:rFonts w:ascii="Arial Narrow" w:hAnsi="Arial Narrow"/>
          <w:iCs/>
          <w:lang w:val="es-MX"/>
        </w:rPr>
      </w:pPr>
    </w:p>
    <w:p w14:paraId="301EB66D" w14:textId="47BB9F74" w:rsidR="00A72EF3" w:rsidRPr="00A72EF3" w:rsidRDefault="00A72EF3" w:rsidP="00A72EF3">
      <w:pPr>
        <w:rPr>
          <w:rFonts w:ascii="Arial Narrow" w:hAnsi="Arial Narrow"/>
          <w:iCs/>
          <w:lang w:val="es-MX"/>
        </w:rPr>
      </w:pPr>
      <w:r w:rsidRPr="00A72EF3">
        <w:rPr>
          <w:rFonts w:ascii="Arial Narrow" w:hAnsi="Arial Narrow"/>
          <w:iCs/>
          <w:lang w:val="es-MX"/>
        </w:rPr>
        <w:t>No  deberán  formar  parte  de  la  cartera  acogida  a  las  disposiciones  extraordinarias establecidas en las presentes normas, aquellos créditos que durante la vigencia de las "Normas Técnicas Temporales para Enfrentar Incumplimientos y Obligaciones Contractuales</w:t>
      </w:r>
      <w:r>
        <w:rPr>
          <w:rFonts w:ascii="Arial Narrow" w:hAnsi="Arial Narrow"/>
          <w:iCs/>
          <w:lang w:val="es-MX"/>
        </w:rPr>
        <w:t>”</w:t>
      </w:r>
      <w:r w:rsidRPr="00A72EF3">
        <w:rPr>
          <w:rFonts w:ascii="Arial Narrow" w:hAnsi="Arial Narrow"/>
          <w:iCs/>
          <w:lang w:val="es-MX"/>
        </w:rPr>
        <w:t xml:space="preserve"> (NTIEIOC), hayan cumplido con las condiciones de pago pactadas previo a la emisión de las NTIEIOC. </w:t>
      </w:r>
    </w:p>
    <w:p w14:paraId="02B83F6B" w14:textId="77777777" w:rsidR="00A84541" w:rsidRPr="004161AA" w:rsidRDefault="00A84541" w:rsidP="00A84541">
      <w:pPr>
        <w:rPr>
          <w:rFonts w:ascii="Arial Narrow" w:hAnsi="Arial Narrow"/>
          <w:iCs/>
          <w:lang w:val="es-MX"/>
        </w:rPr>
      </w:pPr>
    </w:p>
    <w:p w14:paraId="71659B00" w14:textId="74401019" w:rsidR="00A84541" w:rsidRPr="004161AA" w:rsidRDefault="00A84541" w:rsidP="00A84541">
      <w:pPr>
        <w:pStyle w:val="Prrafodelista"/>
        <w:widowControl w:val="0"/>
        <w:numPr>
          <w:ilvl w:val="0"/>
          <w:numId w:val="26"/>
        </w:numPr>
        <w:ind w:left="0" w:firstLine="0"/>
        <w:contextualSpacing w:val="0"/>
        <w:outlineLvl w:val="0"/>
        <w:rPr>
          <w:rFonts w:ascii="Arial Narrow" w:hAnsi="Arial Narrow"/>
          <w:iCs/>
          <w:lang w:val="es-MX"/>
        </w:rPr>
      </w:pPr>
      <w:r w:rsidRPr="004161AA">
        <w:rPr>
          <w:rFonts w:ascii="Arial Narrow" w:hAnsi="Arial Narrow"/>
          <w:iCs/>
          <w:lang w:val="es-MX"/>
        </w:rPr>
        <w:t xml:space="preserve">Para el caso de nuevos otorgamientos de créditos, la entidad </w:t>
      </w:r>
      <w:r w:rsidR="001C503D">
        <w:rPr>
          <w:rFonts w:ascii="Arial Narrow" w:hAnsi="Arial Narrow"/>
          <w:iCs/>
          <w:lang w:val="es-MX"/>
        </w:rPr>
        <w:t>podrá</w:t>
      </w:r>
      <w:r w:rsidR="00C46452" w:rsidRPr="004161AA">
        <w:rPr>
          <w:rFonts w:ascii="Arial Narrow" w:hAnsi="Arial Narrow"/>
          <w:iCs/>
          <w:lang w:val="es-MX"/>
        </w:rPr>
        <w:t xml:space="preserve"> </w:t>
      </w:r>
      <w:r w:rsidRPr="004161AA">
        <w:rPr>
          <w:rFonts w:ascii="Arial Narrow" w:hAnsi="Arial Narrow"/>
          <w:iCs/>
          <w:lang w:val="es-MX"/>
        </w:rPr>
        <w:t xml:space="preserve">considerar las políticas extraordinarias y las presentes </w:t>
      </w:r>
      <w:r w:rsidR="009D5F9B" w:rsidRPr="004161AA">
        <w:rPr>
          <w:rFonts w:ascii="Arial Narrow" w:hAnsi="Arial Narrow"/>
          <w:iCs/>
          <w:lang w:val="es-MX"/>
        </w:rPr>
        <w:t>Normas</w:t>
      </w:r>
      <w:r w:rsidRPr="004161AA">
        <w:rPr>
          <w:rFonts w:ascii="Arial Narrow" w:hAnsi="Arial Narrow"/>
          <w:iCs/>
          <w:lang w:val="es-MX"/>
        </w:rPr>
        <w:t xml:space="preserve">, con la finalidad de mantener la estabilidad económica y financiera de los diferentes sectores. </w:t>
      </w:r>
    </w:p>
    <w:p w14:paraId="61F83281" w14:textId="77777777" w:rsidR="00A84541" w:rsidRPr="004161AA" w:rsidRDefault="00A84541" w:rsidP="00A84541">
      <w:pPr>
        <w:widowControl w:val="0"/>
        <w:outlineLvl w:val="0"/>
        <w:rPr>
          <w:rFonts w:ascii="Arial Narrow" w:hAnsi="Arial Narrow"/>
          <w:iCs/>
          <w:lang w:val="es-MX"/>
        </w:rPr>
      </w:pPr>
    </w:p>
    <w:p w14:paraId="09B6782D" w14:textId="77777777" w:rsidR="00A84541" w:rsidRPr="004161AA" w:rsidRDefault="00A84541" w:rsidP="00A84541">
      <w:pPr>
        <w:rPr>
          <w:rFonts w:ascii="Arial Narrow" w:hAnsi="Arial Narrow"/>
          <w:b/>
          <w:bCs/>
          <w:lang w:val="es-MX"/>
        </w:rPr>
      </w:pPr>
      <w:r w:rsidRPr="004161AA">
        <w:rPr>
          <w:rFonts w:ascii="Arial Narrow" w:hAnsi="Arial Narrow"/>
          <w:b/>
          <w:bCs/>
          <w:lang w:val="es-MX"/>
        </w:rPr>
        <w:t>Categorías de riesgo</w:t>
      </w:r>
    </w:p>
    <w:p w14:paraId="1F12D2D3" w14:textId="613451DD" w:rsidR="006D2B18" w:rsidRPr="004161AA" w:rsidRDefault="00A84541" w:rsidP="00C923DB">
      <w:pPr>
        <w:pStyle w:val="Prrafodelista"/>
        <w:widowControl w:val="0"/>
        <w:numPr>
          <w:ilvl w:val="0"/>
          <w:numId w:val="26"/>
        </w:numPr>
        <w:shd w:val="clear" w:color="auto" w:fill="FFFFFF" w:themeFill="background1"/>
        <w:ind w:left="0" w:firstLine="0"/>
        <w:contextualSpacing w:val="0"/>
        <w:outlineLvl w:val="0"/>
        <w:rPr>
          <w:rFonts w:ascii="Arial Narrow" w:hAnsi="Arial Narrow"/>
          <w:lang w:val="es-MX"/>
        </w:rPr>
      </w:pPr>
      <w:r w:rsidRPr="004161AA">
        <w:rPr>
          <w:rFonts w:ascii="Arial Narrow" w:hAnsi="Arial Narrow"/>
          <w:lang w:val="es-MX"/>
        </w:rPr>
        <w:t>Las personas que se vean imposibilitadas de cumplir con sus obligaciones crediticias a raíz de la pandemia COVID-19, conservarán la categoría de riesgo que presenta al momento de aplicarle la medida</w:t>
      </w:r>
      <w:r w:rsidR="00194F6E" w:rsidRPr="004161AA">
        <w:rPr>
          <w:rFonts w:ascii="Arial Narrow" w:hAnsi="Arial Narrow"/>
          <w:lang w:val="es-MX"/>
        </w:rPr>
        <w:t xml:space="preserve"> establecida en la polí</w:t>
      </w:r>
      <w:r w:rsidR="00A1696D" w:rsidRPr="004161AA">
        <w:rPr>
          <w:rFonts w:ascii="Arial Narrow" w:hAnsi="Arial Narrow"/>
          <w:lang w:val="es-MX"/>
        </w:rPr>
        <w:t>ti</w:t>
      </w:r>
      <w:r w:rsidR="00194F6E" w:rsidRPr="004161AA">
        <w:rPr>
          <w:rFonts w:ascii="Arial Narrow" w:hAnsi="Arial Narrow"/>
          <w:lang w:val="es-MX"/>
        </w:rPr>
        <w:t>ca de la entidad</w:t>
      </w:r>
      <w:r w:rsidRPr="004161AA">
        <w:rPr>
          <w:rFonts w:ascii="Arial Narrow" w:hAnsi="Arial Narrow"/>
          <w:lang w:val="es-MX"/>
        </w:rPr>
        <w:t>, no obstante, incumplan las condiciones de pago previamente convenidas. Asimismo, se</w:t>
      </w:r>
      <w:r w:rsidR="00F02827" w:rsidRPr="004161AA">
        <w:rPr>
          <w:rFonts w:ascii="Arial Narrow" w:hAnsi="Arial Narrow"/>
          <w:lang w:val="es-MX"/>
        </w:rPr>
        <w:t xml:space="preserve"> </w:t>
      </w:r>
      <w:r w:rsidR="00C746B4" w:rsidRPr="004161AA">
        <w:rPr>
          <w:rFonts w:ascii="Arial Narrow" w:hAnsi="Arial Narrow"/>
          <w:lang w:val="es-MX"/>
        </w:rPr>
        <w:t>s</w:t>
      </w:r>
      <w:r w:rsidR="000838B0" w:rsidRPr="004161AA">
        <w:rPr>
          <w:rFonts w:ascii="Arial Narrow" w:hAnsi="Arial Narrow"/>
          <w:lang w:val="es-MX"/>
        </w:rPr>
        <w:t>uspenderá el conteo de los días mora</w:t>
      </w:r>
      <w:r w:rsidR="00C746B4" w:rsidRPr="004161AA">
        <w:rPr>
          <w:rFonts w:ascii="Arial Narrow" w:hAnsi="Arial Narrow"/>
          <w:lang w:val="es-MX"/>
        </w:rPr>
        <w:t xml:space="preserve"> </w:t>
      </w:r>
      <w:r w:rsidR="00C923DB" w:rsidRPr="004161AA">
        <w:rPr>
          <w:rFonts w:ascii="Arial Narrow" w:hAnsi="Arial Narrow"/>
          <w:lang w:val="es-MX"/>
        </w:rPr>
        <w:t>durante la vigencia de las presentes Normas.</w:t>
      </w:r>
    </w:p>
    <w:p w14:paraId="0F913842" w14:textId="77777777" w:rsidR="00C66D66" w:rsidRPr="004161AA" w:rsidRDefault="00C66D66" w:rsidP="00A84541">
      <w:pPr>
        <w:rPr>
          <w:rFonts w:ascii="Arial Narrow" w:hAnsi="Arial Narrow"/>
          <w:lang w:val="es-MX"/>
        </w:rPr>
      </w:pPr>
    </w:p>
    <w:p w14:paraId="0A6E086E" w14:textId="7A1B8379" w:rsidR="00A84541" w:rsidRPr="004161AA" w:rsidRDefault="00A84541" w:rsidP="00A84541">
      <w:pPr>
        <w:rPr>
          <w:rFonts w:ascii="Arial Narrow" w:hAnsi="Arial Narrow"/>
          <w:lang w:val="es-MX"/>
        </w:rPr>
      </w:pPr>
      <w:r w:rsidRPr="004161AA">
        <w:rPr>
          <w:rFonts w:ascii="Arial Narrow" w:hAnsi="Arial Narrow"/>
          <w:lang w:val="es-MX"/>
        </w:rPr>
        <w:t>En el caso que la entidad opte por refinanciar créditos, no será condición necesaria exigir el pago de los intereses pendientes para mantener la misma categoría de riesgo, tal como lo estipula el artículo</w:t>
      </w:r>
      <w:r w:rsidR="00A1696D" w:rsidRPr="004161AA">
        <w:rPr>
          <w:rFonts w:ascii="Arial Narrow" w:hAnsi="Arial Narrow"/>
          <w:lang w:val="es-MX"/>
        </w:rPr>
        <w:t xml:space="preserve"> </w:t>
      </w:r>
      <w:r w:rsidRPr="004161AA">
        <w:rPr>
          <w:rFonts w:ascii="Arial Narrow" w:hAnsi="Arial Narrow"/>
          <w:lang w:val="es-MX"/>
        </w:rPr>
        <w:t>21 de las NCB-022.</w:t>
      </w:r>
      <w:r w:rsidR="00F02827" w:rsidRPr="004161AA">
        <w:rPr>
          <w:rFonts w:ascii="Arial Narrow" w:hAnsi="Arial Narrow"/>
          <w:lang w:val="es-MX"/>
        </w:rPr>
        <w:t xml:space="preserve"> </w:t>
      </w:r>
      <w:r w:rsidRPr="004161AA">
        <w:rPr>
          <w:rFonts w:ascii="Arial Narrow" w:hAnsi="Arial Narrow"/>
          <w:lang w:val="es-MX"/>
        </w:rPr>
        <w:t>Asimismo, no será aplicable lo establecido en el Anexo No.3 “Criterios para la Evaluación y Clasificación de Deudores de Créditos para Empresa”, de las referidas Normas, durante la vigencia de estas Normas Temporales.</w:t>
      </w:r>
    </w:p>
    <w:p w14:paraId="3A461291" w14:textId="77777777" w:rsidR="00A84541" w:rsidRPr="004161AA" w:rsidRDefault="00A84541" w:rsidP="00A84541">
      <w:pPr>
        <w:rPr>
          <w:rFonts w:ascii="Arial Narrow" w:hAnsi="Arial Narrow"/>
          <w:lang w:val="es-MX"/>
        </w:rPr>
      </w:pPr>
    </w:p>
    <w:p w14:paraId="2D431DC4" w14:textId="39F10C05" w:rsidR="00A84541" w:rsidRPr="004161AA" w:rsidRDefault="00A84541" w:rsidP="00A84541">
      <w:pPr>
        <w:pStyle w:val="Prrafodelista"/>
        <w:widowControl w:val="0"/>
        <w:numPr>
          <w:ilvl w:val="0"/>
          <w:numId w:val="26"/>
        </w:numPr>
        <w:ind w:left="0" w:firstLine="0"/>
        <w:contextualSpacing w:val="0"/>
        <w:outlineLvl w:val="0"/>
        <w:rPr>
          <w:rFonts w:ascii="Arial Narrow" w:hAnsi="Arial Narrow"/>
          <w:b/>
          <w:lang w:val="es-MX"/>
        </w:rPr>
      </w:pPr>
      <w:r w:rsidRPr="004161AA">
        <w:rPr>
          <w:rFonts w:ascii="Arial Narrow" w:hAnsi="Arial Narrow"/>
          <w:lang w:val="es-MX"/>
        </w:rPr>
        <w:t xml:space="preserve">El plazo de valoración pericial de las garantías hipotecarias existentes a la fecha de implementación de las </w:t>
      </w:r>
      <w:r w:rsidR="00FC63BB" w:rsidRPr="004161AA">
        <w:rPr>
          <w:rFonts w:ascii="Arial Narrow" w:hAnsi="Arial Narrow"/>
          <w:lang w:val="es-MX"/>
        </w:rPr>
        <w:t xml:space="preserve">presentes </w:t>
      </w:r>
      <w:r w:rsidRPr="004161AA">
        <w:rPr>
          <w:rFonts w:ascii="Arial Narrow" w:hAnsi="Arial Narrow"/>
          <w:lang w:val="es-MX"/>
        </w:rPr>
        <w:t>Normas, no se considerará vencido, durante la vigencia de las mismas, manteniendo las características establecidas en el artículo 16 de la NCB-022. Por tanto, no será necesario realizar la actualización de los referidos val</w:t>
      </w:r>
      <w:r w:rsidR="00A1696D" w:rsidRPr="004161AA">
        <w:rPr>
          <w:rFonts w:ascii="Arial Narrow" w:hAnsi="Arial Narrow"/>
          <w:lang w:val="es-MX"/>
        </w:rPr>
        <w:t>ú</w:t>
      </w:r>
      <w:r w:rsidRPr="004161AA">
        <w:rPr>
          <w:rFonts w:ascii="Arial Narrow" w:hAnsi="Arial Narrow"/>
          <w:lang w:val="es-MX"/>
        </w:rPr>
        <w:t>os.</w:t>
      </w:r>
    </w:p>
    <w:p w14:paraId="02D9C0EC" w14:textId="77777777" w:rsidR="00A84541" w:rsidRPr="004161AA" w:rsidRDefault="00A84541" w:rsidP="00A84541">
      <w:pPr>
        <w:rPr>
          <w:rFonts w:ascii="Arial Narrow" w:hAnsi="Arial Narrow"/>
          <w:lang w:val="es-MX"/>
        </w:rPr>
      </w:pPr>
      <w:r w:rsidRPr="004161AA">
        <w:rPr>
          <w:rFonts w:ascii="Arial Narrow" w:hAnsi="Arial Narrow"/>
          <w:lang w:val="es-MX"/>
        </w:rPr>
        <w:tab/>
      </w:r>
    </w:p>
    <w:p w14:paraId="76CAD39B" w14:textId="2C1F1943" w:rsidR="00A84541" w:rsidRPr="00B34B7E" w:rsidRDefault="00A84541" w:rsidP="00B269D6">
      <w:pPr>
        <w:pStyle w:val="Prrafodelista"/>
        <w:widowControl w:val="0"/>
        <w:numPr>
          <w:ilvl w:val="0"/>
          <w:numId w:val="26"/>
        </w:numPr>
        <w:ind w:left="0" w:firstLine="0"/>
        <w:contextualSpacing w:val="0"/>
        <w:outlineLvl w:val="0"/>
        <w:rPr>
          <w:rFonts w:ascii="Arial Narrow" w:hAnsi="Arial Narrow"/>
        </w:rPr>
      </w:pPr>
      <w:r w:rsidRPr="004161AA">
        <w:rPr>
          <w:rFonts w:ascii="Arial Narrow" w:hAnsi="Arial Narrow"/>
          <w:lang w:val="es-MX"/>
        </w:rPr>
        <w:t>Las entidades que apliquen las presentes Normas deberán contar con un registro separado y actualizado de los deudores y operaciones crediticias que han sido sujetos de los beneficios de estas Normas</w:t>
      </w:r>
      <w:r w:rsidR="00B269D6" w:rsidRPr="004161AA">
        <w:rPr>
          <w:rFonts w:ascii="Arial Narrow" w:hAnsi="Arial Narrow"/>
          <w:lang w:val="es-MX"/>
        </w:rPr>
        <w:t>; dichos registros</w:t>
      </w:r>
      <w:r w:rsidR="004D4F0C" w:rsidRPr="004161AA">
        <w:rPr>
          <w:rFonts w:ascii="Arial Narrow" w:hAnsi="Arial Narrow"/>
          <w:lang w:val="es-MX"/>
        </w:rPr>
        <w:t xml:space="preserve"> </w:t>
      </w:r>
      <w:r w:rsidR="00B269D6" w:rsidRPr="004161AA">
        <w:rPr>
          <w:rFonts w:ascii="Arial Narrow" w:hAnsi="Arial Narrow"/>
          <w:lang w:val="es-MX"/>
        </w:rPr>
        <w:t>deberán quedar adecuadamente identificados en sus sistemas computacionales y deberá</w:t>
      </w:r>
      <w:r w:rsidR="00D47493" w:rsidRPr="004161AA">
        <w:rPr>
          <w:rFonts w:ascii="Arial Narrow" w:hAnsi="Arial Narrow"/>
          <w:lang w:val="es-MX"/>
        </w:rPr>
        <w:t>n</w:t>
      </w:r>
      <w:r w:rsidR="00B269D6" w:rsidRPr="004161AA">
        <w:rPr>
          <w:rFonts w:ascii="Arial Narrow" w:hAnsi="Arial Narrow"/>
          <w:lang w:val="es-MX"/>
        </w:rPr>
        <w:t xml:space="preserve"> remitirlos </w:t>
      </w:r>
      <w:r w:rsidR="004D4F0C" w:rsidRPr="004161AA">
        <w:rPr>
          <w:rFonts w:ascii="Arial Narrow" w:hAnsi="Arial Narrow"/>
          <w:lang w:val="es-MX"/>
        </w:rPr>
        <w:t xml:space="preserve">en los primeros 10 días de cada mes </w:t>
      </w:r>
      <w:r w:rsidR="00B269D6" w:rsidRPr="004161AA">
        <w:rPr>
          <w:rFonts w:ascii="Arial Narrow" w:hAnsi="Arial Narrow"/>
          <w:lang w:val="es-MX"/>
        </w:rPr>
        <w:t>a</w:t>
      </w:r>
      <w:r w:rsidR="00D47493" w:rsidRPr="004161AA">
        <w:rPr>
          <w:rFonts w:ascii="Arial Narrow" w:hAnsi="Arial Narrow"/>
          <w:lang w:val="es-MX"/>
        </w:rPr>
        <w:t xml:space="preserve"> la Superintendencia</w:t>
      </w:r>
      <w:r w:rsidR="00C46452" w:rsidRPr="004161AA">
        <w:rPr>
          <w:rFonts w:ascii="Arial Narrow" w:hAnsi="Arial Narrow"/>
          <w:lang w:val="es-MX"/>
        </w:rPr>
        <w:t xml:space="preserve">; de acuerdo </w:t>
      </w:r>
      <w:r w:rsidR="00D708BD" w:rsidRPr="004161AA">
        <w:rPr>
          <w:rFonts w:ascii="Arial Narrow" w:hAnsi="Arial Narrow"/>
          <w:lang w:val="es-MX"/>
        </w:rPr>
        <w:t>con</w:t>
      </w:r>
      <w:r w:rsidR="00C46452" w:rsidRPr="004161AA">
        <w:rPr>
          <w:rFonts w:ascii="Arial Narrow" w:hAnsi="Arial Narrow"/>
          <w:lang w:val="es-MX"/>
        </w:rPr>
        <w:t xml:space="preserve"> lo establecido en l</w:t>
      </w:r>
      <w:r w:rsidR="008B5AD8">
        <w:rPr>
          <w:rFonts w:ascii="Arial Narrow" w:hAnsi="Arial Narrow"/>
          <w:lang w:val="es-MX"/>
        </w:rPr>
        <w:t>os</w:t>
      </w:r>
      <w:r w:rsidR="00C46452" w:rsidRPr="004161AA">
        <w:rPr>
          <w:rFonts w:ascii="Arial Narrow" w:hAnsi="Arial Narrow"/>
          <w:lang w:val="es-MX"/>
        </w:rPr>
        <w:t xml:space="preserve"> Anexo</w:t>
      </w:r>
      <w:r w:rsidR="008B5AD8">
        <w:rPr>
          <w:rFonts w:ascii="Arial Narrow" w:hAnsi="Arial Narrow"/>
          <w:lang w:val="es-MX"/>
        </w:rPr>
        <w:t>s</w:t>
      </w:r>
      <w:r w:rsidR="00C46452" w:rsidRPr="004161AA">
        <w:rPr>
          <w:rFonts w:ascii="Arial Narrow" w:hAnsi="Arial Narrow"/>
          <w:lang w:val="es-MX"/>
        </w:rPr>
        <w:t xml:space="preserve"> </w:t>
      </w:r>
      <w:r w:rsidR="008B5AD8">
        <w:rPr>
          <w:rFonts w:ascii="Arial Narrow" w:hAnsi="Arial Narrow"/>
          <w:lang w:val="es-MX"/>
        </w:rPr>
        <w:t>No.</w:t>
      </w:r>
      <w:r w:rsidR="00C46452" w:rsidRPr="004161AA">
        <w:rPr>
          <w:rFonts w:ascii="Arial Narrow" w:hAnsi="Arial Narrow"/>
          <w:lang w:val="es-MX"/>
        </w:rPr>
        <w:t>2</w:t>
      </w:r>
      <w:r w:rsidR="00DC4D4B">
        <w:rPr>
          <w:rFonts w:ascii="Arial Narrow" w:hAnsi="Arial Narrow"/>
          <w:lang w:val="es-MX"/>
        </w:rPr>
        <w:t xml:space="preserve">, </w:t>
      </w:r>
      <w:r w:rsidR="008B5AD8">
        <w:rPr>
          <w:rFonts w:ascii="Arial Narrow" w:hAnsi="Arial Narrow"/>
          <w:lang w:val="es-MX"/>
        </w:rPr>
        <w:t>No.3,</w:t>
      </w:r>
      <w:r w:rsidR="00DC4D4B">
        <w:rPr>
          <w:rFonts w:ascii="Arial Narrow" w:hAnsi="Arial Narrow"/>
          <w:lang w:val="es-MX"/>
        </w:rPr>
        <w:t xml:space="preserve"> No. 4 y No. 5</w:t>
      </w:r>
      <w:r w:rsidR="00C46452" w:rsidRPr="004161AA">
        <w:rPr>
          <w:rFonts w:ascii="Arial Narrow" w:hAnsi="Arial Narrow"/>
          <w:lang w:val="es-MX"/>
        </w:rPr>
        <w:t xml:space="preserve"> de las presentes Normas</w:t>
      </w:r>
      <w:r w:rsidRPr="004161AA">
        <w:rPr>
          <w:rFonts w:ascii="Arial Narrow" w:hAnsi="Arial Narrow"/>
          <w:lang w:val="es-MX"/>
        </w:rPr>
        <w:t>.</w:t>
      </w:r>
    </w:p>
    <w:p w14:paraId="0C5092A5" w14:textId="77777777" w:rsidR="00B34B7E" w:rsidRPr="00B34B7E" w:rsidRDefault="00B34B7E" w:rsidP="00B34B7E">
      <w:pPr>
        <w:pStyle w:val="Prrafodelista"/>
        <w:rPr>
          <w:rFonts w:ascii="Arial Narrow" w:hAnsi="Arial Narrow"/>
        </w:rPr>
      </w:pPr>
    </w:p>
    <w:p w14:paraId="1D70D2B8" w14:textId="38372A4B" w:rsidR="00B34B7E" w:rsidRPr="004161AA" w:rsidRDefault="00DC4D4B" w:rsidP="00B34B7E">
      <w:pPr>
        <w:pStyle w:val="Prrafodelista"/>
        <w:widowControl w:val="0"/>
        <w:ind w:left="0"/>
        <w:contextualSpacing w:val="0"/>
        <w:outlineLvl w:val="0"/>
        <w:rPr>
          <w:rFonts w:ascii="Arial Narrow" w:hAnsi="Arial Narrow"/>
        </w:rPr>
      </w:pPr>
      <w:r>
        <w:rPr>
          <w:rFonts w:ascii="Arial Narrow" w:hAnsi="Arial Narrow"/>
        </w:rPr>
        <w:t>Los</w:t>
      </w:r>
      <w:r w:rsidR="00B34B7E">
        <w:rPr>
          <w:rFonts w:ascii="Arial Narrow" w:hAnsi="Arial Narrow"/>
        </w:rPr>
        <w:t xml:space="preserve"> Anexo</w:t>
      </w:r>
      <w:r>
        <w:rPr>
          <w:rFonts w:ascii="Arial Narrow" w:hAnsi="Arial Narrow"/>
        </w:rPr>
        <w:t>s</w:t>
      </w:r>
      <w:r w:rsidR="00B34B7E">
        <w:rPr>
          <w:rFonts w:ascii="Arial Narrow" w:hAnsi="Arial Narrow"/>
        </w:rPr>
        <w:t xml:space="preserve"> No. 3</w:t>
      </w:r>
      <w:r>
        <w:rPr>
          <w:rFonts w:ascii="Arial Narrow" w:hAnsi="Arial Narrow"/>
        </w:rPr>
        <w:t>, No. 4 y No. 5</w:t>
      </w:r>
      <w:r w:rsidR="00B34B7E">
        <w:rPr>
          <w:rFonts w:ascii="Arial Narrow" w:hAnsi="Arial Narrow"/>
        </w:rPr>
        <w:t xml:space="preserve"> también deberá</w:t>
      </w:r>
      <w:r>
        <w:rPr>
          <w:rFonts w:ascii="Arial Narrow" w:hAnsi="Arial Narrow"/>
        </w:rPr>
        <w:t>n</w:t>
      </w:r>
      <w:r w:rsidR="00B34B7E">
        <w:rPr>
          <w:rFonts w:ascii="Arial Narrow" w:hAnsi="Arial Narrow"/>
        </w:rPr>
        <w:t xml:space="preserve"> ser enviado</w:t>
      </w:r>
      <w:r>
        <w:rPr>
          <w:rFonts w:ascii="Arial Narrow" w:hAnsi="Arial Narrow"/>
        </w:rPr>
        <w:t>s</w:t>
      </w:r>
      <w:r w:rsidR="00B34B7E">
        <w:rPr>
          <w:rFonts w:ascii="Arial Narrow" w:hAnsi="Arial Narrow"/>
        </w:rPr>
        <w:t xml:space="preserve"> al Banco Central en los primeros 10 días de cada mes, al correo: </w:t>
      </w:r>
      <w:hyperlink r:id="rId13" w:history="1">
        <w:r w:rsidR="00B34B7E" w:rsidRPr="00794426">
          <w:rPr>
            <w:rStyle w:val="Hipervnculo"/>
            <w:rFonts w:ascii="Arial Narrow" w:hAnsi="Arial Narrow"/>
          </w:rPr>
          <w:t>normas@bcr.gob.sv</w:t>
        </w:r>
      </w:hyperlink>
      <w:r w:rsidR="00B34B7E">
        <w:rPr>
          <w:rFonts w:ascii="Arial Narrow" w:hAnsi="Arial Narrow"/>
        </w:rPr>
        <w:t xml:space="preserve"> </w:t>
      </w:r>
    </w:p>
    <w:p w14:paraId="5E24D227" w14:textId="747A2B17" w:rsidR="00A84541" w:rsidRDefault="00A84541" w:rsidP="00A84541">
      <w:pPr>
        <w:pStyle w:val="Prrafodelista"/>
        <w:widowControl w:val="0"/>
        <w:ind w:left="0"/>
        <w:rPr>
          <w:rFonts w:ascii="Arial Narrow" w:hAnsi="Arial Narrow"/>
        </w:rPr>
      </w:pPr>
    </w:p>
    <w:p w14:paraId="0DD403A0" w14:textId="6B00FFA0" w:rsidR="00A72EF3" w:rsidRPr="00A72EF3" w:rsidRDefault="004B478D" w:rsidP="00A84541">
      <w:pPr>
        <w:pStyle w:val="Prrafodelista"/>
        <w:widowControl w:val="0"/>
        <w:ind w:left="0"/>
        <w:rPr>
          <w:rFonts w:ascii="Arial Narrow" w:hAnsi="Arial Narrow"/>
          <w:b/>
          <w:bCs/>
        </w:rPr>
      </w:pPr>
      <w:r>
        <w:rPr>
          <w:rFonts w:ascii="Arial Narrow" w:hAnsi="Arial Narrow"/>
          <w:b/>
          <w:bCs/>
        </w:rPr>
        <w:t>D</w:t>
      </w:r>
      <w:r w:rsidR="00A72EF3" w:rsidRPr="00A72EF3">
        <w:rPr>
          <w:rFonts w:ascii="Arial Narrow" w:hAnsi="Arial Narrow"/>
          <w:b/>
          <w:bCs/>
        </w:rPr>
        <w:t xml:space="preserve">etalles </w:t>
      </w:r>
      <w:r w:rsidR="00A72EF3">
        <w:rPr>
          <w:rFonts w:ascii="Arial Narrow" w:hAnsi="Arial Narrow"/>
          <w:b/>
          <w:bCs/>
        </w:rPr>
        <w:t>t</w:t>
      </w:r>
      <w:r w:rsidR="00A72EF3" w:rsidRPr="00A72EF3">
        <w:rPr>
          <w:rFonts w:ascii="Arial Narrow" w:hAnsi="Arial Narrow"/>
          <w:b/>
          <w:bCs/>
        </w:rPr>
        <w:t>écnicos</w:t>
      </w:r>
      <w:r>
        <w:rPr>
          <w:rFonts w:ascii="Arial Narrow" w:hAnsi="Arial Narrow"/>
          <w:b/>
          <w:bCs/>
        </w:rPr>
        <w:t xml:space="preserve"> del envío de información</w:t>
      </w:r>
    </w:p>
    <w:p w14:paraId="698BB5E3" w14:textId="23A9A2AD" w:rsidR="00A72EF3" w:rsidRDefault="00A72EF3" w:rsidP="00A72EF3">
      <w:pPr>
        <w:pStyle w:val="Prrafodelista"/>
        <w:widowControl w:val="0"/>
        <w:numPr>
          <w:ilvl w:val="0"/>
          <w:numId w:val="26"/>
        </w:numPr>
        <w:tabs>
          <w:tab w:val="left" w:pos="851"/>
        </w:tabs>
        <w:ind w:left="0" w:firstLine="0"/>
        <w:contextualSpacing w:val="0"/>
        <w:outlineLvl w:val="0"/>
        <w:rPr>
          <w:rFonts w:ascii="Arial Narrow" w:hAnsi="Arial Narrow"/>
        </w:rPr>
      </w:pPr>
      <w:r w:rsidRPr="00A72EF3">
        <w:rPr>
          <w:rFonts w:ascii="Arial Narrow" w:hAnsi="Arial Narrow"/>
          <w:lang w:val="en-US"/>
        </w:rPr>
        <w:t>La Superintendencia remitirá a las entidades, en un plazo máximo de siete días posteriores a la fecha de entrada en vigencia de las presentes Normas, con copia al Banco Central, los detalles técnicos relacionados con el envío de la información requerida. Los requerimientos de información se circunscribirán a la recopilación de información conforme lo regulado en las presentes Normas.</w:t>
      </w:r>
    </w:p>
    <w:p w14:paraId="0344CCE2" w14:textId="49A87787" w:rsidR="00A72EF3" w:rsidRDefault="00A72EF3" w:rsidP="00A84541">
      <w:pPr>
        <w:pStyle w:val="Prrafodelista"/>
        <w:widowControl w:val="0"/>
        <w:ind w:left="0"/>
        <w:rPr>
          <w:rFonts w:ascii="Arial Narrow" w:hAnsi="Arial Narrow"/>
        </w:rPr>
      </w:pPr>
    </w:p>
    <w:p w14:paraId="03E2E8B7" w14:textId="13F76DEF" w:rsidR="009D5F9B" w:rsidRPr="00614222" w:rsidRDefault="009D5F9B" w:rsidP="006B1F0E">
      <w:pPr>
        <w:rPr>
          <w:rFonts w:ascii="Arial Narrow" w:hAnsi="Arial Narrow"/>
          <w:b/>
          <w:iCs/>
          <w:spacing w:val="-3"/>
          <w:highlight w:val="yellow"/>
        </w:rPr>
      </w:pPr>
    </w:p>
    <w:p w14:paraId="1E8C1C62" w14:textId="20AF9A3D" w:rsidR="00A84541" w:rsidRPr="004161AA" w:rsidRDefault="00A84541" w:rsidP="009D5F9B">
      <w:pPr>
        <w:jc w:val="center"/>
        <w:rPr>
          <w:rFonts w:ascii="Arial Narrow" w:hAnsi="Arial Narrow"/>
          <w:b/>
          <w:iCs/>
          <w:spacing w:val="-3"/>
        </w:rPr>
      </w:pPr>
      <w:r w:rsidRPr="003D5703">
        <w:rPr>
          <w:rFonts w:ascii="Arial Narrow" w:hAnsi="Arial Narrow"/>
          <w:b/>
          <w:iCs/>
          <w:spacing w:val="-3"/>
        </w:rPr>
        <w:t xml:space="preserve">CAPÍTULO </w:t>
      </w:r>
      <w:r w:rsidR="006B1F0E" w:rsidRPr="003D5703">
        <w:rPr>
          <w:rFonts w:ascii="Arial Narrow" w:hAnsi="Arial Narrow"/>
          <w:b/>
          <w:iCs/>
          <w:spacing w:val="-3"/>
        </w:rPr>
        <w:t>III</w:t>
      </w:r>
    </w:p>
    <w:p w14:paraId="0029AC27" w14:textId="77777777" w:rsidR="00A84541" w:rsidRPr="004161AA" w:rsidRDefault="00A84541" w:rsidP="00A84541">
      <w:pPr>
        <w:tabs>
          <w:tab w:val="left" w:pos="-720"/>
          <w:tab w:val="left" w:pos="0"/>
        </w:tabs>
        <w:suppressAutoHyphens/>
        <w:jc w:val="center"/>
        <w:rPr>
          <w:rFonts w:ascii="Arial Narrow" w:hAnsi="Arial Narrow"/>
          <w:bCs/>
          <w:iCs/>
          <w:spacing w:val="-3"/>
        </w:rPr>
      </w:pPr>
      <w:r w:rsidRPr="004161AA">
        <w:rPr>
          <w:rFonts w:ascii="Arial Narrow" w:hAnsi="Arial Narrow"/>
          <w:b/>
          <w:iCs/>
          <w:spacing w:val="-3"/>
        </w:rPr>
        <w:t>OTRAS DISPOSICIONES Y VIGENCIA</w:t>
      </w:r>
    </w:p>
    <w:p w14:paraId="59BE11C2" w14:textId="1CA5681C" w:rsidR="00A84541" w:rsidRDefault="00A84541" w:rsidP="00A84541">
      <w:pPr>
        <w:suppressAutoHyphens/>
        <w:rPr>
          <w:rFonts w:ascii="Arial Narrow" w:hAnsi="Arial Narrow"/>
          <w:b/>
          <w:bCs/>
          <w:spacing w:val="-3"/>
        </w:rPr>
      </w:pPr>
    </w:p>
    <w:p w14:paraId="1097C541" w14:textId="6C3A4F60" w:rsidR="00A72EF3" w:rsidRPr="004161AA" w:rsidRDefault="00A72EF3" w:rsidP="00A84541">
      <w:pPr>
        <w:suppressAutoHyphens/>
        <w:rPr>
          <w:rFonts w:ascii="Arial Narrow" w:hAnsi="Arial Narrow"/>
          <w:b/>
          <w:bCs/>
          <w:spacing w:val="-3"/>
        </w:rPr>
      </w:pPr>
      <w:r>
        <w:rPr>
          <w:rFonts w:ascii="Arial Narrow" w:hAnsi="Arial Narrow"/>
          <w:b/>
          <w:bCs/>
          <w:spacing w:val="-3"/>
        </w:rPr>
        <w:t>Ajuste gradual</w:t>
      </w:r>
    </w:p>
    <w:p w14:paraId="0D0BE6E4" w14:textId="77777777" w:rsidR="00A72EF3" w:rsidRPr="004161AA" w:rsidRDefault="00A72EF3" w:rsidP="004B478D">
      <w:pPr>
        <w:pStyle w:val="Prrafodelista"/>
        <w:widowControl w:val="0"/>
        <w:numPr>
          <w:ilvl w:val="0"/>
          <w:numId w:val="26"/>
        </w:numPr>
        <w:tabs>
          <w:tab w:val="left" w:pos="851"/>
        </w:tabs>
        <w:ind w:left="0" w:firstLine="0"/>
        <w:contextualSpacing w:val="0"/>
        <w:outlineLvl w:val="0"/>
        <w:rPr>
          <w:rFonts w:ascii="Arial Narrow" w:hAnsi="Arial Narrow"/>
        </w:rPr>
      </w:pPr>
      <w:r w:rsidRPr="004161AA">
        <w:rPr>
          <w:rFonts w:ascii="Arial Narrow" w:hAnsi="Arial Narrow"/>
        </w:rPr>
        <w:t xml:space="preserve">El Comité de Normas dictará los lineamientos para que las entidades de manera gradual ajusten los créditos que puedan ser afectados para llevarlos a la normal situación de conformidad a la normativa vigente. </w:t>
      </w:r>
    </w:p>
    <w:p w14:paraId="6A95B9F5" w14:textId="77777777" w:rsidR="00A72EF3" w:rsidRDefault="00A72EF3" w:rsidP="004B478D">
      <w:pPr>
        <w:rPr>
          <w:rFonts w:ascii="Arial Narrow" w:hAnsi="Arial Narrow"/>
          <w:b/>
          <w:iCs/>
          <w:lang w:val="es-MX"/>
        </w:rPr>
      </w:pPr>
    </w:p>
    <w:p w14:paraId="4C4CED3A" w14:textId="07F20425" w:rsidR="00A84541" w:rsidRPr="004161AA" w:rsidRDefault="00A84541" w:rsidP="00A84541">
      <w:pPr>
        <w:rPr>
          <w:rFonts w:ascii="Arial Narrow" w:hAnsi="Arial Narrow"/>
          <w:b/>
          <w:iCs/>
          <w:lang w:val="es-MX"/>
        </w:rPr>
      </w:pPr>
      <w:r w:rsidRPr="004161AA">
        <w:rPr>
          <w:rFonts w:ascii="Arial Narrow" w:hAnsi="Arial Narrow"/>
          <w:b/>
          <w:iCs/>
          <w:lang w:val="es-MX"/>
        </w:rPr>
        <w:t>Supervisión</w:t>
      </w:r>
    </w:p>
    <w:p w14:paraId="3E35A40F" w14:textId="4D2445D0" w:rsidR="00A84541" w:rsidRPr="004161AA" w:rsidRDefault="00A84541" w:rsidP="004B478D">
      <w:pPr>
        <w:pStyle w:val="Prrafodelista"/>
        <w:widowControl w:val="0"/>
        <w:numPr>
          <w:ilvl w:val="0"/>
          <w:numId w:val="26"/>
        </w:numPr>
        <w:tabs>
          <w:tab w:val="left" w:pos="851"/>
        </w:tabs>
        <w:ind w:left="0" w:firstLine="0"/>
        <w:contextualSpacing w:val="0"/>
        <w:outlineLvl w:val="0"/>
        <w:rPr>
          <w:rFonts w:ascii="Arial Narrow" w:hAnsi="Arial Narrow"/>
          <w:bCs/>
          <w:iCs/>
          <w:lang w:val="es-MX"/>
        </w:rPr>
      </w:pPr>
      <w:r w:rsidRPr="004161AA">
        <w:rPr>
          <w:rFonts w:ascii="Arial Narrow" w:hAnsi="Arial Narrow"/>
          <w:bCs/>
          <w:iCs/>
          <w:lang w:val="es-MX"/>
        </w:rPr>
        <w:t xml:space="preserve">En atención a lo establecido en la Ley de Supervisión y Regulación del Sistema Financiero, la Superintendencia supervisará el cumplimiento de las presentes </w:t>
      </w:r>
      <w:r w:rsidR="009D5F9B" w:rsidRPr="004161AA">
        <w:rPr>
          <w:rFonts w:ascii="Arial Narrow" w:hAnsi="Arial Narrow"/>
          <w:bCs/>
          <w:iCs/>
          <w:lang w:val="es-MX"/>
        </w:rPr>
        <w:t>Normas</w:t>
      </w:r>
      <w:r w:rsidRPr="004161AA">
        <w:rPr>
          <w:rFonts w:ascii="Arial Narrow" w:hAnsi="Arial Narrow"/>
          <w:bCs/>
          <w:iCs/>
          <w:lang w:val="es-MX"/>
        </w:rPr>
        <w:t xml:space="preserve">. </w:t>
      </w:r>
    </w:p>
    <w:p w14:paraId="2AE3B30F" w14:textId="77777777" w:rsidR="00A84541" w:rsidRPr="004161AA" w:rsidRDefault="00A84541" w:rsidP="004B478D">
      <w:pPr>
        <w:rPr>
          <w:rFonts w:ascii="Arial Narrow" w:hAnsi="Arial Narrow"/>
          <w:b/>
          <w:iCs/>
          <w:lang w:val="es-MX"/>
        </w:rPr>
      </w:pPr>
    </w:p>
    <w:p w14:paraId="7C591798" w14:textId="77777777" w:rsidR="00A84541" w:rsidRPr="004161AA" w:rsidRDefault="00A84541" w:rsidP="00A84541">
      <w:pPr>
        <w:rPr>
          <w:rFonts w:ascii="Arial Narrow" w:hAnsi="Arial Narrow"/>
          <w:b/>
          <w:iCs/>
          <w:lang w:val="es-MX"/>
        </w:rPr>
      </w:pPr>
      <w:r w:rsidRPr="004161AA">
        <w:rPr>
          <w:rFonts w:ascii="Arial Narrow" w:hAnsi="Arial Narrow"/>
          <w:b/>
          <w:iCs/>
          <w:lang w:val="es-MX"/>
        </w:rPr>
        <w:t>Aspectos no previstos</w:t>
      </w:r>
    </w:p>
    <w:p w14:paraId="00EB1790" w14:textId="1A3A4E22" w:rsidR="00A84541" w:rsidRPr="004161AA" w:rsidRDefault="00A84541" w:rsidP="00A84541">
      <w:pPr>
        <w:pStyle w:val="Prrafodelista"/>
        <w:widowControl w:val="0"/>
        <w:numPr>
          <w:ilvl w:val="0"/>
          <w:numId w:val="26"/>
        </w:numPr>
        <w:tabs>
          <w:tab w:val="left" w:pos="851"/>
        </w:tabs>
        <w:ind w:left="0" w:firstLine="0"/>
        <w:contextualSpacing w:val="0"/>
        <w:outlineLvl w:val="0"/>
        <w:rPr>
          <w:rFonts w:ascii="Arial Narrow" w:hAnsi="Arial Narrow"/>
        </w:rPr>
      </w:pPr>
      <w:r w:rsidRPr="004161AA">
        <w:rPr>
          <w:rFonts w:ascii="Arial Narrow" w:hAnsi="Arial Narrow"/>
        </w:rPr>
        <w:t xml:space="preserve">Los aspectos no previstos en materia de regulación en las presentes </w:t>
      </w:r>
      <w:r w:rsidR="009D5F9B" w:rsidRPr="004161AA">
        <w:rPr>
          <w:rFonts w:ascii="Arial Narrow" w:hAnsi="Arial Narrow"/>
        </w:rPr>
        <w:t>Normas</w:t>
      </w:r>
      <w:r w:rsidRPr="004161AA">
        <w:rPr>
          <w:rFonts w:ascii="Arial Narrow" w:hAnsi="Arial Narrow"/>
        </w:rPr>
        <w:t>, serán resueltos por el Banco Central por medio de su Comité de Normas.</w:t>
      </w:r>
    </w:p>
    <w:p w14:paraId="55F38DCF" w14:textId="77777777" w:rsidR="00A84541" w:rsidRPr="004161AA" w:rsidRDefault="00A84541" w:rsidP="00A84541">
      <w:pPr>
        <w:pStyle w:val="Prrafodelista"/>
        <w:widowControl w:val="0"/>
        <w:tabs>
          <w:tab w:val="left" w:pos="851"/>
        </w:tabs>
        <w:ind w:left="0"/>
        <w:contextualSpacing w:val="0"/>
        <w:outlineLvl w:val="0"/>
        <w:rPr>
          <w:rFonts w:ascii="Arial Narrow" w:hAnsi="Arial Narrow"/>
        </w:rPr>
      </w:pPr>
    </w:p>
    <w:p w14:paraId="7B941544" w14:textId="77777777" w:rsidR="00A84541" w:rsidRPr="004161AA" w:rsidRDefault="00A84541" w:rsidP="00A84541">
      <w:pPr>
        <w:rPr>
          <w:rFonts w:ascii="Arial Narrow" w:hAnsi="Arial Narrow"/>
          <w:b/>
          <w:bCs/>
        </w:rPr>
      </w:pPr>
      <w:r w:rsidRPr="004161AA">
        <w:rPr>
          <w:rFonts w:ascii="Arial Narrow" w:hAnsi="Arial Narrow"/>
          <w:b/>
          <w:bCs/>
        </w:rPr>
        <w:t xml:space="preserve">Vigencia </w:t>
      </w:r>
    </w:p>
    <w:p w14:paraId="73E9CB0F" w14:textId="46B0AF98" w:rsidR="004D4F0C" w:rsidRPr="004B478D" w:rsidRDefault="00A84541" w:rsidP="006A3E54">
      <w:pPr>
        <w:pStyle w:val="Prrafodelista"/>
        <w:widowControl w:val="0"/>
        <w:numPr>
          <w:ilvl w:val="0"/>
          <w:numId w:val="26"/>
        </w:numPr>
        <w:tabs>
          <w:tab w:val="left" w:pos="851"/>
        </w:tabs>
        <w:spacing w:after="120"/>
        <w:ind w:left="0" w:firstLine="0"/>
        <w:contextualSpacing w:val="0"/>
        <w:outlineLvl w:val="0"/>
        <w:rPr>
          <w:rFonts w:ascii="Arial Narrow" w:hAnsi="Arial Narrow"/>
          <w:b/>
          <w:bCs/>
        </w:rPr>
      </w:pPr>
      <w:r w:rsidRPr="004B478D">
        <w:rPr>
          <w:rFonts w:ascii="Arial Narrow" w:hAnsi="Arial Narrow"/>
        </w:rPr>
        <w:t xml:space="preserve">Las presentes Normas </w:t>
      </w:r>
      <w:r w:rsidR="00521F5D" w:rsidRPr="004B478D">
        <w:rPr>
          <w:rFonts w:ascii="Arial Narrow" w:hAnsi="Arial Narrow"/>
        </w:rPr>
        <w:t xml:space="preserve">estarán vigentes </w:t>
      </w:r>
      <w:r w:rsidRPr="004B478D">
        <w:rPr>
          <w:rFonts w:ascii="Arial Narrow" w:hAnsi="Arial Narrow"/>
        </w:rPr>
        <w:t xml:space="preserve">a partir del </w:t>
      </w:r>
      <w:r w:rsidR="004D4F0C" w:rsidRPr="004B478D">
        <w:rPr>
          <w:rFonts w:ascii="Arial Narrow" w:hAnsi="Arial Narrow"/>
        </w:rPr>
        <w:t xml:space="preserve">quince </w:t>
      </w:r>
      <w:r w:rsidRPr="004B478D">
        <w:rPr>
          <w:rFonts w:ascii="Arial Narrow" w:hAnsi="Arial Narrow"/>
        </w:rPr>
        <w:t xml:space="preserve">de </w:t>
      </w:r>
      <w:r w:rsidR="00B269D6" w:rsidRPr="004B478D">
        <w:rPr>
          <w:rFonts w:ascii="Arial Narrow" w:hAnsi="Arial Narrow"/>
        </w:rPr>
        <w:t xml:space="preserve">septiembre </w:t>
      </w:r>
      <w:r w:rsidRPr="004B478D">
        <w:rPr>
          <w:rFonts w:ascii="Arial Narrow" w:hAnsi="Arial Narrow"/>
        </w:rPr>
        <w:t>del año dos mil veinte</w:t>
      </w:r>
      <w:r w:rsidR="00A72EF3" w:rsidRPr="004B478D">
        <w:rPr>
          <w:rFonts w:ascii="Arial Narrow" w:hAnsi="Arial Narrow"/>
        </w:rPr>
        <w:t xml:space="preserve"> hasta el tr</w:t>
      </w:r>
      <w:r w:rsidR="00A31855" w:rsidRPr="004B478D">
        <w:rPr>
          <w:rFonts w:ascii="Arial Narrow" w:hAnsi="Arial Narrow"/>
        </w:rPr>
        <w:t>ece</w:t>
      </w:r>
      <w:r w:rsidR="00A72EF3" w:rsidRPr="004B478D">
        <w:rPr>
          <w:rFonts w:ascii="Arial Narrow" w:hAnsi="Arial Narrow"/>
        </w:rPr>
        <w:t xml:space="preserve"> de marzo de dos mil ventiuno</w:t>
      </w:r>
      <w:r w:rsidRPr="004B478D">
        <w:rPr>
          <w:rFonts w:ascii="Arial Narrow" w:hAnsi="Arial Narrow"/>
        </w:rPr>
        <w:t>.</w:t>
      </w:r>
      <w:r w:rsidR="004D4F0C" w:rsidRPr="004B478D">
        <w:rPr>
          <w:rFonts w:ascii="Arial Narrow" w:hAnsi="Arial Narrow"/>
          <w:b/>
          <w:bCs/>
        </w:rPr>
        <w:br w:type="page"/>
      </w:r>
    </w:p>
    <w:p w14:paraId="11AFB736" w14:textId="77257AED" w:rsidR="00A84541" w:rsidRPr="004161AA" w:rsidRDefault="00A84541" w:rsidP="00AE741F">
      <w:pPr>
        <w:widowControl w:val="0"/>
        <w:tabs>
          <w:tab w:val="left" w:pos="851"/>
        </w:tabs>
        <w:jc w:val="right"/>
        <w:outlineLvl w:val="0"/>
        <w:rPr>
          <w:rFonts w:ascii="Arial Narrow" w:hAnsi="Arial Narrow"/>
          <w:b/>
          <w:bCs/>
        </w:rPr>
      </w:pPr>
      <w:r w:rsidRPr="004161AA">
        <w:rPr>
          <w:rFonts w:ascii="Arial Narrow" w:hAnsi="Arial Narrow"/>
          <w:b/>
          <w:bCs/>
        </w:rPr>
        <w:t>Anexo No. 1</w:t>
      </w:r>
    </w:p>
    <w:p w14:paraId="00B01757" w14:textId="77777777" w:rsidR="00AE741F" w:rsidRPr="004161AA" w:rsidRDefault="00AE741F" w:rsidP="00AE741F">
      <w:pPr>
        <w:jc w:val="center"/>
        <w:rPr>
          <w:rFonts w:ascii="Arial Narrow" w:hAnsi="Arial Narrow"/>
          <w:b/>
          <w:bCs/>
        </w:rPr>
      </w:pPr>
    </w:p>
    <w:p w14:paraId="345E4CB4" w14:textId="0D6B4C2A" w:rsidR="009D5F9B" w:rsidRPr="004161AA" w:rsidRDefault="00A84541" w:rsidP="00AE741F">
      <w:pPr>
        <w:jc w:val="center"/>
        <w:rPr>
          <w:rFonts w:ascii="Arial Narrow" w:hAnsi="Arial Narrow"/>
          <w:b/>
          <w:bCs/>
          <w:iCs/>
          <w:lang w:val="es-MX"/>
        </w:rPr>
      </w:pPr>
      <w:r w:rsidRPr="004161AA">
        <w:rPr>
          <w:rFonts w:ascii="Arial Narrow" w:hAnsi="Arial Narrow"/>
          <w:b/>
          <w:bCs/>
        </w:rPr>
        <w:t xml:space="preserve">CONTENIDO MÍNIMO DE LAS POLÍTICAS CREDITICIAS DE APLICACIÓN DE LAS </w:t>
      </w:r>
      <w:r w:rsidR="004C3131" w:rsidRPr="004161AA">
        <w:rPr>
          <w:rFonts w:ascii="Arial Narrow" w:hAnsi="Arial Narrow"/>
          <w:b/>
          <w:bCs/>
          <w:iCs/>
          <w:lang w:val="es-MX"/>
        </w:rPr>
        <w:t>NORMAS TÉCNICAS</w:t>
      </w:r>
      <w:r w:rsidR="00DC549C" w:rsidRPr="004161AA">
        <w:rPr>
          <w:rFonts w:ascii="Arial Narrow" w:hAnsi="Arial Narrow"/>
          <w:b/>
          <w:bCs/>
          <w:iCs/>
          <w:lang w:val="es-MX"/>
        </w:rPr>
        <w:t xml:space="preserve"> </w:t>
      </w:r>
      <w:r w:rsidR="004C3131" w:rsidRPr="004161AA">
        <w:rPr>
          <w:rFonts w:ascii="Arial Narrow" w:hAnsi="Arial Narrow"/>
          <w:b/>
          <w:bCs/>
          <w:iCs/>
          <w:lang w:val="es-MX"/>
        </w:rPr>
        <w:t xml:space="preserve"> TEMPORALES </w:t>
      </w:r>
      <w:r w:rsidR="00AE741F" w:rsidRPr="004161AA">
        <w:rPr>
          <w:rFonts w:ascii="Arial Narrow" w:hAnsi="Arial Narrow"/>
          <w:b/>
          <w:bCs/>
          <w:iCs/>
          <w:lang w:val="es-MX"/>
        </w:rPr>
        <w:t xml:space="preserve"> </w:t>
      </w:r>
      <w:r w:rsidR="004C3131" w:rsidRPr="004161AA">
        <w:rPr>
          <w:rFonts w:ascii="Arial Narrow" w:hAnsi="Arial Narrow"/>
          <w:b/>
          <w:bCs/>
          <w:iCs/>
          <w:lang w:val="es-MX"/>
        </w:rPr>
        <w:t>PARA EL TRATAMIENTO DE CRÉDITOS AFECTADOS POR COVID-19</w:t>
      </w:r>
      <w:r w:rsidR="009D5F9B" w:rsidRPr="004161AA" w:rsidDel="002F4A42">
        <w:rPr>
          <w:rFonts w:ascii="Arial Narrow" w:hAnsi="Arial Narrow"/>
          <w:b/>
          <w:bCs/>
          <w:iCs/>
          <w:lang w:val="es-MX"/>
        </w:rPr>
        <w:t xml:space="preserve"> </w:t>
      </w:r>
    </w:p>
    <w:p w14:paraId="2FB7A289" w14:textId="00616B4E" w:rsidR="00A84541" w:rsidRPr="004161AA" w:rsidRDefault="00A84541" w:rsidP="00A84541">
      <w:pPr>
        <w:widowControl w:val="0"/>
        <w:tabs>
          <w:tab w:val="left" w:pos="851"/>
        </w:tabs>
        <w:spacing w:after="120"/>
        <w:outlineLvl w:val="0"/>
        <w:rPr>
          <w:rFonts w:ascii="Arial Narrow" w:hAnsi="Arial Narrow"/>
          <w:b/>
          <w:bCs/>
        </w:rPr>
      </w:pPr>
    </w:p>
    <w:p w14:paraId="32E3353E" w14:textId="77777777" w:rsidR="00A84541" w:rsidRPr="004161AA" w:rsidRDefault="00A84541" w:rsidP="009D5F9B">
      <w:pPr>
        <w:widowControl w:val="0"/>
        <w:ind w:left="426" w:hanging="426"/>
        <w:outlineLvl w:val="0"/>
        <w:rPr>
          <w:rFonts w:ascii="Arial Narrow" w:hAnsi="Arial Narrow"/>
          <w:b/>
          <w:bCs/>
        </w:rPr>
      </w:pPr>
      <w:r w:rsidRPr="004161AA">
        <w:rPr>
          <w:rFonts w:ascii="Arial Narrow" w:hAnsi="Arial Narrow"/>
          <w:b/>
          <w:bCs/>
        </w:rPr>
        <w:t>1.</w:t>
      </w:r>
      <w:r w:rsidRPr="004161AA">
        <w:rPr>
          <w:rFonts w:ascii="Arial Narrow" w:hAnsi="Arial Narrow"/>
          <w:b/>
          <w:bCs/>
        </w:rPr>
        <w:tab/>
        <w:t>Introducción</w:t>
      </w:r>
    </w:p>
    <w:p w14:paraId="75435DA6" w14:textId="29B775B8" w:rsidR="00A84541" w:rsidRPr="004161AA" w:rsidRDefault="00A84541" w:rsidP="009D5F9B">
      <w:pPr>
        <w:widowControl w:val="0"/>
        <w:tabs>
          <w:tab w:val="left" w:pos="851"/>
        </w:tabs>
        <w:outlineLvl w:val="0"/>
        <w:rPr>
          <w:rFonts w:ascii="Arial Narrow" w:hAnsi="Arial Narrow"/>
        </w:rPr>
      </w:pPr>
      <w:r w:rsidRPr="004161AA">
        <w:rPr>
          <w:rFonts w:ascii="Arial Narrow" w:hAnsi="Arial Narrow"/>
        </w:rPr>
        <w:t>Estas políticas, constituyen lineamientos temporales diseñados por la Entidad XX, S.A. para implementar mecanismos que permitan atender las necesidades de fondos y desviaciones en el repago normal de las facilidades crediticias, derivadas de la condición de emergencia global generada por el COVID-19, la cual podría afectar segmentos económicos relevantes de la economía del país, afectando la capacidad crediticia inmediata de los deudores y potenciales clientes de las entidades financieras.</w:t>
      </w:r>
    </w:p>
    <w:p w14:paraId="346CA46A" w14:textId="77777777" w:rsidR="00A84541" w:rsidRPr="004161AA" w:rsidRDefault="00A84541" w:rsidP="009D5F9B">
      <w:pPr>
        <w:widowControl w:val="0"/>
        <w:tabs>
          <w:tab w:val="left" w:pos="851"/>
        </w:tabs>
        <w:outlineLvl w:val="0"/>
        <w:rPr>
          <w:rFonts w:ascii="Arial Narrow" w:hAnsi="Arial Narrow"/>
        </w:rPr>
      </w:pPr>
      <w:r w:rsidRPr="004161AA">
        <w:rPr>
          <w:rFonts w:ascii="Arial Narrow" w:hAnsi="Arial Narrow"/>
        </w:rPr>
        <w:t xml:space="preserve"> </w:t>
      </w:r>
    </w:p>
    <w:p w14:paraId="46EC3AC4" w14:textId="72FD90C5" w:rsidR="00A84541" w:rsidRPr="004161AA" w:rsidRDefault="00A84541" w:rsidP="009D5F9B">
      <w:pPr>
        <w:widowControl w:val="0"/>
        <w:tabs>
          <w:tab w:val="left" w:pos="851"/>
        </w:tabs>
        <w:outlineLvl w:val="0"/>
        <w:rPr>
          <w:rFonts w:ascii="Arial Narrow" w:hAnsi="Arial Narrow"/>
        </w:rPr>
      </w:pPr>
      <w:r w:rsidRPr="004161AA">
        <w:rPr>
          <w:rFonts w:ascii="Arial Narrow" w:hAnsi="Arial Narrow"/>
        </w:rPr>
        <w:t xml:space="preserve">En función de lo establecido en </w:t>
      </w:r>
      <w:r w:rsidR="005279D7" w:rsidRPr="004161AA">
        <w:rPr>
          <w:rFonts w:ascii="Arial Narrow" w:hAnsi="Arial Narrow"/>
        </w:rPr>
        <w:t xml:space="preserve">las presentes </w:t>
      </w:r>
      <w:r w:rsidR="00CC00CB" w:rsidRPr="004161AA">
        <w:rPr>
          <w:rFonts w:ascii="Arial Narrow" w:hAnsi="Arial Narrow"/>
        </w:rPr>
        <w:t>N</w:t>
      </w:r>
      <w:r w:rsidR="005279D7" w:rsidRPr="004161AA">
        <w:rPr>
          <w:rFonts w:ascii="Arial Narrow" w:hAnsi="Arial Narrow"/>
        </w:rPr>
        <w:t>ormas</w:t>
      </w:r>
      <w:r w:rsidRPr="004161AA">
        <w:rPr>
          <w:rFonts w:ascii="Arial Narrow" w:hAnsi="Arial Narrow"/>
        </w:rPr>
        <w:t xml:space="preserve">, </w:t>
      </w:r>
      <w:r w:rsidR="005279D7" w:rsidRPr="004161AA">
        <w:rPr>
          <w:rFonts w:ascii="Arial Narrow" w:hAnsi="Arial Narrow"/>
        </w:rPr>
        <w:t>las</w:t>
      </w:r>
      <w:r w:rsidRPr="004161AA">
        <w:rPr>
          <w:rFonts w:ascii="Arial Narrow" w:hAnsi="Arial Narrow"/>
        </w:rPr>
        <w:t xml:space="preserve"> políticas</w:t>
      </w:r>
      <w:r w:rsidR="00C62D16" w:rsidRPr="004161AA">
        <w:rPr>
          <w:rFonts w:ascii="Arial Narrow" w:hAnsi="Arial Narrow"/>
        </w:rPr>
        <w:t>,</w:t>
      </w:r>
      <w:r w:rsidRPr="004161AA">
        <w:rPr>
          <w:rFonts w:ascii="Arial Narrow" w:hAnsi="Arial Narrow"/>
        </w:rPr>
        <w:t xml:space="preserve"> deberán contener los nichos de mercado elegibles, productos sujetos a esta</w:t>
      </w:r>
      <w:r w:rsidR="00804D41" w:rsidRPr="004161AA">
        <w:rPr>
          <w:rFonts w:ascii="Arial Narrow" w:hAnsi="Arial Narrow"/>
        </w:rPr>
        <w:t>s</w:t>
      </w:r>
      <w:r w:rsidRPr="004161AA">
        <w:rPr>
          <w:rFonts w:ascii="Arial Narrow" w:hAnsi="Arial Narrow"/>
        </w:rPr>
        <w:t xml:space="preserve"> políticas, herramientas a ofrecer a los clientes en función de las necesidades y características particulares de los deudores; con el objetivo de no afectar la calidad crediticia de los deudores y la posición (estabilidad) financiera de las entidades.</w:t>
      </w:r>
    </w:p>
    <w:p w14:paraId="6F975D3F" w14:textId="77777777" w:rsidR="00A84541" w:rsidRPr="004161AA" w:rsidRDefault="00A84541" w:rsidP="009D5F9B">
      <w:pPr>
        <w:widowControl w:val="0"/>
        <w:tabs>
          <w:tab w:val="left" w:pos="851"/>
        </w:tabs>
        <w:outlineLvl w:val="0"/>
        <w:rPr>
          <w:rFonts w:ascii="Arial Narrow" w:hAnsi="Arial Narrow"/>
        </w:rPr>
      </w:pPr>
    </w:p>
    <w:p w14:paraId="1CE1373F" w14:textId="77777777" w:rsidR="00A84541" w:rsidRPr="004161AA" w:rsidRDefault="00A84541" w:rsidP="009D5F9B">
      <w:pPr>
        <w:widowControl w:val="0"/>
        <w:ind w:left="425" w:hanging="425"/>
        <w:outlineLvl w:val="0"/>
        <w:rPr>
          <w:rFonts w:ascii="Arial Narrow" w:hAnsi="Arial Narrow"/>
          <w:b/>
          <w:bCs/>
        </w:rPr>
      </w:pPr>
      <w:r w:rsidRPr="004161AA">
        <w:rPr>
          <w:rFonts w:ascii="Arial Narrow" w:hAnsi="Arial Narrow"/>
          <w:b/>
          <w:bCs/>
        </w:rPr>
        <w:t>2.</w:t>
      </w:r>
      <w:r w:rsidRPr="004161AA">
        <w:rPr>
          <w:rFonts w:ascii="Arial Narrow" w:hAnsi="Arial Narrow"/>
          <w:b/>
          <w:bCs/>
        </w:rPr>
        <w:tab/>
        <w:t>Objetivos de las políticas crediticias</w:t>
      </w:r>
    </w:p>
    <w:p w14:paraId="36464BF5" w14:textId="7706BD91" w:rsidR="00A84541" w:rsidRPr="004161AA" w:rsidRDefault="00A84541" w:rsidP="009D5F9B">
      <w:pPr>
        <w:widowControl w:val="0"/>
        <w:tabs>
          <w:tab w:val="left" w:pos="851"/>
        </w:tabs>
        <w:outlineLvl w:val="0"/>
        <w:rPr>
          <w:rFonts w:ascii="Arial Narrow" w:hAnsi="Arial Narrow"/>
        </w:rPr>
      </w:pPr>
      <w:r w:rsidRPr="004161AA">
        <w:rPr>
          <w:rFonts w:ascii="Arial Narrow" w:hAnsi="Arial Narrow"/>
        </w:rPr>
        <w:t>Contribuir a la gestión de las facilidades crediticias, en momentos coyunturales generados por el COVI</w:t>
      </w:r>
      <w:r w:rsidR="005279D7" w:rsidRPr="004161AA">
        <w:rPr>
          <w:rFonts w:ascii="Arial Narrow" w:hAnsi="Arial Narrow"/>
        </w:rPr>
        <w:t>D</w:t>
      </w:r>
      <w:r w:rsidRPr="004161AA">
        <w:rPr>
          <w:rFonts w:ascii="Arial Narrow" w:hAnsi="Arial Narrow"/>
        </w:rPr>
        <w:t xml:space="preserve">-19, a través del establecimiento de lineamientos y medidas para atender las necesidades crediticias de los clientes y el manejo de las implicaciones de la </w:t>
      </w:r>
      <w:r w:rsidR="005279D7" w:rsidRPr="004161AA">
        <w:rPr>
          <w:rFonts w:ascii="Arial Narrow" w:hAnsi="Arial Narrow"/>
        </w:rPr>
        <w:t>pandemia</w:t>
      </w:r>
      <w:r w:rsidRPr="004161AA">
        <w:rPr>
          <w:rFonts w:ascii="Arial Narrow" w:hAnsi="Arial Narrow"/>
        </w:rPr>
        <w:t>.</w:t>
      </w:r>
    </w:p>
    <w:p w14:paraId="41DCD83C" w14:textId="77777777" w:rsidR="00A84541" w:rsidRPr="004161AA" w:rsidRDefault="00A84541" w:rsidP="009D5F9B">
      <w:pPr>
        <w:widowControl w:val="0"/>
        <w:tabs>
          <w:tab w:val="left" w:pos="851"/>
        </w:tabs>
        <w:outlineLvl w:val="0"/>
        <w:rPr>
          <w:rFonts w:ascii="Arial Narrow" w:hAnsi="Arial Narrow"/>
        </w:rPr>
      </w:pPr>
    </w:p>
    <w:p w14:paraId="506054A8" w14:textId="77777777" w:rsidR="00A84541" w:rsidRPr="004161AA" w:rsidRDefault="00A84541" w:rsidP="009D5F9B">
      <w:pPr>
        <w:widowControl w:val="0"/>
        <w:ind w:left="425" w:hanging="425"/>
        <w:outlineLvl w:val="0"/>
        <w:rPr>
          <w:rFonts w:ascii="Arial Narrow" w:hAnsi="Arial Narrow"/>
          <w:b/>
          <w:bCs/>
        </w:rPr>
      </w:pPr>
      <w:r w:rsidRPr="004161AA">
        <w:rPr>
          <w:rFonts w:ascii="Arial Narrow" w:hAnsi="Arial Narrow"/>
          <w:b/>
          <w:bCs/>
        </w:rPr>
        <w:t>3.</w:t>
      </w:r>
      <w:r w:rsidRPr="004161AA">
        <w:rPr>
          <w:rFonts w:ascii="Arial Narrow" w:hAnsi="Arial Narrow"/>
          <w:b/>
          <w:bCs/>
        </w:rPr>
        <w:tab/>
        <w:t>Ámbito de aplicación</w:t>
      </w:r>
    </w:p>
    <w:p w14:paraId="02492188" w14:textId="3ED4FB5A" w:rsidR="00A84541" w:rsidRPr="004161AA" w:rsidRDefault="00A84541" w:rsidP="009D5F9B">
      <w:pPr>
        <w:widowControl w:val="0"/>
        <w:tabs>
          <w:tab w:val="left" w:pos="851"/>
        </w:tabs>
        <w:outlineLvl w:val="0"/>
        <w:rPr>
          <w:rFonts w:ascii="Arial Narrow" w:hAnsi="Arial Narrow"/>
        </w:rPr>
      </w:pPr>
      <w:r w:rsidRPr="004161AA">
        <w:rPr>
          <w:rFonts w:ascii="Arial Narrow" w:hAnsi="Arial Narrow"/>
        </w:rPr>
        <w:t>En este apartado, las políticas están orientadas prioritariamente a la atención de segmentos económicos afectados directamente por la crisis</w:t>
      </w:r>
      <w:r w:rsidR="005279D7" w:rsidRPr="004161AA">
        <w:rPr>
          <w:rFonts w:ascii="Arial Narrow" w:hAnsi="Arial Narrow"/>
        </w:rPr>
        <w:t xml:space="preserve"> derivada por el COVID-19</w:t>
      </w:r>
      <w:r w:rsidRPr="004161AA">
        <w:rPr>
          <w:rFonts w:ascii="Arial Narrow" w:hAnsi="Arial Narrow"/>
        </w:rPr>
        <w:t xml:space="preserve">, entre los que se encuentran consumo, vivienda, </w:t>
      </w:r>
      <w:r w:rsidR="005279D7" w:rsidRPr="004161AA">
        <w:rPr>
          <w:rFonts w:ascii="Arial Narrow" w:hAnsi="Arial Narrow"/>
        </w:rPr>
        <w:t>y actividades productivas identificados por cada entidad</w:t>
      </w:r>
      <w:r w:rsidR="000F65AE" w:rsidRPr="004161AA">
        <w:rPr>
          <w:rFonts w:ascii="Arial Narrow" w:hAnsi="Arial Narrow"/>
        </w:rPr>
        <w:t>.</w:t>
      </w:r>
    </w:p>
    <w:p w14:paraId="4A981F5E" w14:textId="77777777" w:rsidR="00A84541" w:rsidRPr="004161AA" w:rsidRDefault="00A84541" w:rsidP="009D5F9B">
      <w:pPr>
        <w:widowControl w:val="0"/>
        <w:tabs>
          <w:tab w:val="left" w:pos="851"/>
        </w:tabs>
        <w:outlineLvl w:val="0"/>
        <w:rPr>
          <w:rFonts w:ascii="Arial Narrow" w:hAnsi="Arial Narrow"/>
        </w:rPr>
      </w:pPr>
    </w:p>
    <w:p w14:paraId="48F8457F" w14:textId="7E3F6391" w:rsidR="00A84541" w:rsidRPr="004161AA" w:rsidRDefault="00A84541" w:rsidP="009D5F9B">
      <w:pPr>
        <w:widowControl w:val="0"/>
        <w:tabs>
          <w:tab w:val="left" w:pos="851"/>
        </w:tabs>
        <w:outlineLvl w:val="0"/>
        <w:rPr>
          <w:rFonts w:ascii="Arial Narrow" w:hAnsi="Arial Narrow"/>
        </w:rPr>
      </w:pPr>
      <w:r w:rsidRPr="004161AA">
        <w:rPr>
          <w:rFonts w:ascii="Arial Narrow" w:hAnsi="Arial Narrow"/>
        </w:rPr>
        <w:t xml:space="preserve">Estas políticas, son aplicables a personas naturales </w:t>
      </w:r>
      <w:r w:rsidR="005279D7" w:rsidRPr="004161AA">
        <w:rPr>
          <w:rFonts w:ascii="Arial Narrow" w:hAnsi="Arial Narrow"/>
        </w:rPr>
        <w:t>o</w:t>
      </w:r>
      <w:r w:rsidRPr="004161AA">
        <w:rPr>
          <w:rFonts w:ascii="Arial Narrow" w:hAnsi="Arial Narrow"/>
        </w:rPr>
        <w:t xml:space="preserve"> jurídicas afectadas por la disminución de la dinámica comercial, que implique necesidades de efectivo o dificultades para el repago normal de sus obligaciones crediticias, derivadas de la reducción de la capacidad de pago.</w:t>
      </w:r>
    </w:p>
    <w:p w14:paraId="778EFCA3" w14:textId="77777777" w:rsidR="00A84541" w:rsidRPr="004161AA" w:rsidRDefault="00A84541" w:rsidP="009D5F9B">
      <w:pPr>
        <w:widowControl w:val="0"/>
        <w:tabs>
          <w:tab w:val="left" w:pos="851"/>
        </w:tabs>
        <w:outlineLvl w:val="0"/>
        <w:rPr>
          <w:rFonts w:ascii="Arial Narrow" w:hAnsi="Arial Narrow"/>
        </w:rPr>
      </w:pPr>
    </w:p>
    <w:p w14:paraId="437F01CF" w14:textId="487724CC" w:rsidR="00A84541" w:rsidRPr="004161AA" w:rsidRDefault="00A84541" w:rsidP="00AE741F">
      <w:pPr>
        <w:widowControl w:val="0"/>
        <w:ind w:left="426" w:hanging="426"/>
        <w:outlineLvl w:val="0"/>
        <w:rPr>
          <w:rFonts w:ascii="Arial Narrow" w:hAnsi="Arial Narrow"/>
          <w:b/>
          <w:bCs/>
        </w:rPr>
      </w:pPr>
      <w:r w:rsidRPr="004161AA">
        <w:rPr>
          <w:rFonts w:ascii="Arial Narrow" w:hAnsi="Arial Narrow"/>
          <w:b/>
          <w:bCs/>
        </w:rPr>
        <w:t>4.</w:t>
      </w:r>
      <w:r w:rsidRPr="004161AA">
        <w:rPr>
          <w:rFonts w:ascii="Arial Narrow" w:hAnsi="Arial Narrow"/>
          <w:b/>
          <w:bCs/>
        </w:rPr>
        <w:tab/>
        <w:t>Potenciales herramientas temporales</w:t>
      </w:r>
    </w:p>
    <w:p w14:paraId="1DCB8FB0" w14:textId="77777777" w:rsidR="00351812" w:rsidRPr="004161AA" w:rsidRDefault="00351812" w:rsidP="009D5F9B">
      <w:pPr>
        <w:widowControl w:val="0"/>
        <w:tabs>
          <w:tab w:val="left" w:pos="851"/>
        </w:tabs>
        <w:outlineLvl w:val="0"/>
        <w:rPr>
          <w:rFonts w:ascii="Arial Narrow" w:hAnsi="Arial Narrow"/>
          <w:b/>
          <w:bCs/>
        </w:rPr>
      </w:pPr>
    </w:p>
    <w:p w14:paraId="7F509482" w14:textId="77777777" w:rsidR="00A84541" w:rsidRPr="004161AA" w:rsidRDefault="00A84541" w:rsidP="004D1CF5">
      <w:pPr>
        <w:widowControl w:val="0"/>
        <w:ind w:left="426" w:hanging="426"/>
        <w:outlineLvl w:val="0"/>
        <w:rPr>
          <w:rFonts w:ascii="Arial Narrow" w:hAnsi="Arial Narrow"/>
          <w:b/>
          <w:bCs/>
        </w:rPr>
      </w:pPr>
      <w:r w:rsidRPr="004161AA">
        <w:rPr>
          <w:rFonts w:ascii="Arial Narrow" w:hAnsi="Arial Narrow"/>
          <w:b/>
          <w:bCs/>
        </w:rPr>
        <w:t>4.1.</w:t>
      </w:r>
      <w:r w:rsidRPr="004161AA">
        <w:rPr>
          <w:rFonts w:ascii="Arial Narrow" w:hAnsi="Arial Narrow"/>
          <w:b/>
          <w:bCs/>
        </w:rPr>
        <w:tab/>
        <w:t>Sector Empresa</w:t>
      </w:r>
    </w:p>
    <w:p w14:paraId="7DE89C58" w14:textId="77777777" w:rsidR="00064312" w:rsidRDefault="00A84541" w:rsidP="00351812">
      <w:pPr>
        <w:widowControl w:val="0"/>
        <w:tabs>
          <w:tab w:val="left" w:pos="851"/>
        </w:tabs>
        <w:outlineLvl w:val="0"/>
        <w:rPr>
          <w:rFonts w:ascii="Arial Narrow" w:hAnsi="Arial Narrow"/>
        </w:rPr>
      </w:pPr>
      <w:r w:rsidRPr="004161AA">
        <w:rPr>
          <w:rFonts w:ascii="Arial Narrow" w:hAnsi="Arial Narrow"/>
        </w:rPr>
        <w:t xml:space="preserve">Para el segmento empresarial, las políticas establecerán el proceso para efectuar la evaluación de las necesidades particulares de cada una de las empresas que se vean afectadas, otorgándole medidas que respondan a las condiciones financieras de cada entidad e incentivos para mantener el repago </w:t>
      </w:r>
    </w:p>
    <w:p w14:paraId="130C5936" w14:textId="77777777" w:rsidR="00064312" w:rsidRPr="004161AA" w:rsidRDefault="00064312" w:rsidP="00064312">
      <w:pPr>
        <w:widowControl w:val="0"/>
        <w:tabs>
          <w:tab w:val="left" w:pos="851"/>
        </w:tabs>
        <w:jc w:val="right"/>
        <w:outlineLvl w:val="0"/>
        <w:rPr>
          <w:rFonts w:ascii="Arial Narrow" w:hAnsi="Arial Narrow"/>
          <w:b/>
          <w:bCs/>
        </w:rPr>
      </w:pPr>
      <w:r w:rsidRPr="004161AA">
        <w:rPr>
          <w:rFonts w:ascii="Arial Narrow" w:hAnsi="Arial Narrow"/>
          <w:b/>
          <w:bCs/>
        </w:rPr>
        <w:t>Anexo No. 1</w:t>
      </w:r>
    </w:p>
    <w:p w14:paraId="511AFA97" w14:textId="77777777" w:rsidR="00064312" w:rsidRDefault="00064312" w:rsidP="00351812">
      <w:pPr>
        <w:widowControl w:val="0"/>
        <w:tabs>
          <w:tab w:val="left" w:pos="851"/>
        </w:tabs>
        <w:outlineLvl w:val="0"/>
        <w:rPr>
          <w:rFonts w:ascii="Arial Narrow" w:hAnsi="Arial Narrow"/>
        </w:rPr>
      </w:pPr>
    </w:p>
    <w:p w14:paraId="25E84567" w14:textId="5FC2D966" w:rsidR="00A84541" w:rsidRPr="004161AA" w:rsidRDefault="00A84541" w:rsidP="00351812">
      <w:pPr>
        <w:widowControl w:val="0"/>
        <w:tabs>
          <w:tab w:val="left" w:pos="851"/>
        </w:tabs>
        <w:outlineLvl w:val="0"/>
        <w:rPr>
          <w:rFonts w:ascii="Arial Narrow" w:hAnsi="Arial Narrow"/>
        </w:rPr>
      </w:pPr>
      <w:r w:rsidRPr="004161AA">
        <w:rPr>
          <w:rFonts w:ascii="Arial Narrow" w:hAnsi="Arial Narrow"/>
        </w:rPr>
        <w:t>normal de las facilidades crediticias otorgadas; que no afecte la condición crediticia del deudor y la posición (estabilidad) financiera de la entidad, por la vía de la constitución de reservas de saneamiento.</w:t>
      </w:r>
    </w:p>
    <w:p w14:paraId="5ABB419B" w14:textId="77777777" w:rsidR="00A84541" w:rsidRPr="004161AA" w:rsidRDefault="00A84541" w:rsidP="00351812">
      <w:pPr>
        <w:widowControl w:val="0"/>
        <w:tabs>
          <w:tab w:val="left" w:pos="851"/>
        </w:tabs>
        <w:outlineLvl w:val="0"/>
        <w:rPr>
          <w:rFonts w:ascii="Arial Narrow" w:hAnsi="Arial Narrow"/>
        </w:rPr>
      </w:pPr>
    </w:p>
    <w:p w14:paraId="5CD0B232" w14:textId="77777777" w:rsidR="00A84541" w:rsidRPr="004161AA" w:rsidRDefault="00A84541" w:rsidP="00351812">
      <w:pPr>
        <w:widowControl w:val="0"/>
        <w:tabs>
          <w:tab w:val="left" w:pos="851"/>
        </w:tabs>
        <w:spacing w:after="120"/>
        <w:outlineLvl w:val="0"/>
        <w:rPr>
          <w:rFonts w:ascii="Arial Narrow" w:hAnsi="Arial Narrow"/>
        </w:rPr>
      </w:pPr>
      <w:r w:rsidRPr="004161AA">
        <w:rPr>
          <w:rFonts w:ascii="Arial Narrow" w:hAnsi="Arial Narrow"/>
        </w:rPr>
        <w:t>En este sentido, las herramientas e incentivos establecidos por la entidad podrán considerar entre otros, los siguientes aspectos:</w:t>
      </w:r>
    </w:p>
    <w:p w14:paraId="39AC7C2E" w14:textId="0B981B5A" w:rsidR="00A84541" w:rsidRPr="004161AA" w:rsidRDefault="00A84541" w:rsidP="00351812">
      <w:pPr>
        <w:widowControl w:val="0"/>
        <w:ind w:left="426" w:hanging="426"/>
        <w:outlineLvl w:val="0"/>
        <w:rPr>
          <w:rFonts w:ascii="Arial Narrow" w:hAnsi="Arial Narrow"/>
        </w:rPr>
      </w:pPr>
      <w:r w:rsidRPr="004161AA">
        <w:rPr>
          <w:rFonts w:ascii="Arial Narrow" w:hAnsi="Arial Narrow"/>
        </w:rPr>
        <w:t>a)</w:t>
      </w:r>
      <w:r w:rsidRPr="004161AA">
        <w:rPr>
          <w:rFonts w:ascii="Arial Narrow" w:hAnsi="Arial Narrow"/>
        </w:rPr>
        <w:tab/>
        <w:t>Reducción de la tasa de interés</w:t>
      </w:r>
      <w:r w:rsidR="00E03F6C" w:rsidRPr="004161AA">
        <w:rPr>
          <w:rFonts w:ascii="Arial Narrow" w:hAnsi="Arial Narrow"/>
        </w:rPr>
        <w:t>;</w:t>
      </w:r>
    </w:p>
    <w:p w14:paraId="2924C42F" w14:textId="2C2C735C" w:rsidR="00A84541" w:rsidRPr="004161AA" w:rsidRDefault="00A84541" w:rsidP="00351812">
      <w:pPr>
        <w:widowControl w:val="0"/>
        <w:ind w:left="426" w:hanging="426"/>
        <w:outlineLvl w:val="0"/>
        <w:rPr>
          <w:rFonts w:ascii="Arial Narrow" w:hAnsi="Arial Narrow"/>
        </w:rPr>
      </w:pPr>
      <w:r w:rsidRPr="004161AA">
        <w:rPr>
          <w:rFonts w:ascii="Arial Narrow" w:hAnsi="Arial Narrow"/>
        </w:rPr>
        <w:t>b)</w:t>
      </w:r>
      <w:r w:rsidRPr="004161AA">
        <w:rPr>
          <w:rFonts w:ascii="Arial Narrow" w:hAnsi="Arial Narrow"/>
        </w:rPr>
        <w:tab/>
        <w:t>Ampliación del plazo contratado de la facilidad crediticia</w:t>
      </w:r>
      <w:r w:rsidR="00016D16" w:rsidRPr="004161AA">
        <w:rPr>
          <w:rFonts w:ascii="Arial Narrow" w:hAnsi="Arial Narrow"/>
        </w:rPr>
        <w:t>;</w:t>
      </w:r>
    </w:p>
    <w:p w14:paraId="0286FFE4" w14:textId="40526444" w:rsidR="00A84541" w:rsidRPr="004161AA" w:rsidRDefault="00A84541" w:rsidP="00351812">
      <w:pPr>
        <w:widowControl w:val="0"/>
        <w:ind w:left="426" w:hanging="426"/>
        <w:outlineLvl w:val="0"/>
        <w:rPr>
          <w:rFonts w:ascii="Arial Narrow" w:hAnsi="Arial Narrow"/>
        </w:rPr>
      </w:pPr>
      <w:r w:rsidRPr="004161AA">
        <w:rPr>
          <w:rFonts w:ascii="Arial Narrow" w:hAnsi="Arial Narrow"/>
        </w:rPr>
        <w:t>c)</w:t>
      </w:r>
      <w:r w:rsidRPr="004161AA">
        <w:rPr>
          <w:rFonts w:ascii="Arial Narrow" w:hAnsi="Arial Narrow"/>
        </w:rPr>
        <w:tab/>
        <w:t>Períodos de gracia de capital e intereses</w:t>
      </w:r>
      <w:r w:rsidR="00016D16" w:rsidRPr="004161AA">
        <w:rPr>
          <w:rFonts w:ascii="Arial Narrow" w:hAnsi="Arial Narrow"/>
        </w:rPr>
        <w:t>;</w:t>
      </w:r>
    </w:p>
    <w:p w14:paraId="101385E1" w14:textId="33DD685C" w:rsidR="00A84541" w:rsidRPr="004161AA" w:rsidRDefault="00A84541" w:rsidP="00351812">
      <w:pPr>
        <w:widowControl w:val="0"/>
        <w:ind w:left="426" w:hanging="426"/>
        <w:outlineLvl w:val="0"/>
        <w:rPr>
          <w:rFonts w:ascii="Arial Narrow" w:hAnsi="Arial Narrow"/>
        </w:rPr>
      </w:pPr>
      <w:r w:rsidRPr="004161AA">
        <w:rPr>
          <w:rFonts w:ascii="Arial Narrow" w:hAnsi="Arial Narrow"/>
        </w:rPr>
        <w:t>d)</w:t>
      </w:r>
      <w:r w:rsidRPr="004161AA">
        <w:rPr>
          <w:rFonts w:ascii="Arial Narrow" w:hAnsi="Arial Narrow"/>
        </w:rPr>
        <w:tab/>
        <w:t>Refinanciamientos</w:t>
      </w:r>
      <w:r w:rsidR="00016D16" w:rsidRPr="004161AA">
        <w:rPr>
          <w:rFonts w:ascii="Arial Narrow" w:hAnsi="Arial Narrow"/>
        </w:rPr>
        <w:t>;</w:t>
      </w:r>
    </w:p>
    <w:p w14:paraId="5803B71F" w14:textId="4FF95B3A" w:rsidR="00A84541" w:rsidRPr="004161AA" w:rsidRDefault="00A84541" w:rsidP="00351812">
      <w:pPr>
        <w:widowControl w:val="0"/>
        <w:ind w:left="426" w:hanging="426"/>
        <w:outlineLvl w:val="0"/>
        <w:rPr>
          <w:rFonts w:ascii="Arial Narrow" w:hAnsi="Arial Narrow"/>
        </w:rPr>
      </w:pPr>
      <w:r w:rsidRPr="004161AA">
        <w:rPr>
          <w:rFonts w:ascii="Arial Narrow" w:hAnsi="Arial Narrow"/>
        </w:rPr>
        <w:t>e)</w:t>
      </w:r>
      <w:r w:rsidRPr="004161AA">
        <w:rPr>
          <w:rFonts w:ascii="Arial Narrow" w:hAnsi="Arial Narrow"/>
        </w:rPr>
        <w:tab/>
        <w:t>Consolidaciones</w:t>
      </w:r>
      <w:r w:rsidR="00016D16" w:rsidRPr="004161AA">
        <w:rPr>
          <w:rFonts w:ascii="Arial Narrow" w:hAnsi="Arial Narrow"/>
        </w:rPr>
        <w:t>;</w:t>
      </w:r>
    </w:p>
    <w:p w14:paraId="2194FB74" w14:textId="2C2D96B0" w:rsidR="00A84541" w:rsidRPr="004161AA" w:rsidRDefault="00A84541" w:rsidP="00351812">
      <w:pPr>
        <w:widowControl w:val="0"/>
        <w:ind w:left="426" w:hanging="426"/>
        <w:outlineLvl w:val="0"/>
        <w:rPr>
          <w:rFonts w:ascii="Arial Narrow" w:hAnsi="Arial Narrow"/>
        </w:rPr>
      </w:pPr>
      <w:r w:rsidRPr="004161AA">
        <w:rPr>
          <w:rFonts w:ascii="Arial Narrow" w:hAnsi="Arial Narrow"/>
        </w:rPr>
        <w:t>f)</w:t>
      </w:r>
      <w:r w:rsidRPr="004161AA">
        <w:rPr>
          <w:rFonts w:ascii="Arial Narrow" w:hAnsi="Arial Narrow"/>
        </w:rPr>
        <w:tab/>
        <w:t>Reestructuraciones</w:t>
      </w:r>
      <w:r w:rsidR="00016D16" w:rsidRPr="004161AA">
        <w:rPr>
          <w:rFonts w:ascii="Arial Narrow" w:hAnsi="Arial Narrow"/>
        </w:rPr>
        <w:t>;</w:t>
      </w:r>
    </w:p>
    <w:p w14:paraId="6B7F46C9" w14:textId="0C88CC96" w:rsidR="00A84541" w:rsidRPr="004161AA" w:rsidRDefault="00A84541" w:rsidP="00351812">
      <w:pPr>
        <w:widowControl w:val="0"/>
        <w:ind w:left="426" w:hanging="426"/>
        <w:outlineLvl w:val="0"/>
        <w:rPr>
          <w:rFonts w:ascii="Arial Narrow" w:hAnsi="Arial Narrow"/>
        </w:rPr>
      </w:pPr>
      <w:r w:rsidRPr="004161AA">
        <w:rPr>
          <w:rFonts w:ascii="Arial Narrow" w:hAnsi="Arial Narrow"/>
        </w:rPr>
        <w:t>g)</w:t>
      </w:r>
      <w:r w:rsidRPr="004161AA">
        <w:rPr>
          <w:rFonts w:ascii="Arial Narrow" w:hAnsi="Arial Narrow"/>
        </w:rPr>
        <w:tab/>
        <w:t>Adecuaciones de cuotas</w:t>
      </w:r>
      <w:r w:rsidR="00016D16" w:rsidRPr="004161AA">
        <w:rPr>
          <w:rFonts w:ascii="Arial Narrow" w:hAnsi="Arial Narrow"/>
        </w:rPr>
        <w:t>; y</w:t>
      </w:r>
    </w:p>
    <w:p w14:paraId="0CCB8F53" w14:textId="771D47CB" w:rsidR="00A84541" w:rsidRPr="004161AA" w:rsidRDefault="00A84541" w:rsidP="00351812">
      <w:pPr>
        <w:widowControl w:val="0"/>
        <w:ind w:left="426" w:hanging="426"/>
        <w:outlineLvl w:val="0"/>
        <w:rPr>
          <w:rFonts w:ascii="Arial Narrow" w:hAnsi="Arial Narrow"/>
        </w:rPr>
      </w:pPr>
      <w:r w:rsidRPr="004161AA">
        <w:rPr>
          <w:rFonts w:ascii="Arial Narrow" w:hAnsi="Arial Narrow"/>
        </w:rPr>
        <w:t>h)</w:t>
      </w:r>
      <w:r w:rsidRPr="004161AA">
        <w:rPr>
          <w:rFonts w:ascii="Arial Narrow" w:hAnsi="Arial Narrow"/>
        </w:rPr>
        <w:tab/>
        <w:t>Diferimiento de cuotas de pago (Balloon Payment), entre otras</w:t>
      </w:r>
      <w:r w:rsidR="00016D16" w:rsidRPr="004161AA">
        <w:rPr>
          <w:rFonts w:ascii="Arial Narrow" w:hAnsi="Arial Narrow"/>
        </w:rPr>
        <w:t>.</w:t>
      </w:r>
    </w:p>
    <w:p w14:paraId="784611D4" w14:textId="77777777" w:rsidR="00A84541" w:rsidRPr="004161AA" w:rsidRDefault="00A84541" w:rsidP="00351812">
      <w:pPr>
        <w:widowControl w:val="0"/>
        <w:tabs>
          <w:tab w:val="left" w:pos="851"/>
        </w:tabs>
        <w:outlineLvl w:val="0"/>
        <w:rPr>
          <w:rFonts w:ascii="Arial Narrow" w:hAnsi="Arial Narrow"/>
        </w:rPr>
      </w:pPr>
    </w:p>
    <w:p w14:paraId="3326F870" w14:textId="1A821624" w:rsidR="00A84541" w:rsidRPr="004161AA" w:rsidRDefault="00A84541" w:rsidP="004D1CF5">
      <w:pPr>
        <w:widowControl w:val="0"/>
        <w:ind w:left="426" w:hanging="426"/>
        <w:outlineLvl w:val="0"/>
        <w:rPr>
          <w:rFonts w:ascii="Arial Narrow" w:hAnsi="Arial Narrow"/>
          <w:b/>
          <w:bCs/>
        </w:rPr>
      </w:pPr>
      <w:r w:rsidRPr="004161AA">
        <w:rPr>
          <w:rFonts w:ascii="Arial Narrow" w:hAnsi="Arial Narrow"/>
          <w:b/>
          <w:bCs/>
        </w:rPr>
        <w:t>4.2.</w:t>
      </w:r>
      <w:r w:rsidRPr="004161AA">
        <w:rPr>
          <w:rFonts w:ascii="Arial Narrow" w:hAnsi="Arial Narrow"/>
          <w:b/>
          <w:bCs/>
        </w:rPr>
        <w:tab/>
        <w:t>Sector Vivienda</w:t>
      </w:r>
    </w:p>
    <w:p w14:paraId="50DE2782" w14:textId="3DD5D2B6" w:rsidR="00A84541" w:rsidRPr="004161AA" w:rsidRDefault="00A84541" w:rsidP="00351812">
      <w:pPr>
        <w:widowControl w:val="0"/>
        <w:tabs>
          <w:tab w:val="left" w:pos="851"/>
        </w:tabs>
        <w:spacing w:after="120"/>
        <w:outlineLvl w:val="0"/>
        <w:rPr>
          <w:rFonts w:ascii="Arial Narrow" w:hAnsi="Arial Narrow"/>
        </w:rPr>
      </w:pPr>
      <w:r w:rsidRPr="004161AA">
        <w:rPr>
          <w:rFonts w:ascii="Arial Narrow" w:hAnsi="Arial Narrow"/>
        </w:rPr>
        <w:t xml:space="preserve">Para el segmento de vivienda, la política podrá contener una gama de herramientas de aplicación inmediata que permitan la no afectación de la calidad crediticia del deudor, los costos de las entidades a través de la constitución de </w:t>
      </w:r>
      <w:r w:rsidR="00BE5ECC" w:rsidRPr="004161AA">
        <w:rPr>
          <w:rFonts w:ascii="Arial Narrow" w:hAnsi="Arial Narrow"/>
        </w:rPr>
        <w:t xml:space="preserve">reservas </w:t>
      </w:r>
      <w:r w:rsidRPr="004161AA">
        <w:rPr>
          <w:rFonts w:ascii="Arial Narrow" w:hAnsi="Arial Narrow"/>
        </w:rPr>
        <w:t xml:space="preserve">de </w:t>
      </w:r>
      <w:r w:rsidR="00BE5ECC" w:rsidRPr="004161AA">
        <w:rPr>
          <w:rFonts w:ascii="Arial Narrow" w:hAnsi="Arial Narrow"/>
        </w:rPr>
        <w:t xml:space="preserve">saneamiento </w:t>
      </w:r>
      <w:r w:rsidRPr="004161AA">
        <w:rPr>
          <w:rFonts w:ascii="Arial Narrow" w:hAnsi="Arial Narrow"/>
        </w:rPr>
        <w:t>y la estabilidad del núcleo familiar, entre las cuales se podrían incluir, en función de las condiciones de los deudores y tipo de vivienda que se posea, las siguientes condiciones:</w:t>
      </w:r>
    </w:p>
    <w:p w14:paraId="5E58CA30" w14:textId="221BED85" w:rsidR="00A84541" w:rsidRPr="004161AA" w:rsidRDefault="00A84541" w:rsidP="00351812">
      <w:pPr>
        <w:widowControl w:val="0"/>
        <w:ind w:left="426" w:hanging="426"/>
        <w:outlineLvl w:val="0"/>
        <w:rPr>
          <w:rFonts w:ascii="Arial Narrow" w:hAnsi="Arial Narrow"/>
        </w:rPr>
      </w:pPr>
      <w:r w:rsidRPr="004161AA">
        <w:rPr>
          <w:rFonts w:ascii="Arial Narrow" w:hAnsi="Arial Narrow"/>
        </w:rPr>
        <w:t>a)</w:t>
      </w:r>
      <w:r w:rsidRPr="004161AA">
        <w:rPr>
          <w:rFonts w:ascii="Arial Narrow" w:hAnsi="Arial Narrow"/>
        </w:rPr>
        <w:tab/>
        <w:t>Adecuaciones a Planes de Pago</w:t>
      </w:r>
      <w:r w:rsidR="00BA390C" w:rsidRPr="004161AA">
        <w:rPr>
          <w:rFonts w:ascii="Arial Narrow" w:hAnsi="Arial Narrow"/>
        </w:rPr>
        <w:t>;</w:t>
      </w:r>
      <w:r w:rsidRPr="004161AA">
        <w:rPr>
          <w:rFonts w:ascii="Arial Narrow" w:hAnsi="Arial Narrow"/>
        </w:rPr>
        <w:t xml:space="preserve"> </w:t>
      </w:r>
    </w:p>
    <w:p w14:paraId="0F5186C1" w14:textId="2473D76B" w:rsidR="00A84541" w:rsidRPr="004161AA" w:rsidRDefault="00A84541" w:rsidP="00351812">
      <w:pPr>
        <w:widowControl w:val="0"/>
        <w:ind w:left="426" w:hanging="426"/>
        <w:outlineLvl w:val="0"/>
        <w:rPr>
          <w:rFonts w:ascii="Arial Narrow" w:hAnsi="Arial Narrow"/>
        </w:rPr>
      </w:pPr>
      <w:r w:rsidRPr="004161AA">
        <w:rPr>
          <w:rFonts w:ascii="Arial Narrow" w:hAnsi="Arial Narrow"/>
        </w:rPr>
        <w:t>b)</w:t>
      </w:r>
      <w:r w:rsidRPr="004161AA">
        <w:rPr>
          <w:rFonts w:ascii="Arial Narrow" w:hAnsi="Arial Narrow"/>
        </w:rPr>
        <w:tab/>
        <w:t>Pr</w:t>
      </w:r>
      <w:r w:rsidR="00140612" w:rsidRPr="004161AA">
        <w:rPr>
          <w:rFonts w:ascii="Arial Narrow" w:hAnsi="Arial Narrow"/>
        </w:rPr>
        <w:t>ó</w:t>
      </w:r>
      <w:r w:rsidRPr="004161AA">
        <w:rPr>
          <w:rFonts w:ascii="Arial Narrow" w:hAnsi="Arial Narrow"/>
        </w:rPr>
        <w:t>rrogas</w:t>
      </w:r>
      <w:r w:rsidR="00BA390C" w:rsidRPr="004161AA">
        <w:rPr>
          <w:rFonts w:ascii="Arial Narrow" w:hAnsi="Arial Narrow"/>
        </w:rPr>
        <w:t>;</w:t>
      </w:r>
    </w:p>
    <w:p w14:paraId="45AB627E" w14:textId="0B1BDE05" w:rsidR="00A84541" w:rsidRPr="004161AA" w:rsidRDefault="00A84541" w:rsidP="00351812">
      <w:pPr>
        <w:widowControl w:val="0"/>
        <w:ind w:left="426" w:hanging="426"/>
        <w:outlineLvl w:val="0"/>
        <w:rPr>
          <w:rFonts w:ascii="Arial Narrow" w:hAnsi="Arial Narrow"/>
        </w:rPr>
      </w:pPr>
      <w:r w:rsidRPr="004161AA">
        <w:rPr>
          <w:rFonts w:ascii="Arial Narrow" w:hAnsi="Arial Narrow"/>
        </w:rPr>
        <w:t>c)</w:t>
      </w:r>
      <w:r w:rsidRPr="004161AA">
        <w:rPr>
          <w:rFonts w:ascii="Arial Narrow" w:hAnsi="Arial Narrow"/>
        </w:rPr>
        <w:tab/>
        <w:t>Ampliaciones de plazo</w:t>
      </w:r>
      <w:r w:rsidR="00BA390C" w:rsidRPr="004161AA">
        <w:rPr>
          <w:rFonts w:ascii="Arial Narrow" w:hAnsi="Arial Narrow"/>
        </w:rPr>
        <w:t>;</w:t>
      </w:r>
      <w:r w:rsidRPr="004161AA">
        <w:rPr>
          <w:rFonts w:ascii="Arial Narrow" w:hAnsi="Arial Narrow"/>
        </w:rPr>
        <w:t xml:space="preserve"> </w:t>
      </w:r>
    </w:p>
    <w:p w14:paraId="5AEE6772" w14:textId="77777777" w:rsidR="00A84541" w:rsidRPr="004161AA" w:rsidRDefault="00A84541" w:rsidP="00351812">
      <w:pPr>
        <w:widowControl w:val="0"/>
        <w:ind w:left="426" w:hanging="426"/>
        <w:outlineLvl w:val="0"/>
        <w:rPr>
          <w:rFonts w:ascii="Arial Narrow" w:hAnsi="Arial Narrow"/>
        </w:rPr>
      </w:pPr>
      <w:r w:rsidRPr="004161AA">
        <w:rPr>
          <w:rFonts w:ascii="Arial Narrow" w:hAnsi="Arial Narrow"/>
        </w:rPr>
        <w:t>d)</w:t>
      </w:r>
      <w:r w:rsidRPr="004161AA">
        <w:rPr>
          <w:rFonts w:ascii="Arial Narrow" w:hAnsi="Arial Narrow"/>
        </w:rPr>
        <w:tab/>
        <w:t xml:space="preserve">Créditos Reprogramados </w:t>
      </w:r>
    </w:p>
    <w:p w14:paraId="07035AEE" w14:textId="1DD8DA63" w:rsidR="00A84541" w:rsidRPr="004161AA" w:rsidRDefault="00351812" w:rsidP="006E19F3">
      <w:pPr>
        <w:widowControl w:val="0"/>
        <w:ind w:left="709" w:hanging="283"/>
        <w:outlineLvl w:val="0"/>
        <w:rPr>
          <w:rFonts w:ascii="Arial Narrow" w:hAnsi="Arial Narrow"/>
        </w:rPr>
      </w:pPr>
      <w:r w:rsidRPr="004161AA">
        <w:rPr>
          <w:rFonts w:ascii="Arial Narrow" w:hAnsi="Arial Narrow"/>
        </w:rPr>
        <w:t>i.</w:t>
      </w:r>
      <w:r w:rsidRPr="004161AA">
        <w:rPr>
          <w:rFonts w:ascii="Arial Narrow" w:hAnsi="Arial Narrow"/>
        </w:rPr>
        <w:tab/>
      </w:r>
      <w:r w:rsidR="00A84541" w:rsidRPr="004161AA">
        <w:rPr>
          <w:rFonts w:ascii="Arial Narrow" w:hAnsi="Arial Narrow"/>
        </w:rPr>
        <w:t>Períodos de Gracia Capital</w:t>
      </w:r>
      <w:r w:rsidR="00BA390C" w:rsidRPr="004161AA">
        <w:rPr>
          <w:rFonts w:ascii="Arial Narrow" w:hAnsi="Arial Narrow"/>
        </w:rPr>
        <w:t>; y</w:t>
      </w:r>
      <w:r w:rsidR="00A84541" w:rsidRPr="004161AA">
        <w:rPr>
          <w:rFonts w:ascii="Arial Narrow" w:hAnsi="Arial Narrow"/>
        </w:rPr>
        <w:t xml:space="preserve"> </w:t>
      </w:r>
    </w:p>
    <w:p w14:paraId="26C42020" w14:textId="233ECD33" w:rsidR="00A84541" w:rsidRPr="004161AA" w:rsidRDefault="00351812" w:rsidP="006E19F3">
      <w:pPr>
        <w:widowControl w:val="0"/>
        <w:ind w:left="709" w:hanging="283"/>
        <w:outlineLvl w:val="0"/>
        <w:rPr>
          <w:rFonts w:ascii="Arial Narrow" w:hAnsi="Arial Narrow"/>
        </w:rPr>
      </w:pPr>
      <w:r w:rsidRPr="004161AA">
        <w:rPr>
          <w:rFonts w:ascii="Arial Narrow" w:hAnsi="Arial Narrow"/>
        </w:rPr>
        <w:t>ii.</w:t>
      </w:r>
      <w:r w:rsidRPr="004161AA">
        <w:rPr>
          <w:rFonts w:ascii="Arial Narrow" w:hAnsi="Arial Narrow"/>
        </w:rPr>
        <w:tab/>
      </w:r>
      <w:r w:rsidR="00A84541" w:rsidRPr="004161AA">
        <w:rPr>
          <w:rFonts w:ascii="Arial Narrow" w:hAnsi="Arial Narrow"/>
        </w:rPr>
        <w:t>Pago al final (Balloon Payment)</w:t>
      </w:r>
      <w:r w:rsidR="00BA390C" w:rsidRPr="004161AA">
        <w:rPr>
          <w:rFonts w:ascii="Arial Narrow" w:hAnsi="Arial Narrow"/>
        </w:rPr>
        <w:t>;</w:t>
      </w:r>
      <w:r w:rsidR="00A84541" w:rsidRPr="004161AA">
        <w:rPr>
          <w:rFonts w:ascii="Arial Narrow" w:hAnsi="Arial Narrow"/>
        </w:rPr>
        <w:t xml:space="preserve"> </w:t>
      </w:r>
    </w:p>
    <w:p w14:paraId="4D111FED" w14:textId="7D5DEF09" w:rsidR="00A84541" w:rsidRPr="004161AA" w:rsidRDefault="00A84541" w:rsidP="00351812">
      <w:pPr>
        <w:widowControl w:val="0"/>
        <w:ind w:left="426" w:hanging="426"/>
        <w:outlineLvl w:val="0"/>
        <w:rPr>
          <w:rFonts w:ascii="Arial Narrow" w:hAnsi="Arial Narrow"/>
        </w:rPr>
      </w:pPr>
      <w:r w:rsidRPr="004161AA">
        <w:rPr>
          <w:rFonts w:ascii="Arial Narrow" w:hAnsi="Arial Narrow"/>
        </w:rPr>
        <w:t>e)</w:t>
      </w:r>
      <w:r w:rsidRPr="004161AA">
        <w:rPr>
          <w:rFonts w:ascii="Arial Narrow" w:hAnsi="Arial Narrow"/>
        </w:rPr>
        <w:tab/>
        <w:t>Crédito Refinanciado (Mono o múltiple producto)</w:t>
      </w:r>
      <w:r w:rsidR="00B00598" w:rsidRPr="004161AA">
        <w:rPr>
          <w:rFonts w:ascii="Arial Narrow" w:hAnsi="Arial Narrow"/>
        </w:rPr>
        <w:t>; y</w:t>
      </w:r>
    </w:p>
    <w:p w14:paraId="250298B2" w14:textId="17A8352B" w:rsidR="00A84541" w:rsidRPr="004161AA" w:rsidRDefault="00A84541" w:rsidP="00351812">
      <w:pPr>
        <w:widowControl w:val="0"/>
        <w:ind w:left="426" w:hanging="426"/>
        <w:outlineLvl w:val="0"/>
        <w:rPr>
          <w:rFonts w:ascii="Arial Narrow" w:hAnsi="Arial Narrow"/>
        </w:rPr>
      </w:pPr>
      <w:r w:rsidRPr="004161AA">
        <w:rPr>
          <w:rFonts w:ascii="Arial Narrow" w:hAnsi="Arial Narrow"/>
        </w:rPr>
        <w:t>f)</w:t>
      </w:r>
      <w:r w:rsidRPr="004161AA">
        <w:rPr>
          <w:rFonts w:ascii="Arial Narrow" w:hAnsi="Arial Narrow"/>
        </w:rPr>
        <w:tab/>
        <w:t>Consolidación</w:t>
      </w:r>
      <w:r w:rsidR="00B00598" w:rsidRPr="004161AA">
        <w:rPr>
          <w:rFonts w:ascii="Arial Narrow" w:hAnsi="Arial Narrow"/>
        </w:rPr>
        <w:t>.</w:t>
      </w:r>
    </w:p>
    <w:p w14:paraId="0E48D0DC" w14:textId="77777777" w:rsidR="00351812" w:rsidRPr="004161AA" w:rsidRDefault="00351812" w:rsidP="00351812">
      <w:pPr>
        <w:widowControl w:val="0"/>
        <w:tabs>
          <w:tab w:val="left" w:pos="851"/>
        </w:tabs>
        <w:outlineLvl w:val="0"/>
        <w:rPr>
          <w:rFonts w:ascii="Arial Narrow" w:hAnsi="Arial Narrow"/>
          <w:b/>
          <w:bCs/>
        </w:rPr>
      </w:pPr>
    </w:p>
    <w:p w14:paraId="36849957" w14:textId="53F58DAC" w:rsidR="00A84541" w:rsidRPr="004161AA" w:rsidRDefault="00A84541" w:rsidP="004D1CF5">
      <w:pPr>
        <w:widowControl w:val="0"/>
        <w:ind w:left="426" w:hanging="426"/>
        <w:outlineLvl w:val="0"/>
        <w:rPr>
          <w:rFonts w:ascii="Arial Narrow" w:hAnsi="Arial Narrow"/>
          <w:b/>
          <w:bCs/>
        </w:rPr>
      </w:pPr>
      <w:r w:rsidRPr="004161AA">
        <w:rPr>
          <w:rFonts w:ascii="Arial Narrow" w:hAnsi="Arial Narrow"/>
          <w:b/>
          <w:bCs/>
        </w:rPr>
        <w:t>4.3.</w:t>
      </w:r>
      <w:r w:rsidRPr="004161AA">
        <w:rPr>
          <w:rFonts w:ascii="Arial Narrow" w:hAnsi="Arial Narrow"/>
          <w:b/>
          <w:bCs/>
        </w:rPr>
        <w:tab/>
        <w:t>Sector Consumo</w:t>
      </w:r>
    </w:p>
    <w:p w14:paraId="232097EB" w14:textId="652BCFCD" w:rsidR="00A84541" w:rsidRDefault="00A84541" w:rsidP="00A84541">
      <w:pPr>
        <w:widowControl w:val="0"/>
        <w:tabs>
          <w:tab w:val="left" w:pos="851"/>
        </w:tabs>
        <w:spacing w:after="120"/>
        <w:outlineLvl w:val="0"/>
        <w:rPr>
          <w:rFonts w:ascii="Arial Narrow" w:hAnsi="Arial Narrow"/>
        </w:rPr>
      </w:pPr>
      <w:r w:rsidRPr="004161AA">
        <w:rPr>
          <w:rFonts w:ascii="Arial Narrow" w:hAnsi="Arial Narrow"/>
        </w:rPr>
        <w:t xml:space="preserve">Para los portafolios del sector consumo, estas políticas deben considerar herramientas de aplicación inmediata que permitan la no afectación de la calidad crediticia del deudor afectada por las condiciones generadas por el COVID-19 y los costos de las entidades a través de la constitución de </w:t>
      </w:r>
      <w:r w:rsidR="00BE5ECC" w:rsidRPr="004161AA">
        <w:rPr>
          <w:rFonts w:ascii="Arial Narrow" w:hAnsi="Arial Narrow"/>
        </w:rPr>
        <w:t xml:space="preserve">reservas </w:t>
      </w:r>
      <w:r w:rsidRPr="004161AA">
        <w:rPr>
          <w:rFonts w:ascii="Arial Narrow" w:hAnsi="Arial Narrow"/>
        </w:rPr>
        <w:t xml:space="preserve">de </w:t>
      </w:r>
      <w:r w:rsidR="00BE5ECC" w:rsidRPr="004161AA">
        <w:rPr>
          <w:rFonts w:ascii="Arial Narrow" w:hAnsi="Arial Narrow"/>
        </w:rPr>
        <w:t>saneamiento</w:t>
      </w:r>
      <w:r w:rsidRPr="004161AA">
        <w:rPr>
          <w:rFonts w:ascii="Arial Narrow" w:hAnsi="Arial Narrow"/>
        </w:rPr>
        <w:t>, entre las cuales se podrían incluir, en función de los nichos y principales destinos de consumo, las herramientas</w:t>
      </w:r>
      <w:r w:rsidR="00CF23A2" w:rsidRPr="004161AA">
        <w:rPr>
          <w:rFonts w:ascii="Arial Narrow" w:hAnsi="Arial Narrow"/>
        </w:rPr>
        <w:t xml:space="preserve"> siguientes</w:t>
      </w:r>
      <w:r w:rsidRPr="004161AA">
        <w:rPr>
          <w:rFonts w:ascii="Arial Narrow" w:hAnsi="Arial Narrow"/>
        </w:rPr>
        <w:t>:</w:t>
      </w:r>
    </w:p>
    <w:p w14:paraId="01D94260" w14:textId="77777777" w:rsidR="00064312" w:rsidRDefault="00064312" w:rsidP="00A84541">
      <w:pPr>
        <w:widowControl w:val="0"/>
        <w:tabs>
          <w:tab w:val="left" w:pos="851"/>
        </w:tabs>
        <w:spacing w:after="120"/>
        <w:outlineLvl w:val="0"/>
        <w:rPr>
          <w:rFonts w:ascii="Arial Narrow" w:hAnsi="Arial Narrow"/>
        </w:rPr>
      </w:pPr>
    </w:p>
    <w:p w14:paraId="32CA1EE1" w14:textId="77777777" w:rsidR="009A3F64" w:rsidRPr="004161AA" w:rsidRDefault="009A3F64" w:rsidP="009A3F64">
      <w:pPr>
        <w:widowControl w:val="0"/>
        <w:tabs>
          <w:tab w:val="left" w:pos="851"/>
        </w:tabs>
        <w:jc w:val="right"/>
        <w:outlineLvl w:val="0"/>
        <w:rPr>
          <w:rFonts w:ascii="Arial Narrow" w:hAnsi="Arial Narrow"/>
          <w:b/>
          <w:bCs/>
        </w:rPr>
      </w:pPr>
      <w:r w:rsidRPr="004161AA">
        <w:rPr>
          <w:rFonts w:ascii="Arial Narrow" w:hAnsi="Arial Narrow"/>
          <w:b/>
          <w:bCs/>
        </w:rPr>
        <w:t>Anexo No. 1</w:t>
      </w:r>
    </w:p>
    <w:p w14:paraId="68E97EE5" w14:textId="77777777" w:rsidR="00A84541" w:rsidRPr="004161AA" w:rsidRDefault="00A84541" w:rsidP="00351812">
      <w:pPr>
        <w:widowControl w:val="0"/>
        <w:ind w:left="426" w:hanging="426"/>
        <w:outlineLvl w:val="0"/>
        <w:rPr>
          <w:rFonts w:ascii="Arial Narrow" w:hAnsi="Arial Narrow"/>
        </w:rPr>
      </w:pPr>
      <w:r w:rsidRPr="004161AA">
        <w:rPr>
          <w:rFonts w:ascii="Arial Narrow" w:hAnsi="Arial Narrow"/>
        </w:rPr>
        <w:t>a)</w:t>
      </w:r>
      <w:r w:rsidRPr="004161AA">
        <w:rPr>
          <w:rFonts w:ascii="Arial Narrow" w:hAnsi="Arial Narrow"/>
        </w:rPr>
        <w:tab/>
        <w:t>Tarjeta de Crédito</w:t>
      </w:r>
    </w:p>
    <w:p w14:paraId="60B5FAEB" w14:textId="4253337D" w:rsidR="00A84541" w:rsidRPr="004161AA" w:rsidRDefault="00A84541" w:rsidP="006E19F3">
      <w:pPr>
        <w:widowControl w:val="0"/>
        <w:ind w:left="709" w:hanging="283"/>
        <w:outlineLvl w:val="0"/>
        <w:rPr>
          <w:rFonts w:ascii="Arial Narrow" w:hAnsi="Arial Narrow"/>
        </w:rPr>
      </w:pPr>
      <w:r w:rsidRPr="004161AA">
        <w:rPr>
          <w:rFonts w:ascii="Arial Narrow" w:hAnsi="Arial Narrow"/>
        </w:rPr>
        <w:t>i.</w:t>
      </w:r>
      <w:r w:rsidRPr="004161AA">
        <w:rPr>
          <w:rFonts w:ascii="Arial Narrow" w:hAnsi="Arial Narrow"/>
        </w:rPr>
        <w:tab/>
        <w:t>Considerar los cargos como una compra a plazo</w:t>
      </w:r>
      <w:r w:rsidR="00B00598" w:rsidRPr="004161AA">
        <w:rPr>
          <w:rFonts w:ascii="Arial Narrow" w:hAnsi="Arial Narrow"/>
        </w:rPr>
        <w:t>;</w:t>
      </w:r>
    </w:p>
    <w:p w14:paraId="40680082" w14:textId="268DA1FF" w:rsidR="00A84541" w:rsidRPr="004161AA" w:rsidRDefault="00A84541" w:rsidP="006E19F3">
      <w:pPr>
        <w:widowControl w:val="0"/>
        <w:ind w:left="709" w:hanging="283"/>
        <w:outlineLvl w:val="0"/>
        <w:rPr>
          <w:rFonts w:ascii="Arial Narrow" w:hAnsi="Arial Narrow"/>
        </w:rPr>
      </w:pPr>
      <w:r w:rsidRPr="004161AA">
        <w:rPr>
          <w:rFonts w:ascii="Arial Narrow" w:hAnsi="Arial Narrow"/>
        </w:rPr>
        <w:t>ii.</w:t>
      </w:r>
      <w:r w:rsidRPr="004161AA">
        <w:rPr>
          <w:rFonts w:ascii="Arial Narrow" w:hAnsi="Arial Narrow"/>
        </w:rPr>
        <w:tab/>
        <w:t>Establecer Planes de Pago</w:t>
      </w:r>
      <w:r w:rsidR="00B00598" w:rsidRPr="004161AA">
        <w:rPr>
          <w:rFonts w:ascii="Arial Narrow" w:hAnsi="Arial Narrow"/>
        </w:rPr>
        <w:t>; y</w:t>
      </w:r>
    </w:p>
    <w:p w14:paraId="70E84DB8" w14:textId="729F66EB" w:rsidR="00A84541" w:rsidRPr="004161AA" w:rsidRDefault="00A84541" w:rsidP="00351812">
      <w:pPr>
        <w:widowControl w:val="0"/>
        <w:ind w:left="851" w:hanging="425"/>
        <w:outlineLvl w:val="0"/>
        <w:rPr>
          <w:rFonts w:ascii="Arial Narrow" w:hAnsi="Arial Narrow"/>
        </w:rPr>
      </w:pPr>
      <w:r w:rsidRPr="004161AA">
        <w:rPr>
          <w:rFonts w:ascii="Arial Narrow" w:hAnsi="Arial Narrow"/>
        </w:rPr>
        <w:t>iii.</w:t>
      </w:r>
      <w:r w:rsidRPr="004161AA">
        <w:rPr>
          <w:rFonts w:ascii="Arial Narrow" w:hAnsi="Arial Narrow"/>
        </w:rPr>
        <w:tab/>
        <w:t>Consolidación, entre otros</w:t>
      </w:r>
      <w:r w:rsidR="00F03C2B" w:rsidRPr="004161AA">
        <w:rPr>
          <w:rFonts w:ascii="Arial Narrow" w:hAnsi="Arial Narrow"/>
        </w:rPr>
        <w:t>.</w:t>
      </w:r>
    </w:p>
    <w:p w14:paraId="18C75AF0" w14:textId="77777777" w:rsidR="00A84541" w:rsidRPr="004161AA" w:rsidRDefault="00A84541" w:rsidP="00351812">
      <w:pPr>
        <w:widowControl w:val="0"/>
        <w:ind w:left="426" w:hanging="426"/>
        <w:outlineLvl w:val="0"/>
        <w:rPr>
          <w:rFonts w:ascii="Arial Narrow" w:hAnsi="Arial Narrow"/>
        </w:rPr>
      </w:pPr>
      <w:r w:rsidRPr="004161AA">
        <w:rPr>
          <w:rFonts w:ascii="Arial Narrow" w:hAnsi="Arial Narrow"/>
        </w:rPr>
        <w:t>b)</w:t>
      </w:r>
      <w:r w:rsidRPr="004161AA">
        <w:rPr>
          <w:rFonts w:ascii="Arial Narrow" w:hAnsi="Arial Narrow"/>
        </w:rPr>
        <w:tab/>
        <w:t>Consumo</w:t>
      </w:r>
    </w:p>
    <w:p w14:paraId="32F87910" w14:textId="6AB6309D" w:rsidR="00A84541" w:rsidRPr="004161AA" w:rsidRDefault="00A84541" w:rsidP="006E19F3">
      <w:pPr>
        <w:widowControl w:val="0"/>
        <w:ind w:left="709" w:hanging="283"/>
        <w:outlineLvl w:val="0"/>
        <w:rPr>
          <w:rFonts w:ascii="Arial Narrow" w:hAnsi="Arial Narrow"/>
        </w:rPr>
      </w:pPr>
      <w:r w:rsidRPr="004161AA">
        <w:rPr>
          <w:rFonts w:ascii="Arial Narrow" w:hAnsi="Arial Narrow"/>
        </w:rPr>
        <w:t>i.</w:t>
      </w:r>
      <w:r w:rsidRPr="004161AA">
        <w:rPr>
          <w:rFonts w:ascii="Arial Narrow" w:hAnsi="Arial Narrow"/>
        </w:rPr>
        <w:tab/>
        <w:t>Adecuar Planes de Pago</w:t>
      </w:r>
      <w:r w:rsidR="00F03C2B" w:rsidRPr="004161AA">
        <w:rPr>
          <w:rFonts w:ascii="Arial Narrow" w:hAnsi="Arial Narrow"/>
        </w:rPr>
        <w:t>;</w:t>
      </w:r>
    </w:p>
    <w:p w14:paraId="0149266B" w14:textId="723B2A81" w:rsidR="00A84541" w:rsidRPr="004161AA" w:rsidRDefault="00A84541" w:rsidP="006E19F3">
      <w:pPr>
        <w:widowControl w:val="0"/>
        <w:ind w:left="709" w:hanging="283"/>
        <w:outlineLvl w:val="0"/>
        <w:rPr>
          <w:rFonts w:ascii="Arial Narrow" w:hAnsi="Arial Narrow"/>
        </w:rPr>
      </w:pPr>
      <w:r w:rsidRPr="004161AA">
        <w:rPr>
          <w:rFonts w:ascii="Arial Narrow" w:hAnsi="Arial Narrow"/>
        </w:rPr>
        <w:t>ii.</w:t>
      </w:r>
      <w:r w:rsidRPr="004161AA">
        <w:rPr>
          <w:rFonts w:ascii="Arial Narrow" w:hAnsi="Arial Narrow"/>
        </w:rPr>
        <w:tab/>
        <w:t>Reducción de tasas de interés (incentivo)</w:t>
      </w:r>
      <w:r w:rsidR="00FE7AA9" w:rsidRPr="004161AA">
        <w:rPr>
          <w:rFonts w:ascii="Arial Narrow" w:hAnsi="Arial Narrow"/>
        </w:rPr>
        <w:t>;</w:t>
      </w:r>
    </w:p>
    <w:p w14:paraId="6E5394E9" w14:textId="0E8EAE67" w:rsidR="00A84541" w:rsidRPr="004161AA" w:rsidRDefault="00A84541" w:rsidP="006E19F3">
      <w:pPr>
        <w:widowControl w:val="0"/>
        <w:ind w:left="709" w:hanging="283"/>
        <w:outlineLvl w:val="0"/>
        <w:rPr>
          <w:rFonts w:ascii="Arial Narrow" w:hAnsi="Arial Narrow"/>
        </w:rPr>
      </w:pPr>
      <w:r w:rsidRPr="004161AA">
        <w:rPr>
          <w:rFonts w:ascii="Arial Narrow" w:hAnsi="Arial Narrow"/>
        </w:rPr>
        <w:t>iii.</w:t>
      </w:r>
      <w:r w:rsidRPr="004161AA">
        <w:rPr>
          <w:rFonts w:ascii="Arial Narrow" w:hAnsi="Arial Narrow"/>
        </w:rPr>
        <w:tab/>
        <w:t>Pr</w:t>
      </w:r>
      <w:r w:rsidR="0099244E">
        <w:rPr>
          <w:rFonts w:ascii="Arial Narrow" w:hAnsi="Arial Narrow"/>
        </w:rPr>
        <w:t>ó</w:t>
      </w:r>
      <w:r w:rsidRPr="004161AA">
        <w:rPr>
          <w:rFonts w:ascii="Arial Narrow" w:hAnsi="Arial Narrow"/>
        </w:rPr>
        <w:t>rrogas/ Ampliaciones de plazo</w:t>
      </w:r>
      <w:r w:rsidR="00FE7AA9" w:rsidRPr="004161AA">
        <w:rPr>
          <w:rFonts w:ascii="Arial Narrow" w:hAnsi="Arial Narrow"/>
        </w:rPr>
        <w:t>;</w:t>
      </w:r>
    </w:p>
    <w:p w14:paraId="178497C6" w14:textId="525E59A5" w:rsidR="00A84541" w:rsidRPr="004161AA" w:rsidRDefault="00A84541" w:rsidP="006E19F3">
      <w:pPr>
        <w:widowControl w:val="0"/>
        <w:ind w:left="709" w:hanging="283"/>
        <w:outlineLvl w:val="0"/>
        <w:rPr>
          <w:rFonts w:ascii="Arial Narrow" w:hAnsi="Arial Narrow"/>
        </w:rPr>
      </w:pPr>
      <w:r w:rsidRPr="004161AA">
        <w:rPr>
          <w:rFonts w:ascii="Arial Narrow" w:hAnsi="Arial Narrow"/>
        </w:rPr>
        <w:t>iv.</w:t>
      </w:r>
      <w:r w:rsidRPr="004161AA">
        <w:rPr>
          <w:rFonts w:ascii="Arial Narrow" w:hAnsi="Arial Narrow"/>
        </w:rPr>
        <w:tab/>
        <w:t>Créditos Reprogramados</w:t>
      </w:r>
    </w:p>
    <w:p w14:paraId="54BF3FF3" w14:textId="05BC1A79" w:rsidR="00A84541" w:rsidRPr="004161AA" w:rsidRDefault="00A84541" w:rsidP="006E19F3">
      <w:pPr>
        <w:widowControl w:val="0"/>
        <w:ind w:left="993" w:hanging="285"/>
        <w:outlineLvl w:val="0"/>
        <w:rPr>
          <w:rFonts w:ascii="Arial Narrow" w:hAnsi="Arial Narrow"/>
        </w:rPr>
      </w:pPr>
      <w:r w:rsidRPr="004161AA">
        <w:rPr>
          <w:rFonts w:ascii="Arial Narrow" w:hAnsi="Arial Narrow"/>
        </w:rPr>
        <w:t>•</w:t>
      </w:r>
      <w:r w:rsidRPr="004161AA">
        <w:rPr>
          <w:rFonts w:ascii="Arial Narrow" w:hAnsi="Arial Narrow"/>
        </w:rPr>
        <w:tab/>
        <w:t>Períodos de Gracia Capital</w:t>
      </w:r>
      <w:r w:rsidR="00FE7AA9" w:rsidRPr="004161AA">
        <w:rPr>
          <w:rFonts w:ascii="Arial Narrow" w:hAnsi="Arial Narrow"/>
        </w:rPr>
        <w:t>; y</w:t>
      </w:r>
      <w:r w:rsidRPr="004161AA">
        <w:rPr>
          <w:rFonts w:ascii="Arial Narrow" w:hAnsi="Arial Narrow"/>
        </w:rPr>
        <w:t xml:space="preserve"> </w:t>
      </w:r>
    </w:p>
    <w:p w14:paraId="48052FE2" w14:textId="1C50554C" w:rsidR="00A84541" w:rsidRPr="004161AA" w:rsidRDefault="00A84541" w:rsidP="006E19F3">
      <w:pPr>
        <w:widowControl w:val="0"/>
        <w:ind w:left="993" w:hanging="285"/>
        <w:outlineLvl w:val="0"/>
        <w:rPr>
          <w:rFonts w:ascii="Arial Narrow" w:hAnsi="Arial Narrow"/>
        </w:rPr>
      </w:pPr>
      <w:r w:rsidRPr="004161AA">
        <w:rPr>
          <w:rFonts w:ascii="Arial Narrow" w:hAnsi="Arial Narrow"/>
        </w:rPr>
        <w:t>•</w:t>
      </w:r>
      <w:r w:rsidRPr="004161AA">
        <w:rPr>
          <w:rFonts w:ascii="Arial Narrow" w:hAnsi="Arial Narrow"/>
        </w:rPr>
        <w:tab/>
        <w:t>Pago al final (Balloon Payment)</w:t>
      </w:r>
      <w:r w:rsidR="00FE7AA9" w:rsidRPr="004161AA">
        <w:rPr>
          <w:rFonts w:ascii="Arial Narrow" w:hAnsi="Arial Narrow"/>
        </w:rPr>
        <w:t>;</w:t>
      </w:r>
      <w:r w:rsidRPr="004161AA">
        <w:rPr>
          <w:rFonts w:ascii="Arial Narrow" w:hAnsi="Arial Narrow"/>
        </w:rPr>
        <w:t xml:space="preserve"> </w:t>
      </w:r>
    </w:p>
    <w:p w14:paraId="0A0ACC71" w14:textId="12304E48" w:rsidR="00A84541" w:rsidRPr="004161AA" w:rsidRDefault="00A84541" w:rsidP="006E19F3">
      <w:pPr>
        <w:widowControl w:val="0"/>
        <w:ind w:left="709" w:hanging="283"/>
        <w:outlineLvl w:val="0"/>
        <w:rPr>
          <w:rFonts w:ascii="Arial Narrow" w:hAnsi="Arial Narrow"/>
        </w:rPr>
      </w:pPr>
      <w:r w:rsidRPr="004161AA">
        <w:rPr>
          <w:rFonts w:ascii="Arial Narrow" w:hAnsi="Arial Narrow"/>
        </w:rPr>
        <w:t>v.</w:t>
      </w:r>
      <w:r w:rsidRPr="004161AA">
        <w:rPr>
          <w:rFonts w:ascii="Arial Narrow" w:hAnsi="Arial Narrow"/>
        </w:rPr>
        <w:tab/>
        <w:t>Crédito Refinanciado (Mono o múltiple producto)</w:t>
      </w:r>
      <w:r w:rsidR="00FE7AA9" w:rsidRPr="004161AA">
        <w:rPr>
          <w:rFonts w:ascii="Arial Narrow" w:hAnsi="Arial Narrow"/>
        </w:rPr>
        <w:t>; y</w:t>
      </w:r>
    </w:p>
    <w:p w14:paraId="5B51CEA2" w14:textId="167ED455" w:rsidR="00A84541" w:rsidRPr="004161AA" w:rsidRDefault="00A84541" w:rsidP="006E19F3">
      <w:pPr>
        <w:widowControl w:val="0"/>
        <w:ind w:left="709" w:hanging="283"/>
        <w:outlineLvl w:val="0"/>
        <w:rPr>
          <w:rFonts w:ascii="Arial Narrow" w:hAnsi="Arial Narrow"/>
        </w:rPr>
      </w:pPr>
      <w:r w:rsidRPr="004161AA">
        <w:rPr>
          <w:rFonts w:ascii="Arial Narrow" w:hAnsi="Arial Narrow"/>
        </w:rPr>
        <w:t>vi.</w:t>
      </w:r>
      <w:r w:rsidRPr="004161AA">
        <w:rPr>
          <w:rFonts w:ascii="Arial Narrow" w:hAnsi="Arial Narrow"/>
        </w:rPr>
        <w:tab/>
        <w:t>Consolidación</w:t>
      </w:r>
      <w:r w:rsidR="00FE7AA9" w:rsidRPr="004161AA">
        <w:rPr>
          <w:rFonts w:ascii="Arial Narrow" w:hAnsi="Arial Narrow"/>
        </w:rPr>
        <w:t>.</w:t>
      </w:r>
    </w:p>
    <w:p w14:paraId="6C7116E8" w14:textId="77777777" w:rsidR="00A84541" w:rsidRPr="004161AA" w:rsidRDefault="00A84541" w:rsidP="00A84541">
      <w:pPr>
        <w:widowControl w:val="0"/>
        <w:tabs>
          <w:tab w:val="left" w:pos="851"/>
        </w:tabs>
        <w:spacing w:after="120"/>
        <w:outlineLvl w:val="0"/>
        <w:rPr>
          <w:rFonts w:ascii="Arial Narrow" w:hAnsi="Arial Narrow"/>
        </w:rPr>
      </w:pPr>
    </w:p>
    <w:p w14:paraId="4988BE5D" w14:textId="77777777" w:rsidR="00A84541" w:rsidRPr="004161AA" w:rsidRDefault="00A84541" w:rsidP="00E55F32">
      <w:pPr>
        <w:widowControl w:val="0"/>
        <w:ind w:left="426" w:hanging="426"/>
        <w:outlineLvl w:val="0"/>
        <w:rPr>
          <w:rFonts w:ascii="Arial Narrow" w:hAnsi="Arial Narrow"/>
          <w:b/>
          <w:bCs/>
        </w:rPr>
      </w:pPr>
      <w:r w:rsidRPr="004161AA">
        <w:rPr>
          <w:rFonts w:ascii="Arial Narrow" w:hAnsi="Arial Narrow"/>
          <w:b/>
          <w:bCs/>
        </w:rPr>
        <w:t>5.</w:t>
      </w:r>
      <w:r w:rsidRPr="004161AA">
        <w:rPr>
          <w:rFonts w:ascii="Arial Narrow" w:hAnsi="Arial Narrow"/>
          <w:b/>
          <w:bCs/>
        </w:rPr>
        <w:tab/>
        <w:t>Medidas Generales</w:t>
      </w:r>
    </w:p>
    <w:p w14:paraId="1DFBC7D6" w14:textId="77777777" w:rsidR="00A84541" w:rsidRPr="004161AA" w:rsidRDefault="00A84541" w:rsidP="00351812">
      <w:pPr>
        <w:widowControl w:val="0"/>
        <w:tabs>
          <w:tab w:val="left" w:pos="851"/>
        </w:tabs>
        <w:outlineLvl w:val="0"/>
        <w:rPr>
          <w:rFonts w:ascii="Arial Narrow" w:hAnsi="Arial Narrow"/>
        </w:rPr>
      </w:pPr>
    </w:p>
    <w:p w14:paraId="5F2E0C3F" w14:textId="77777777" w:rsidR="00A84541" w:rsidRPr="004161AA" w:rsidRDefault="00A84541" w:rsidP="00CE42A1">
      <w:pPr>
        <w:widowControl w:val="0"/>
        <w:ind w:left="426" w:hanging="426"/>
        <w:outlineLvl w:val="0"/>
        <w:rPr>
          <w:rFonts w:ascii="Arial Narrow" w:hAnsi="Arial Narrow"/>
          <w:b/>
          <w:bCs/>
        </w:rPr>
      </w:pPr>
      <w:r w:rsidRPr="004161AA">
        <w:rPr>
          <w:rFonts w:ascii="Arial Narrow" w:hAnsi="Arial Narrow"/>
          <w:b/>
          <w:bCs/>
        </w:rPr>
        <w:t>5.1.</w:t>
      </w:r>
      <w:r w:rsidRPr="004161AA">
        <w:rPr>
          <w:rFonts w:ascii="Arial Narrow" w:hAnsi="Arial Narrow"/>
          <w:b/>
          <w:bCs/>
        </w:rPr>
        <w:tab/>
        <w:t>Control de Créditos Beneficiados</w:t>
      </w:r>
    </w:p>
    <w:p w14:paraId="702CB4A3" w14:textId="77777777" w:rsidR="00A84541" w:rsidRPr="004161AA" w:rsidRDefault="00A84541" w:rsidP="00351812">
      <w:pPr>
        <w:widowControl w:val="0"/>
        <w:tabs>
          <w:tab w:val="left" w:pos="851"/>
        </w:tabs>
        <w:outlineLvl w:val="0"/>
        <w:rPr>
          <w:rFonts w:ascii="Arial Narrow" w:hAnsi="Arial Narrow"/>
        </w:rPr>
      </w:pPr>
      <w:r w:rsidRPr="004161AA">
        <w:rPr>
          <w:rFonts w:ascii="Arial Narrow" w:hAnsi="Arial Narrow"/>
        </w:rPr>
        <w:t>Para propósitos de control, esta política no exime de los controles actuales que tiene las entidades, y es importante identificar los créditos otorgados con estas medidas, para gestionar las facilidades crediticias que han sido sujetas a las presentes políticas.</w:t>
      </w:r>
    </w:p>
    <w:p w14:paraId="7E1AB1F2" w14:textId="77777777" w:rsidR="00A84541" w:rsidRPr="004161AA" w:rsidRDefault="00A84541" w:rsidP="00351812">
      <w:pPr>
        <w:widowControl w:val="0"/>
        <w:tabs>
          <w:tab w:val="left" w:pos="851"/>
        </w:tabs>
        <w:outlineLvl w:val="0"/>
        <w:rPr>
          <w:rFonts w:ascii="Arial Narrow" w:hAnsi="Arial Narrow"/>
        </w:rPr>
      </w:pPr>
    </w:p>
    <w:p w14:paraId="61297DEF" w14:textId="77777777" w:rsidR="00A84541" w:rsidRPr="004161AA" w:rsidRDefault="00A84541" w:rsidP="00CE42A1">
      <w:pPr>
        <w:widowControl w:val="0"/>
        <w:ind w:left="426" w:hanging="426"/>
        <w:outlineLvl w:val="0"/>
        <w:rPr>
          <w:rFonts w:ascii="Arial Narrow" w:hAnsi="Arial Narrow"/>
        </w:rPr>
      </w:pPr>
      <w:r w:rsidRPr="004161AA">
        <w:rPr>
          <w:rFonts w:ascii="Arial Narrow" w:hAnsi="Arial Narrow"/>
          <w:b/>
          <w:bCs/>
        </w:rPr>
        <w:t>5.2.</w:t>
      </w:r>
      <w:r w:rsidRPr="004161AA">
        <w:rPr>
          <w:rFonts w:ascii="Arial Narrow" w:hAnsi="Arial Narrow"/>
        </w:rPr>
        <w:tab/>
      </w:r>
      <w:r w:rsidRPr="004161AA">
        <w:rPr>
          <w:rFonts w:ascii="Arial Narrow" w:hAnsi="Arial Narrow"/>
          <w:b/>
          <w:bCs/>
        </w:rPr>
        <w:t>Reportes</w:t>
      </w:r>
      <w:r w:rsidRPr="004161AA">
        <w:rPr>
          <w:rFonts w:ascii="Arial Narrow" w:hAnsi="Arial Narrow"/>
        </w:rPr>
        <w:t xml:space="preserve"> </w:t>
      </w:r>
    </w:p>
    <w:p w14:paraId="64959F4A" w14:textId="77777777" w:rsidR="00A84541" w:rsidRPr="004161AA" w:rsidRDefault="00A84541" w:rsidP="00351812">
      <w:pPr>
        <w:widowControl w:val="0"/>
        <w:tabs>
          <w:tab w:val="left" w:pos="851"/>
        </w:tabs>
        <w:outlineLvl w:val="0"/>
        <w:rPr>
          <w:rFonts w:ascii="Arial Narrow" w:hAnsi="Arial Narrow"/>
        </w:rPr>
      </w:pPr>
      <w:r w:rsidRPr="004161AA">
        <w:rPr>
          <w:rFonts w:ascii="Arial Narrow" w:hAnsi="Arial Narrow"/>
        </w:rPr>
        <w:t>La alta dirección de la entidad y los órganos de administración deberán definir y contar con la información periódica necesaria para la gestión, seguimiento y control de estas medidas.</w:t>
      </w:r>
    </w:p>
    <w:bookmarkEnd w:id="0"/>
    <w:p w14:paraId="7F100C41" w14:textId="23C1DA5C" w:rsidR="00BE5ECC" w:rsidRPr="004161AA" w:rsidRDefault="00BE5ECC">
      <w:pPr>
        <w:rPr>
          <w:rFonts w:ascii="Arial Narrow" w:hAnsi="Arial Narrow" w:cs="Arial"/>
          <w:b/>
          <w:caps/>
        </w:rPr>
      </w:pPr>
      <w:r w:rsidRPr="004161AA">
        <w:rPr>
          <w:rFonts w:ascii="Arial Narrow" w:hAnsi="Arial Narrow" w:cs="Arial"/>
          <w:b/>
          <w:caps/>
        </w:rPr>
        <w:br w:type="page"/>
      </w:r>
    </w:p>
    <w:p w14:paraId="622E0297" w14:textId="4D2082C1" w:rsidR="00BE5ECC" w:rsidRPr="00E4479A" w:rsidRDefault="00BE5ECC" w:rsidP="00874D04">
      <w:pPr>
        <w:widowControl w:val="0"/>
        <w:tabs>
          <w:tab w:val="left" w:pos="851"/>
        </w:tabs>
        <w:jc w:val="right"/>
        <w:outlineLvl w:val="0"/>
        <w:rPr>
          <w:rFonts w:ascii="Arial Narrow" w:hAnsi="Arial Narrow"/>
          <w:b/>
          <w:bCs/>
          <w:sz w:val="22"/>
          <w:szCs w:val="22"/>
        </w:rPr>
      </w:pPr>
      <w:r w:rsidRPr="00E4479A">
        <w:rPr>
          <w:rFonts w:ascii="Arial Narrow" w:hAnsi="Arial Narrow"/>
          <w:b/>
          <w:bCs/>
          <w:sz w:val="22"/>
          <w:szCs w:val="22"/>
        </w:rPr>
        <w:t>Anexo No. 2</w:t>
      </w:r>
    </w:p>
    <w:p w14:paraId="7344FDDA" w14:textId="77777777" w:rsidR="00874D04" w:rsidRPr="004161AA" w:rsidRDefault="00874D04" w:rsidP="00874D04">
      <w:pPr>
        <w:widowControl w:val="0"/>
        <w:tabs>
          <w:tab w:val="left" w:pos="851"/>
        </w:tabs>
        <w:jc w:val="right"/>
        <w:outlineLvl w:val="0"/>
        <w:rPr>
          <w:rFonts w:ascii="Arial Narrow" w:hAnsi="Arial Narrow"/>
          <w:b/>
          <w:bCs/>
        </w:rPr>
      </w:pPr>
    </w:p>
    <w:p w14:paraId="1A26451B" w14:textId="6E8BD046" w:rsidR="00BE5ECC" w:rsidRPr="00E4479A" w:rsidRDefault="00BE5ECC" w:rsidP="00874D04">
      <w:pPr>
        <w:jc w:val="center"/>
        <w:rPr>
          <w:rFonts w:ascii="Arial Narrow" w:hAnsi="Arial Narrow"/>
          <w:b/>
          <w:bCs/>
          <w:iCs/>
          <w:sz w:val="22"/>
          <w:szCs w:val="22"/>
          <w:lang w:val="es-MX"/>
        </w:rPr>
      </w:pPr>
      <w:r w:rsidRPr="00E4479A">
        <w:rPr>
          <w:rFonts w:ascii="Arial Narrow" w:hAnsi="Arial Narrow"/>
          <w:b/>
          <w:bCs/>
          <w:sz w:val="22"/>
          <w:szCs w:val="22"/>
        </w:rPr>
        <w:t>CAMPOS DE INFORMACIÓN A REMITIR A LA SUPERINTENDENCIA DEL SISTEMA FINANCIERO DE LOS CRÉDITOS AFECTADOS POR COVID-19</w:t>
      </w:r>
    </w:p>
    <w:p w14:paraId="5EE2CC45" w14:textId="0424B10E" w:rsidR="004938BD" w:rsidRPr="00E4479A" w:rsidRDefault="004938BD" w:rsidP="00401CC1">
      <w:pPr>
        <w:widowControl w:val="0"/>
        <w:ind w:left="397" w:hanging="397"/>
        <w:rPr>
          <w:rFonts w:ascii="Arial Narrow" w:hAnsi="Arial Narrow" w:cs="Arial"/>
          <w:b/>
          <w:caps/>
          <w:sz w:val="22"/>
          <w:szCs w:val="22"/>
          <w:lang w:val="es-MX"/>
        </w:rPr>
      </w:pPr>
    </w:p>
    <w:p w14:paraId="74F75C8A" w14:textId="77777777" w:rsidR="00BE5ECC" w:rsidRPr="004161AA" w:rsidRDefault="00BE5ECC" w:rsidP="00BE5ECC">
      <w:pPr>
        <w:widowControl w:val="0"/>
        <w:spacing w:line="260" w:lineRule="atLeast"/>
        <w:jc w:val="center"/>
        <w:rPr>
          <w:rFonts w:ascii="Arial Narrow" w:hAnsi="Arial Narrow"/>
          <w:b/>
          <w:iCs/>
        </w:rPr>
      </w:pPr>
      <w:r w:rsidRPr="00E4479A">
        <w:rPr>
          <w:rFonts w:ascii="Arial Narrow" w:hAnsi="Arial Narrow"/>
          <w:b/>
          <w:iCs/>
          <w:sz w:val="22"/>
          <w:szCs w:val="22"/>
        </w:rPr>
        <w:t>DESCRIPCIÓN DE COLUMNAS</w:t>
      </w:r>
    </w:p>
    <w:p w14:paraId="50A60C8C" w14:textId="77777777" w:rsidR="00BE5ECC" w:rsidRPr="004161AA" w:rsidRDefault="00BE5ECC" w:rsidP="00BE5ECC">
      <w:pPr>
        <w:widowControl w:val="0"/>
        <w:spacing w:line="260" w:lineRule="atLeast"/>
        <w:rPr>
          <w:rFonts w:ascii="Arial Narrow" w:hAnsi="Arial Narrow"/>
          <w:b/>
          <w:iCs/>
        </w:rPr>
      </w:pPr>
    </w:p>
    <w:p w14:paraId="0D3C3ECA" w14:textId="38030DEE" w:rsidR="00BE5ECC" w:rsidRPr="006815E0" w:rsidRDefault="00E62D80" w:rsidP="00BE5ECC">
      <w:pPr>
        <w:rPr>
          <w:rFonts w:ascii="Arial Narrow" w:hAnsi="Arial Narrow"/>
          <w:sz w:val="22"/>
          <w:szCs w:val="22"/>
        </w:rPr>
      </w:pPr>
      <w:r w:rsidRPr="006815E0">
        <w:rPr>
          <w:rFonts w:ascii="Arial Narrow" w:hAnsi="Arial Narrow"/>
          <w:sz w:val="22"/>
          <w:szCs w:val="22"/>
        </w:rPr>
        <w:t>A efecto de evaluar los impactos del COVID-19, se solicita</w:t>
      </w:r>
      <w:r w:rsidRPr="006815E0">
        <w:rPr>
          <w:rFonts w:ascii="Arial Narrow" w:hAnsi="Arial Narrow" w:cs="Arial"/>
          <w:iCs/>
          <w:sz w:val="22"/>
          <w:szCs w:val="22"/>
        </w:rPr>
        <w:t xml:space="preserve"> </w:t>
      </w:r>
      <w:r w:rsidR="006815E0" w:rsidRPr="006815E0">
        <w:rPr>
          <w:rFonts w:ascii="Arial Narrow" w:hAnsi="Arial Narrow" w:cs="Arial"/>
          <w:iCs/>
          <w:sz w:val="22"/>
          <w:szCs w:val="22"/>
        </w:rPr>
        <w:t>que e</w:t>
      </w:r>
      <w:r w:rsidR="0067108B" w:rsidRPr="006815E0">
        <w:rPr>
          <w:rFonts w:ascii="Arial Narrow" w:hAnsi="Arial Narrow" w:cs="Arial"/>
          <w:iCs/>
          <w:sz w:val="22"/>
          <w:szCs w:val="22"/>
        </w:rPr>
        <w:t xml:space="preserve">n </w:t>
      </w:r>
      <w:r w:rsidR="008417AE" w:rsidRPr="006815E0">
        <w:rPr>
          <w:rFonts w:ascii="Arial Narrow" w:hAnsi="Arial Narrow" w:cs="Arial"/>
          <w:iCs/>
          <w:sz w:val="22"/>
          <w:szCs w:val="22"/>
        </w:rPr>
        <w:t xml:space="preserve">el envío de información a la Central de Riesgos </w:t>
      </w:r>
      <w:r w:rsidR="000B4133">
        <w:rPr>
          <w:rFonts w:ascii="Arial Narrow" w:hAnsi="Arial Narrow" w:cs="Arial"/>
          <w:iCs/>
          <w:sz w:val="22"/>
          <w:szCs w:val="22"/>
        </w:rPr>
        <w:t xml:space="preserve">se remita </w:t>
      </w:r>
      <w:r w:rsidR="008417AE" w:rsidRPr="006815E0">
        <w:rPr>
          <w:rFonts w:ascii="Arial Narrow" w:hAnsi="Arial Narrow" w:cs="Arial"/>
          <w:iCs/>
          <w:sz w:val="22"/>
          <w:szCs w:val="22"/>
        </w:rPr>
        <w:t>en el “Archivo Referencias de activos de riesgo” (referencia.xml) la información para el campo “tipo_credito”, conforme los plazos que establecen las Normas sobre el Procedimiento para la Recolección de Datos del Sistema Central de Riesgos (NPB4-17), según el detalle siguiente</w:t>
      </w:r>
      <w:r w:rsidRPr="006815E0">
        <w:rPr>
          <w:rFonts w:ascii="Arial Narrow" w:hAnsi="Arial Narrow" w:cs="Arial"/>
          <w:iCs/>
          <w:sz w:val="22"/>
          <w:szCs w:val="22"/>
        </w:rPr>
        <w:t xml:space="preserve">: </w:t>
      </w:r>
    </w:p>
    <w:p w14:paraId="08E35EF2" w14:textId="77777777" w:rsidR="00BE5ECC" w:rsidRPr="00981878" w:rsidRDefault="00BE5ECC" w:rsidP="00BE5ECC">
      <w:pPr>
        <w:rPr>
          <w:sz w:val="14"/>
          <w:szCs w:val="14"/>
        </w:rPr>
      </w:pPr>
    </w:p>
    <w:tbl>
      <w:tblPr>
        <w:tblW w:w="8681" w:type="dxa"/>
        <w:tblInd w:w="108" w:type="dxa"/>
        <w:tblLayout w:type="fixed"/>
        <w:tblLook w:val="04A0" w:firstRow="1" w:lastRow="0" w:firstColumn="1" w:lastColumn="0" w:noHBand="0" w:noVBand="1"/>
      </w:tblPr>
      <w:tblGrid>
        <w:gridCol w:w="620"/>
        <w:gridCol w:w="1309"/>
        <w:gridCol w:w="6752"/>
      </w:tblGrid>
      <w:tr w:rsidR="004161AA" w:rsidRPr="004161AA" w14:paraId="099BA122" w14:textId="77777777" w:rsidTr="00E55F32">
        <w:tc>
          <w:tcPr>
            <w:tcW w:w="620" w:type="dxa"/>
          </w:tcPr>
          <w:p w14:paraId="5B417C62" w14:textId="77777777" w:rsidR="00BE5ECC" w:rsidRPr="004161AA" w:rsidRDefault="00BE5ECC" w:rsidP="001C6D55">
            <w:pPr>
              <w:pStyle w:val="Prrafodelista"/>
              <w:widowControl w:val="0"/>
              <w:spacing w:line="260" w:lineRule="atLeast"/>
              <w:ind w:left="0"/>
              <w:rPr>
                <w:rFonts w:ascii="Arial Narrow" w:hAnsi="Arial Narrow"/>
                <w:b/>
                <w:iCs/>
                <w:sz w:val="22"/>
                <w:szCs w:val="22"/>
                <w:lang w:val="es-SV"/>
              </w:rPr>
            </w:pPr>
            <w:r w:rsidRPr="004161AA">
              <w:rPr>
                <w:rFonts w:ascii="Arial Narrow" w:hAnsi="Arial Narrow"/>
                <w:b/>
                <w:iCs/>
                <w:sz w:val="22"/>
                <w:szCs w:val="22"/>
                <w:lang w:val="es-SV"/>
              </w:rPr>
              <w:t>2.41.</w:t>
            </w:r>
          </w:p>
        </w:tc>
        <w:tc>
          <w:tcPr>
            <w:tcW w:w="1309" w:type="dxa"/>
          </w:tcPr>
          <w:p w14:paraId="7A4DB3DC" w14:textId="77777777" w:rsidR="00BE5ECC" w:rsidRPr="004161AA" w:rsidRDefault="00BE5ECC" w:rsidP="001C6D55">
            <w:pPr>
              <w:pStyle w:val="Prrafodelista"/>
              <w:widowControl w:val="0"/>
              <w:spacing w:line="260" w:lineRule="atLeast"/>
              <w:ind w:left="0"/>
              <w:rPr>
                <w:rFonts w:ascii="Arial Narrow" w:hAnsi="Arial Narrow"/>
                <w:b/>
                <w:iCs/>
                <w:sz w:val="22"/>
                <w:szCs w:val="22"/>
                <w:lang w:val="es-SV"/>
              </w:rPr>
            </w:pPr>
            <w:r w:rsidRPr="004161AA">
              <w:rPr>
                <w:rFonts w:ascii="Arial Narrow" w:hAnsi="Arial Narrow"/>
                <w:b/>
                <w:iCs/>
                <w:sz w:val="22"/>
                <w:szCs w:val="22"/>
                <w:lang w:val="es-SV"/>
              </w:rPr>
              <w:t>Nombre:</w:t>
            </w:r>
          </w:p>
        </w:tc>
        <w:tc>
          <w:tcPr>
            <w:tcW w:w="6752" w:type="dxa"/>
          </w:tcPr>
          <w:p w14:paraId="11F9ED38" w14:textId="77777777" w:rsidR="00BE5ECC" w:rsidRPr="004161AA" w:rsidRDefault="00BE5ECC" w:rsidP="00F86A97">
            <w:pPr>
              <w:pStyle w:val="Prrafodelista"/>
              <w:widowControl w:val="0"/>
              <w:spacing w:line="160" w:lineRule="atLeast"/>
              <w:ind w:left="0"/>
              <w:contextualSpacing w:val="0"/>
              <w:rPr>
                <w:rFonts w:ascii="Arial Narrow" w:hAnsi="Arial Narrow" w:cs="Arial"/>
                <w:sz w:val="22"/>
                <w:szCs w:val="22"/>
                <w:lang w:val="es-SV"/>
              </w:rPr>
            </w:pPr>
            <w:r w:rsidRPr="004161AA">
              <w:rPr>
                <w:rFonts w:ascii="Arial Narrow" w:hAnsi="Arial Narrow" w:cs="Arial"/>
                <w:sz w:val="22"/>
                <w:szCs w:val="22"/>
                <w:lang w:val="es-SV"/>
              </w:rPr>
              <w:t xml:space="preserve">&lt;&lt;tipo_credito&gt;&gt; </w:t>
            </w:r>
          </w:p>
          <w:p w14:paraId="3C0E3F35" w14:textId="77777777" w:rsidR="00BE5ECC" w:rsidRPr="00F86A97" w:rsidRDefault="00BE5ECC" w:rsidP="00F86A97">
            <w:pPr>
              <w:pStyle w:val="Prrafodelista"/>
              <w:widowControl w:val="0"/>
              <w:spacing w:line="160" w:lineRule="atLeast"/>
              <w:ind w:left="0"/>
              <w:contextualSpacing w:val="0"/>
              <w:rPr>
                <w:rFonts w:ascii="Arial Narrow" w:hAnsi="Arial Narrow"/>
                <w:iCs/>
                <w:sz w:val="10"/>
                <w:szCs w:val="10"/>
                <w:lang w:val="es-SV"/>
              </w:rPr>
            </w:pPr>
          </w:p>
        </w:tc>
      </w:tr>
      <w:tr w:rsidR="004161AA" w:rsidRPr="004161AA" w14:paraId="158A8A69" w14:textId="77777777" w:rsidTr="00E55F32">
        <w:tc>
          <w:tcPr>
            <w:tcW w:w="620" w:type="dxa"/>
          </w:tcPr>
          <w:p w14:paraId="328156C4" w14:textId="77777777" w:rsidR="00BE5ECC" w:rsidRPr="004161AA" w:rsidRDefault="00BE5ECC" w:rsidP="00A752A0">
            <w:pPr>
              <w:pStyle w:val="Prrafodelista"/>
              <w:widowControl w:val="0"/>
              <w:spacing w:line="200" w:lineRule="atLeast"/>
              <w:ind w:left="0"/>
              <w:rPr>
                <w:rFonts w:ascii="Arial Narrow" w:hAnsi="Arial Narrow"/>
                <w:iCs/>
                <w:sz w:val="22"/>
                <w:szCs w:val="22"/>
                <w:lang w:val="es-SV"/>
              </w:rPr>
            </w:pPr>
          </w:p>
        </w:tc>
        <w:tc>
          <w:tcPr>
            <w:tcW w:w="1309" w:type="dxa"/>
          </w:tcPr>
          <w:p w14:paraId="26EA66A2" w14:textId="77777777" w:rsidR="00BE5ECC" w:rsidRPr="004161AA" w:rsidRDefault="00BE5ECC" w:rsidP="001C6D55">
            <w:pPr>
              <w:pStyle w:val="Prrafodelista"/>
              <w:widowControl w:val="0"/>
              <w:spacing w:line="260" w:lineRule="atLeast"/>
              <w:ind w:left="0"/>
              <w:rPr>
                <w:rFonts w:ascii="Arial Narrow" w:hAnsi="Arial Narrow"/>
                <w:b/>
                <w:iCs/>
                <w:sz w:val="22"/>
                <w:szCs w:val="22"/>
                <w:lang w:val="es-SV"/>
              </w:rPr>
            </w:pPr>
            <w:r w:rsidRPr="004161AA">
              <w:rPr>
                <w:rFonts w:ascii="Arial Narrow" w:hAnsi="Arial Narrow"/>
                <w:b/>
                <w:iCs/>
                <w:sz w:val="22"/>
                <w:szCs w:val="22"/>
                <w:lang w:val="es-SV"/>
              </w:rPr>
              <w:t>Descripción:</w:t>
            </w:r>
          </w:p>
        </w:tc>
        <w:tc>
          <w:tcPr>
            <w:tcW w:w="6752" w:type="dxa"/>
          </w:tcPr>
          <w:p w14:paraId="09702EFE" w14:textId="2BBDBD33" w:rsidR="00BE5ECC" w:rsidRPr="004161AA" w:rsidRDefault="00BE5ECC" w:rsidP="00F86A97">
            <w:pPr>
              <w:pStyle w:val="Prrafodelista"/>
              <w:widowControl w:val="0"/>
              <w:spacing w:line="160" w:lineRule="atLeast"/>
              <w:ind w:left="0"/>
              <w:contextualSpacing w:val="0"/>
              <w:rPr>
                <w:rFonts w:ascii="Arial Narrow" w:hAnsi="Arial Narrow"/>
                <w:iCs/>
                <w:sz w:val="22"/>
                <w:szCs w:val="22"/>
                <w:lang w:val="es-SV"/>
              </w:rPr>
            </w:pPr>
            <w:r w:rsidRPr="004161AA">
              <w:rPr>
                <w:rFonts w:ascii="Arial Narrow" w:hAnsi="Arial Narrow"/>
                <w:iCs/>
                <w:sz w:val="22"/>
                <w:szCs w:val="22"/>
                <w:lang w:val="es-SV"/>
              </w:rPr>
              <w:t>Identifica si se trata de un refinanciamiento, reestructuración o consolidación.</w:t>
            </w:r>
          </w:p>
          <w:p w14:paraId="2FC78D75" w14:textId="77777777" w:rsidR="00BE5ECC" w:rsidRPr="00981878" w:rsidRDefault="00BE5ECC" w:rsidP="00F86A97">
            <w:pPr>
              <w:pStyle w:val="Prrafodelista"/>
              <w:widowControl w:val="0"/>
              <w:spacing w:line="160" w:lineRule="atLeast"/>
              <w:ind w:left="0"/>
              <w:contextualSpacing w:val="0"/>
              <w:rPr>
                <w:rFonts w:ascii="Arial Narrow" w:hAnsi="Arial Narrow"/>
                <w:iCs/>
                <w:sz w:val="12"/>
                <w:szCs w:val="12"/>
                <w:lang w:val="es-SV"/>
              </w:rPr>
            </w:pPr>
          </w:p>
        </w:tc>
      </w:tr>
      <w:tr w:rsidR="004161AA" w:rsidRPr="004161AA" w14:paraId="0A91BE83" w14:textId="77777777" w:rsidTr="00E55F32">
        <w:tc>
          <w:tcPr>
            <w:tcW w:w="620" w:type="dxa"/>
          </w:tcPr>
          <w:p w14:paraId="7EECADDD" w14:textId="77777777" w:rsidR="00BE5ECC" w:rsidRPr="004161AA" w:rsidRDefault="00BE5ECC" w:rsidP="00A752A0">
            <w:pPr>
              <w:pStyle w:val="Prrafodelista"/>
              <w:widowControl w:val="0"/>
              <w:spacing w:line="200" w:lineRule="atLeast"/>
              <w:ind w:left="-18" w:firstLine="18"/>
              <w:rPr>
                <w:rFonts w:ascii="Arial Narrow" w:hAnsi="Arial Narrow"/>
                <w:iCs/>
                <w:sz w:val="22"/>
                <w:szCs w:val="22"/>
                <w:lang w:val="es-SV"/>
              </w:rPr>
            </w:pPr>
          </w:p>
        </w:tc>
        <w:tc>
          <w:tcPr>
            <w:tcW w:w="1309" w:type="dxa"/>
          </w:tcPr>
          <w:p w14:paraId="58D701AD" w14:textId="77777777" w:rsidR="00BE5ECC" w:rsidRPr="004161AA" w:rsidRDefault="00BE5ECC" w:rsidP="001C6D55">
            <w:pPr>
              <w:pStyle w:val="Prrafodelista"/>
              <w:widowControl w:val="0"/>
              <w:spacing w:line="260" w:lineRule="atLeast"/>
              <w:ind w:left="0"/>
              <w:rPr>
                <w:rFonts w:ascii="Arial Narrow" w:hAnsi="Arial Narrow"/>
                <w:b/>
                <w:iCs/>
                <w:sz w:val="22"/>
                <w:szCs w:val="22"/>
                <w:lang w:val="es-SV"/>
              </w:rPr>
            </w:pPr>
            <w:r w:rsidRPr="004161AA">
              <w:rPr>
                <w:rFonts w:ascii="Arial Narrow" w:hAnsi="Arial Narrow"/>
                <w:b/>
                <w:iCs/>
                <w:sz w:val="22"/>
                <w:szCs w:val="22"/>
                <w:lang w:val="es-SV"/>
              </w:rPr>
              <w:t>Comentario:</w:t>
            </w:r>
          </w:p>
        </w:tc>
        <w:tc>
          <w:tcPr>
            <w:tcW w:w="6752" w:type="dxa"/>
          </w:tcPr>
          <w:p w14:paraId="4B683691" w14:textId="01C2760A" w:rsidR="00BE5ECC" w:rsidRPr="004161AA" w:rsidRDefault="00BE5ECC" w:rsidP="00627FED">
            <w:pPr>
              <w:pStyle w:val="Prrafodelista"/>
              <w:widowControl w:val="0"/>
              <w:numPr>
                <w:ilvl w:val="0"/>
                <w:numId w:val="30"/>
              </w:numPr>
              <w:spacing w:line="180" w:lineRule="atLeast"/>
              <w:ind w:left="357"/>
              <w:contextualSpacing w:val="0"/>
              <w:rPr>
                <w:rFonts w:ascii="Arial Narrow" w:hAnsi="Arial Narrow"/>
                <w:iCs/>
                <w:sz w:val="22"/>
                <w:szCs w:val="22"/>
                <w:lang w:val="es-SV"/>
              </w:rPr>
            </w:pPr>
            <w:r w:rsidRPr="004161AA">
              <w:rPr>
                <w:rFonts w:ascii="Arial Narrow" w:hAnsi="Arial Narrow"/>
                <w:sz w:val="22"/>
                <w:szCs w:val="22"/>
                <w:lang w:val="es-SV"/>
              </w:rPr>
              <w:t xml:space="preserve">La clasificación debe realizarse de acuerdo a las “Normas para clasificar los activos </w:t>
            </w:r>
            <w:r w:rsidR="003D0D5D">
              <w:rPr>
                <w:rFonts w:ascii="Arial Narrow" w:hAnsi="Arial Narrow"/>
                <w:sz w:val="22"/>
                <w:szCs w:val="22"/>
                <w:lang w:val="es-SV"/>
              </w:rPr>
              <w:t xml:space="preserve"> </w:t>
            </w:r>
            <w:r w:rsidRPr="004161AA">
              <w:rPr>
                <w:rFonts w:ascii="Arial Narrow" w:hAnsi="Arial Narrow"/>
                <w:sz w:val="22"/>
                <w:szCs w:val="22"/>
                <w:lang w:val="es-SV"/>
              </w:rPr>
              <w:t xml:space="preserve">de </w:t>
            </w:r>
            <w:r w:rsidR="003D0D5D">
              <w:rPr>
                <w:rFonts w:ascii="Arial Narrow" w:hAnsi="Arial Narrow"/>
                <w:sz w:val="22"/>
                <w:szCs w:val="22"/>
                <w:lang w:val="es-SV"/>
              </w:rPr>
              <w:t xml:space="preserve"> </w:t>
            </w:r>
            <w:r w:rsidRPr="004161AA">
              <w:rPr>
                <w:rFonts w:ascii="Arial Narrow" w:hAnsi="Arial Narrow"/>
                <w:sz w:val="22"/>
                <w:szCs w:val="22"/>
                <w:lang w:val="es-SV"/>
              </w:rPr>
              <w:t xml:space="preserve">riesgo </w:t>
            </w:r>
            <w:r w:rsidR="003D0D5D">
              <w:rPr>
                <w:rFonts w:ascii="Arial Narrow" w:hAnsi="Arial Narrow"/>
                <w:sz w:val="22"/>
                <w:szCs w:val="22"/>
                <w:lang w:val="es-SV"/>
              </w:rPr>
              <w:t xml:space="preserve"> </w:t>
            </w:r>
            <w:r w:rsidRPr="004161AA">
              <w:rPr>
                <w:rFonts w:ascii="Arial Narrow" w:hAnsi="Arial Narrow"/>
                <w:sz w:val="22"/>
                <w:szCs w:val="22"/>
                <w:lang w:val="es-SV"/>
              </w:rPr>
              <w:t xml:space="preserve">crediticio </w:t>
            </w:r>
            <w:r w:rsidR="003D0D5D">
              <w:rPr>
                <w:rFonts w:ascii="Arial Narrow" w:hAnsi="Arial Narrow"/>
                <w:sz w:val="22"/>
                <w:szCs w:val="22"/>
                <w:lang w:val="es-SV"/>
              </w:rPr>
              <w:t xml:space="preserve"> </w:t>
            </w:r>
            <w:r w:rsidRPr="004161AA">
              <w:rPr>
                <w:rFonts w:ascii="Arial Narrow" w:hAnsi="Arial Narrow"/>
                <w:sz w:val="22"/>
                <w:szCs w:val="22"/>
                <w:lang w:val="es-SV"/>
              </w:rPr>
              <w:t xml:space="preserve">y </w:t>
            </w:r>
            <w:r w:rsidR="003D0D5D">
              <w:rPr>
                <w:rFonts w:ascii="Arial Narrow" w:hAnsi="Arial Narrow"/>
                <w:sz w:val="22"/>
                <w:szCs w:val="22"/>
                <w:lang w:val="es-SV"/>
              </w:rPr>
              <w:t xml:space="preserve"> </w:t>
            </w:r>
            <w:r w:rsidRPr="004161AA">
              <w:rPr>
                <w:rFonts w:ascii="Arial Narrow" w:hAnsi="Arial Narrow"/>
                <w:sz w:val="22"/>
                <w:szCs w:val="22"/>
                <w:lang w:val="es-SV"/>
              </w:rPr>
              <w:t xml:space="preserve">constituir </w:t>
            </w:r>
            <w:r w:rsidR="003D0D5D">
              <w:rPr>
                <w:rFonts w:ascii="Arial Narrow" w:hAnsi="Arial Narrow"/>
                <w:sz w:val="22"/>
                <w:szCs w:val="22"/>
                <w:lang w:val="es-SV"/>
              </w:rPr>
              <w:t xml:space="preserve"> </w:t>
            </w:r>
            <w:r w:rsidRPr="004161AA">
              <w:rPr>
                <w:rFonts w:ascii="Arial Narrow" w:hAnsi="Arial Narrow"/>
                <w:sz w:val="22"/>
                <w:szCs w:val="22"/>
                <w:lang w:val="es-SV"/>
              </w:rPr>
              <w:t xml:space="preserve">las </w:t>
            </w:r>
            <w:r w:rsidR="003D0D5D">
              <w:rPr>
                <w:rFonts w:ascii="Arial Narrow" w:hAnsi="Arial Narrow"/>
                <w:sz w:val="22"/>
                <w:szCs w:val="22"/>
                <w:lang w:val="es-SV"/>
              </w:rPr>
              <w:t xml:space="preserve"> </w:t>
            </w:r>
            <w:r w:rsidRPr="004161AA">
              <w:rPr>
                <w:rFonts w:ascii="Arial Narrow" w:hAnsi="Arial Narrow"/>
                <w:sz w:val="22"/>
                <w:szCs w:val="22"/>
                <w:lang w:val="es-SV"/>
              </w:rPr>
              <w:t xml:space="preserve">reservas </w:t>
            </w:r>
            <w:r w:rsidR="003D0D5D">
              <w:rPr>
                <w:rFonts w:ascii="Arial Narrow" w:hAnsi="Arial Narrow"/>
                <w:sz w:val="22"/>
                <w:szCs w:val="22"/>
                <w:lang w:val="es-SV"/>
              </w:rPr>
              <w:t xml:space="preserve"> </w:t>
            </w:r>
            <w:r w:rsidRPr="004161AA">
              <w:rPr>
                <w:rFonts w:ascii="Arial Narrow" w:hAnsi="Arial Narrow"/>
                <w:sz w:val="22"/>
                <w:szCs w:val="22"/>
                <w:lang w:val="es-SV"/>
              </w:rPr>
              <w:t>de saneamiento” (NCB-022).</w:t>
            </w:r>
          </w:p>
          <w:p w14:paraId="78024804" w14:textId="77777777" w:rsidR="00BE5ECC" w:rsidRPr="00981878" w:rsidRDefault="00BE5ECC" w:rsidP="00627FED">
            <w:pPr>
              <w:pStyle w:val="Prrafodelista"/>
              <w:widowControl w:val="0"/>
              <w:spacing w:line="180" w:lineRule="atLeast"/>
              <w:ind w:left="357"/>
              <w:contextualSpacing w:val="0"/>
              <w:rPr>
                <w:rFonts w:ascii="Arial Narrow" w:hAnsi="Arial Narrow"/>
                <w:sz w:val="12"/>
                <w:szCs w:val="12"/>
              </w:rPr>
            </w:pPr>
          </w:p>
        </w:tc>
      </w:tr>
      <w:tr w:rsidR="00BE5ECC" w:rsidRPr="004161AA" w14:paraId="14FD0C81" w14:textId="77777777" w:rsidTr="00E55F32">
        <w:tc>
          <w:tcPr>
            <w:tcW w:w="620" w:type="dxa"/>
          </w:tcPr>
          <w:p w14:paraId="14466136" w14:textId="77777777" w:rsidR="00BE5ECC" w:rsidRPr="004161AA" w:rsidRDefault="00BE5ECC" w:rsidP="001C6D55">
            <w:pPr>
              <w:pStyle w:val="Prrafodelista"/>
              <w:widowControl w:val="0"/>
              <w:spacing w:line="260" w:lineRule="atLeast"/>
              <w:ind w:left="0"/>
              <w:rPr>
                <w:rFonts w:ascii="Arial Narrow" w:hAnsi="Arial Narrow"/>
                <w:iCs/>
                <w:sz w:val="22"/>
                <w:szCs w:val="22"/>
                <w:lang w:val="es-SV"/>
              </w:rPr>
            </w:pPr>
          </w:p>
        </w:tc>
        <w:tc>
          <w:tcPr>
            <w:tcW w:w="1309" w:type="dxa"/>
          </w:tcPr>
          <w:p w14:paraId="6B0C223E" w14:textId="77777777" w:rsidR="00BE5ECC" w:rsidRPr="004161AA" w:rsidRDefault="00BE5ECC" w:rsidP="001C6D55">
            <w:pPr>
              <w:pStyle w:val="Prrafodelista"/>
              <w:widowControl w:val="0"/>
              <w:spacing w:line="260" w:lineRule="atLeast"/>
              <w:ind w:left="0"/>
              <w:rPr>
                <w:rFonts w:ascii="Arial Narrow" w:hAnsi="Arial Narrow"/>
                <w:b/>
                <w:iCs/>
                <w:sz w:val="22"/>
                <w:szCs w:val="22"/>
                <w:lang w:val="es-SV"/>
              </w:rPr>
            </w:pPr>
            <w:r w:rsidRPr="004161AA">
              <w:rPr>
                <w:rFonts w:ascii="Arial Narrow" w:hAnsi="Arial Narrow"/>
                <w:b/>
                <w:iCs/>
                <w:sz w:val="22"/>
                <w:szCs w:val="22"/>
                <w:lang w:val="es-SV"/>
              </w:rPr>
              <w:t>Caracteres válidos:</w:t>
            </w:r>
          </w:p>
        </w:tc>
        <w:tc>
          <w:tcPr>
            <w:tcW w:w="6752" w:type="dxa"/>
          </w:tcPr>
          <w:p w14:paraId="4B8A8541" w14:textId="77777777" w:rsidR="00BE5ECC" w:rsidRPr="004161AA" w:rsidRDefault="00BE5ECC" w:rsidP="00BE5ECC">
            <w:pPr>
              <w:pStyle w:val="Prrafodelista"/>
              <w:widowControl w:val="0"/>
              <w:numPr>
                <w:ilvl w:val="0"/>
                <w:numId w:val="30"/>
              </w:numPr>
              <w:spacing w:line="260" w:lineRule="atLeast"/>
              <w:contextualSpacing w:val="0"/>
              <w:rPr>
                <w:rFonts w:ascii="Arial Narrow" w:hAnsi="Arial Narrow"/>
                <w:sz w:val="22"/>
                <w:szCs w:val="22"/>
              </w:rPr>
            </w:pPr>
            <w:r w:rsidRPr="004161AA">
              <w:rPr>
                <w:rFonts w:ascii="Arial Narrow" w:hAnsi="Arial Narrow"/>
                <w:sz w:val="22"/>
                <w:szCs w:val="22"/>
              </w:rPr>
              <w:t>&lt;&lt;RF&gt;&gt; para refinanciamiento</w:t>
            </w:r>
          </w:p>
          <w:p w14:paraId="1C26FBA3" w14:textId="77777777" w:rsidR="00BE5ECC" w:rsidRPr="004161AA" w:rsidRDefault="00BE5ECC" w:rsidP="00BE5ECC">
            <w:pPr>
              <w:pStyle w:val="Prrafodelista"/>
              <w:widowControl w:val="0"/>
              <w:numPr>
                <w:ilvl w:val="0"/>
                <w:numId w:val="30"/>
              </w:numPr>
              <w:spacing w:line="260" w:lineRule="atLeast"/>
              <w:contextualSpacing w:val="0"/>
              <w:rPr>
                <w:rFonts w:ascii="Arial Narrow" w:hAnsi="Arial Narrow"/>
                <w:sz w:val="22"/>
                <w:szCs w:val="22"/>
              </w:rPr>
            </w:pPr>
            <w:r w:rsidRPr="004161AA">
              <w:rPr>
                <w:rFonts w:ascii="Arial Narrow" w:hAnsi="Arial Narrow"/>
                <w:sz w:val="22"/>
                <w:szCs w:val="22"/>
              </w:rPr>
              <w:t>&lt;&lt;RR&gt;&gt; para refinanciamiento refinanciado</w:t>
            </w:r>
          </w:p>
          <w:p w14:paraId="1E905AB5" w14:textId="77777777" w:rsidR="00BE5ECC" w:rsidRPr="004161AA" w:rsidRDefault="00BE5ECC" w:rsidP="00BE5ECC">
            <w:pPr>
              <w:pStyle w:val="Prrafodelista"/>
              <w:widowControl w:val="0"/>
              <w:numPr>
                <w:ilvl w:val="0"/>
                <w:numId w:val="30"/>
              </w:numPr>
              <w:spacing w:line="260" w:lineRule="atLeast"/>
              <w:contextualSpacing w:val="0"/>
              <w:rPr>
                <w:rFonts w:ascii="Arial Narrow" w:hAnsi="Arial Narrow"/>
                <w:sz w:val="22"/>
                <w:szCs w:val="22"/>
              </w:rPr>
            </w:pPr>
            <w:r w:rsidRPr="004161AA">
              <w:rPr>
                <w:rFonts w:ascii="Arial Narrow" w:hAnsi="Arial Narrow"/>
                <w:sz w:val="22"/>
                <w:szCs w:val="22"/>
              </w:rPr>
              <w:t>&lt;&lt;RE&gt;&gt; para reestructuración</w:t>
            </w:r>
          </w:p>
          <w:p w14:paraId="22F497F7" w14:textId="77777777" w:rsidR="00BE5ECC" w:rsidRPr="004161AA" w:rsidRDefault="00BE5ECC" w:rsidP="00BE5ECC">
            <w:pPr>
              <w:pStyle w:val="Prrafodelista"/>
              <w:widowControl w:val="0"/>
              <w:numPr>
                <w:ilvl w:val="0"/>
                <w:numId w:val="30"/>
              </w:numPr>
              <w:spacing w:line="260" w:lineRule="atLeast"/>
              <w:contextualSpacing w:val="0"/>
              <w:rPr>
                <w:rFonts w:ascii="Arial Narrow" w:hAnsi="Arial Narrow"/>
                <w:sz w:val="22"/>
                <w:szCs w:val="22"/>
              </w:rPr>
            </w:pPr>
            <w:r w:rsidRPr="004161AA">
              <w:rPr>
                <w:rFonts w:ascii="Arial Narrow" w:hAnsi="Arial Narrow"/>
                <w:sz w:val="22"/>
                <w:szCs w:val="22"/>
              </w:rPr>
              <w:t>&lt;&lt;CO&gt;&gt; para consolidación</w:t>
            </w:r>
          </w:p>
          <w:p w14:paraId="1C7699C7" w14:textId="77777777" w:rsidR="00BE5ECC" w:rsidRPr="004161AA" w:rsidRDefault="00BE5ECC" w:rsidP="00BE5ECC">
            <w:pPr>
              <w:pStyle w:val="Prrafodelista"/>
              <w:widowControl w:val="0"/>
              <w:numPr>
                <w:ilvl w:val="0"/>
                <w:numId w:val="30"/>
              </w:numPr>
              <w:spacing w:line="260" w:lineRule="atLeast"/>
              <w:contextualSpacing w:val="0"/>
              <w:rPr>
                <w:rFonts w:ascii="Arial Narrow" w:hAnsi="Arial Narrow"/>
                <w:sz w:val="22"/>
                <w:szCs w:val="22"/>
              </w:rPr>
            </w:pPr>
            <w:r w:rsidRPr="004161AA">
              <w:rPr>
                <w:rFonts w:ascii="Arial Narrow" w:hAnsi="Arial Narrow"/>
                <w:sz w:val="22"/>
                <w:szCs w:val="22"/>
              </w:rPr>
              <w:t>&lt;&lt;RT&gt;&gt; para refinanciamiento total</w:t>
            </w:r>
          </w:p>
          <w:p w14:paraId="0CF61FDE" w14:textId="77777777" w:rsidR="00BE5ECC" w:rsidRPr="004161AA" w:rsidRDefault="00BE5ECC" w:rsidP="00BE5ECC">
            <w:pPr>
              <w:pStyle w:val="Prrafodelista"/>
              <w:widowControl w:val="0"/>
              <w:numPr>
                <w:ilvl w:val="0"/>
                <w:numId w:val="30"/>
              </w:numPr>
              <w:spacing w:line="260" w:lineRule="atLeast"/>
              <w:contextualSpacing w:val="0"/>
              <w:rPr>
                <w:rFonts w:ascii="Arial Narrow" w:hAnsi="Arial Narrow"/>
                <w:sz w:val="22"/>
                <w:szCs w:val="22"/>
              </w:rPr>
            </w:pPr>
            <w:r w:rsidRPr="004161AA">
              <w:rPr>
                <w:rFonts w:ascii="Arial Narrow" w:hAnsi="Arial Narrow"/>
                <w:sz w:val="22"/>
                <w:szCs w:val="22"/>
              </w:rPr>
              <w:t>&lt;&lt;RP&gt;&gt; para refinanciamiento parcial</w:t>
            </w:r>
          </w:p>
          <w:p w14:paraId="59314071" w14:textId="0BBB6FCF" w:rsidR="00BE5ECC" w:rsidRPr="004161AA" w:rsidRDefault="00BE5ECC" w:rsidP="00BE5ECC">
            <w:pPr>
              <w:pStyle w:val="Prrafodelista"/>
              <w:widowControl w:val="0"/>
              <w:numPr>
                <w:ilvl w:val="0"/>
                <w:numId w:val="30"/>
              </w:numPr>
              <w:spacing w:line="260" w:lineRule="atLeast"/>
              <w:contextualSpacing w:val="0"/>
              <w:rPr>
                <w:rFonts w:ascii="Arial Narrow" w:hAnsi="Arial Narrow"/>
                <w:sz w:val="22"/>
                <w:szCs w:val="22"/>
              </w:rPr>
            </w:pPr>
            <w:r w:rsidRPr="004161AA">
              <w:rPr>
                <w:rFonts w:ascii="Arial Narrow" w:hAnsi="Arial Narrow"/>
                <w:sz w:val="22"/>
                <w:szCs w:val="22"/>
              </w:rPr>
              <w:t>&lt;&lt;SG&gt;&gt; para créditos garantizados con Fondos de Garantías de las    Sociedades de Garantía Recíprocas (SGR)</w:t>
            </w:r>
          </w:p>
          <w:p w14:paraId="5182231D" w14:textId="77777777" w:rsidR="00BE5ECC" w:rsidRPr="004161AA" w:rsidRDefault="00BE5ECC" w:rsidP="00BE5ECC">
            <w:pPr>
              <w:pStyle w:val="Prrafodelista"/>
              <w:widowControl w:val="0"/>
              <w:numPr>
                <w:ilvl w:val="0"/>
                <w:numId w:val="30"/>
              </w:numPr>
              <w:spacing w:line="260" w:lineRule="atLeast"/>
              <w:contextualSpacing w:val="0"/>
              <w:rPr>
                <w:rFonts w:ascii="Arial Narrow" w:hAnsi="Arial Narrow"/>
                <w:sz w:val="22"/>
                <w:szCs w:val="22"/>
              </w:rPr>
            </w:pPr>
            <w:r w:rsidRPr="004161AA">
              <w:rPr>
                <w:rFonts w:ascii="Arial Narrow" w:hAnsi="Arial Narrow"/>
                <w:sz w:val="22"/>
                <w:szCs w:val="22"/>
              </w:rPr>
              <w:t>&lt;&lt;FC&gt;&gt; para Fianzas FICAFE</w:t>
            </w:r>
          </w:p>
          <w:p w14:paraId="0889F73D" w14:textId="77777777" w:rsidR="00BE5ECC" w:rsidRPr="004161AA" w:rsidRDefault="00BE5ECC" w:rsidP="00BE5ECC">
            <w:pPr>
              <w:pStyle w:val="Prrafodelista"/>
              <w:widowControl w:val="0"/>
              <w:numPr>
                <w:ilvl w:val="0"/>
                <w:numId w:val="30"/>
              </w:numPr>
              <w:spacing w:before="100" w:beforeAutospacing="1" w:afterAutospacing="1" w:line="260" w:lineRule="atLeast"/>
              <w:contextualSpacing w:val="0"/>
              <w:rPr>
                <w:rFonts w:ascii="Arial Narrow" w:hAnsi="Arial Narrow"/>
                <w:sz w:val="22"/>
                <w:szCs w:val="22"/>
              </w:rPr>
            </w:pPr>
            <w:r w:rsidRPr="004161AA">
              <w:rPr>
                <w:rFonts w:ascii="Arial Narrow" w:hAnsi="Arial Narrow"/>
                <w:sz w:val="22"/>
                <w:szCs w:val="22"/>
              </w:rPr>
              <w:t>&lt;&lt;CF&gt;&gt; para refinanciamiento con medidas temporales por COVID19*</w:t>
            </w:r>
          </w:p>
          <w:p w14:paraId="2FDEA19F" w14:textId="77777777" w:rsidR="00BE5ECC" w:rsidRPr="004161AA" w:rsidRDefault="00BE5ECC" w:rsidP="00BE5ECC">
            <w:pPr>
              <w:pStyle w:val="Prrafodelista"/>
              <w:widowControl w:val="0"/>
              <w:numPr>
                <w:ilvl w:val="0"/>
                <w:numId w:val="30"/>
              </w:numPr>
              <w:spacing w:before="100" w:beforeAutospacing="1" w:afterAutospacing="1" w:line="260" w:lineRule="atLeast"/>
              <w:contextualSpacing w:val="0"/>
              <w:rPr>
                <w:rFonts w:ascii="Arial Narrow" w:hAnsi="Arial Narrow"/>
                <w:sz w:val="22"/>
                <w:szCs w:val="22"/>
              </w:rPr>
            </w:pPr>
            <w:r w:rsidRPr="004161AA">
              <w:rPr>
                <w:rFonts w:ascii="Arial Narrow" w:hAnsi="Arial Narrow"/>
                <w:sz w:val="22"/>
                <w:szCs w:val="22"/>
              </w:rPr>
              <w:t>&lt;&lt;CR&gt;&gt; para refinanciamiento refinanciado con medidas temporales por COVID19 *</w:t>
            </w:r>
          </w:p>
          <w:p w14:paraId="0AEB2F06" w14:textId="456E5963" w:rsidR="00BE5ECC" w:rsidRPr="004161AA" w:rsidRDefault="00BE5ECC" w:rsidP="00BE5ECC">
            <w:pPr>
              <w:pStyle w:val="Prrafodelista"/>
              <w:widowControl w:val="0"/>
              <w:numPr>
                <w:ilvl w:val="0"/>
                <w:numId w:val="30"/>
              </w:numPr>
              <w:spacing w:before="100" w:beforeAutospacing="1" w:afterAutospacing="1" w:line="260" w:lineRule="atLeast"/>
              <w:contextualSpacing w:val="0"/>
              <w:rPr>
                <w:rFonts w:ascii="Arial Narrow" w:hAnsi="Arial Narrow"/>
                <w:sz w:val="22"/>
                <w:szCs w:val="22"/>
              </w:rPr>
            </w:pPr>
            <w:r w:rsidRPr="004161AA">
              <w:rPr>
                <w:rFonts w:ascii="Arial Narrow" w:hAnsi="Arial Narrow"/>
                <w:sz w:val="22"/>
                <w:szCs w:val="22"/>
              </w:rPr>
              <w:t>&lt;&lt;CE&gt;&gt; para reestructuración con</w:t>
            </w:r>
            <w:r w:rsidR="005B7CC1" w:rsidRPr="004161AA">
              <w:rPr>
                <w:rFonts w:ascii="Arial Narrow" w:hAnsi="Arial Narrow"/>
                <w:sz w:val="22"/>
                <w:szCs w:val="22"/>
              </w:rPr>
              <w:t xml:space="preserve"> medidas temporales por COVID19</w:t>
            </w:r>
            <w:r w:rsidRPr="004161AA">
              <w:rPr>
                <w:rFonts w:ascii="Arial Narrow" w:hAnsi="Arial Narrow"/>
                <w:sz w:val="22"/>
                <w:szCs w:val="22"/>
              </w:rPr>
              <w:t>*</w:t>
            </w:r>
          </w:p>
          <w:p w14:paraId="7B77BFFC" w14:textId="798C258F" w:rsidR="00BE5ECC" w:rsidRPr="004161AA" w:rsidRDefault="00BE5ECC" w:rsidP="00BE5ECC">
            <w:pPr>
              <w:pStyle w:val="Prrafodelista"/>
              <w:widowControl w:val="0"/>
              <w:numPr>
                <w:ilvl w:val="0"/>
                <w:numId w:val="30"/>
              </w:numPr>
              <w:spacing w:before="100" w:beforeAutospacing="1" w:afterAutospacing="1" w:line="260" w:lineRule="atLeast"/>
              <w:contextualSpacing w:val="0"/>
              <w:rPr>
                <w:rFonts w:ascii="Arial Narrow" w:hAnsi="Arial Narrow"/>
                <w:sz w:val="22"/>
                <w:szCs w:val="22"/>
              </w:rPr>
            </w:pPr>
            <w:r w:rsidRPr="004161AA">
              <w:rPr>
                <w:rFonts w:ascii="Arial Narrow" w:hAnsi="Arial Narrow"/>
                <w:sz w:val="22"/>
                <w:szCs w:val="22"/>
              </w:rPr>
              <w:t>&lt;&lt;CC&gt;&gt; para consolidación con</w:t>
            </w:r>
            <w:r w:rsidR="005B7CC1" w:rsidRPr="004161AA">
              <w:rPr>
                <w:rFonts w:ascii="Arial Narrow" w:hAnsi="Arial Narrow"/>
                <w:sz w:val="22"/>
                <w:szCs w:val="22"/>
              </w:rPr>
              <w:t xml:space="preserve"> medidas temporales por COVID19</w:t>
            </w:r>
            <w:r w:rsidRPr="004161AA">
              <w:rPr>
                <w:rFonts w:ascii="Arial Narrow" w:hAnsi="Arial Narrow"/>
                <w:sz w:val="22"/>
                <w:szCs w:val="22"/>
              </w:rPr>
              <w:t>*</w:t>
            </w:r>
          </w:p>
          <w:p w14:paraId="3C0D1956" w14:textId="6B1C6576" w:rsidR="00BE5ECC" w:rsidRPr="004161AA" w:rsidRDefault="00BE5ECC" w:rsidP="00BE5ECC">
            <w:pPr>
              <w:pStyle w:val="Prrafodelista"/>
              <w:widowControl w:val="0"/>
              <w:numPr>
                <w:ilvl w:val="0"/>
                <w:numId w:val="30"/>
              </w:numPr>
              <w:spacing w:before="100" w:beforeAutospacing="1" w:afterAutospacing="1" w:line="260" w:lineRule="atLeast"/>
              <w:contextualSpacing w:val="0"/>
              <w:rPr>
                <w:rFonts w:ascii="Arial Narrow" w:hAnsi="Arial Narrow"/>
                <w:sz w:val="22"/>
                <w:szCs w:val="22"/>
              </w:rPr>
            </w:pPr>
            <w:r w:rsidRPr="004161AA">
              <w:rPr>
                <w:rFonts w:ascii="Arial Narrow" w:hAnsi="Arial Narrow"/>
                <w:sz w:val="22"/>
                <w:szCs w:val="22"/>
              </w:rPr>
              <w:t>&lt;&lt;CT&gt;&gt; para refinanciamiento total con</w:t>
            </w:r>
            <w:r w:rsidR="005B7CC1" w:rsidRPr="004161AA">
              <w:rPr>
                <w:rFonts w:ascii="Arial Narrow" w:hAnsi="Arial Narrow"/>
                <w:sz w:val="22"/>
                <w:szCs w:val="22"/>
              </w:rPr>
              <w:t xml:space="preserve"> medidas temporales por COVID19</w:t>
            </w:r>
            <w:r w:rsidRPr="004161AA">
              <w:rPr>
                <w:rFonts w:ascii="Arial Narrow" w:hAnsi="Arial Narrow"/>
                <w:sz w:val="22"/>
                <w:szCs w:val="22"/>
              </w:rPr>
              <w:t>*</w:t>
            </w:r>
          </w:p>
          <w:p w14:paraId="5D91DC92" w14:textId="04CD9DA4" w:rsidR="00BE5ECC" w:rsidRPr="004161AA" w:rsidRDefault="00BE5ECC" w:rsidP="00B34B7E">
            <w:pPr>
              <w:pStyle w:val="Prrafodelista"/>
              <w:widowControl w:val="0"/>
              <w:numPr>
                <w:ilvl w:val="0"/>
                <w:numId w:val="30"/>
              </w:numPr>
              <w:spacing w:before="100" w:beforeAutospacing="1" w:after="100" w:afterAutospacing="1" w:line="260" w:lineRule="atLeast"/>
              <w:contextualSpacing w:val="0"/>
              <w:rPr>
                <w:rFonts w:ascii="Arial Narrow" w:hAnsi="Arial Narrow"/>
                <w:sz w:val="22"/>
                <w:szCs w:val="22"/>
              </w:rPr>
            </w:pPr>
            <w:r w:rsidRPr="004161AA">
              <w:rPr>
                <w:rFonts w:ascii="Arial Narrow" w:hAnsi="Arial Narrow"/>
                <w:sz w:val="22"/>
                <w:szCs w:val="22"/>
              </w:rPr>
              <w:t>&lt;&lt;CP&gt;&gt; para refinanciamiento parcial con</w:t>
            </w:r>
            <w:r w:rsidR="005B7CC1" w:rsidRPr="004161AA">
              <w:rPr>
                <w:rFonts w:ascii="Arial Narrow" w:hAnsi="Arial Narrow"/>
                <w:sz w:val="22"/>
                <w:szCs w:val="22"/>
              </w:rPr>
              <w:t xml:space="preserve"> medidas temporales por COVID19</w:t>
            </w:r>
            <w:r w:rsidRPr="004161AA">
              <w:rPr>
                <w:rFonts w:ascii="Arial Narrow" w:hAnsi="Arial Narrow"/>
                <w:sz w:val="22"/>
                <w:szCs w:val="22"/>
              </w:rPr>
              <w:t>*</w:t>
            </w:r>
          </w:p>
          <w:p w14:paraId="3FC7AF32" w14:textId="77777777" w:rsidR="00BE5ECC" w:rsidRPr="004161AA" w:rsidRDefault="00BE5ECC" w:rsidP="00BE5ECC">
            <w:pPr>
              <w:pStyle w:val="Prrafodelista"/>
              <w:widowControl w:val="0"/>
              <w:numPr>
                <w:ilvl w:val="0"/>
                <w:numId w:val="30"/>
              </w:numPr>
              <w:spacing w:before="100" w:beforeAutospacing="1" w:afterAutospacing="1" w:line="260" w:lineRule="atLeast"/>
              <w:contextualSpacing w:val="0"/>
              <w:rPr>
                <w:rFonts w:ascii="Arial Narrow" w:hAnsi="Arial Narrow"/>
                <w:sz w:val="22"/>
                <w:szCs w:val="22"/>
                <w:lang w:val="es-SV"/>
              </w:rPr>
            </w:pPr>
            <w:r w:rsidRPr="004161AA">
              <w:rPr>
                <w:rFonts w:ascii="Arial Narrow" w:hAnsi="Arial Narrow"/>
                <w:sz w:val="22"/>
                <w:szCs w:val="22"/>
              </w:rPr>
              <w:t>&lt;&lt;CG&gt;&gt; para créditos garantizados con Fondos de Garantías de las Sociedades de Garantía Recíprocas (SGR) con medidas temporales por COVID19*</w:t>
            </w:r>
          </w:p>
          <w:p w14:paraId="62BB396E" w14:textId="5D48A233" w:rsidR="005B7CC1" w:rsidRPr="008727E2" w:rsidRDefault="00BE5ECC" w:rsidP="00627FED">
            <w:pPr>
              <w:pStyle w:val="Prrafodelista"/>
              <w:widowControl w:val="0"/>
              <w:numPr>
                <w:ilvl w:val="0"/>
                <w:numId w:val="30"/>
              </w:numPr>
              <w:spacing w:after="120" w:line="140" w:lineRule="atLeast"/>
              <w:ind w:left="357" w:hanging="357"/>
              <w:contextualSpacing w:val="0"/>
              <w:rPr>
                <w:rFonts w:ascii="Arial Narrow" w:hAnsi="Arial Narrow"/>
                <w:sz w:val="16"/>
                <w:szCs w:val="16"/>
              </w:rPr>
            </w:pPr>
            <w:r w:rsidRPr="004161AA">
              <w:rPr>
                <w:rFonts w:ascii="Arial Narrow" w:hAnsi="Arial Narrow"/>
                <w:sz w:val="22"/>
                <w:szCs w:val="22"/>
              </w:rPr>
              <w:t>&lt;&lt; CV&gt;&gt; créditos sin modificación, con medidas temporales por COVID19*</w:t>
            </w:r>
            <w:r w:rsidR="005B7CC1" w:rsidRPr="004161AA">
              <w:rPr>
                <w:rFonts w:ascii="Arial Narrow" w:hAnsi="Arial Narrow"/>
                <w:sz w:val="22"/>
                <w:szCs w:val="22"/>
              </w:rPr>
              <w:t xml:space="preserve"> </w:t>
            </w:r>
          </w:p>
          <w:p w14:paraId="07319A67" w14:textId="78E72218" w:rsidR="0065204E" w:rsidRPr="004161AA" w:rsidRDefault="00BE5ECC" w:rsidP="00DC4D4B">
            <w:pPr>
              <w:widowControl w:val="0"/>
              <w:spacing w:after="100" w:afterAutospacing="1" w:line="260" w:lineRule="atLeast"/>
              <w:rPr>
                <w:rFonts w:ascii="Arial Narrow" w:hAnsi="Arial Narrow"/>
              </w:rPr>
            </w:pPr>
            <w:r w:rsidRPr="004161AA">
              <w:rPr>
                <w:rFonts w:ascii="Arial Narrow" w:hAnsi="Arial Narrow"/>
                <w:sz w:val="22"/>
                <w:szCs w:val="22"/>
              </w:rPr>
              <w:t>* Préstamos que ya estaban clasificados como RF, RR, RE, CO, RT, RP, SG u originales, y que se acogieron a las medidas temporales por COVID19.</w:t>
            </w:r>
          </w:p>
        </w:tc>
      </w:tr>
    </w:tbl>
    <w:p w14:paraId="57E290DD" w14:textId="4BFAD798" w:rsidR="002A52FE" w:rsidRDefault="002A52FE" w:rsidP="00DC4D4B">
      <w:pPr>
        <w:rPr>
          <w:rFonts w:ascii="Arial Narrow" w:hAnsi="Arial Narrow" w:cs="Arial"/>
          <w:b/>
          <w:bCs/>
          <w:iCs/>
          <w:sz w:val="22"/>
          <w:szCs w:val="22"/>
        </w:rPr>
      </w:pPr>
    </w:p>
    <w:sectPr w:rsidR="002A52FE" w:rsidSect="00DC4D4B">
      <w:headerReference w:type="default" r:id="rId14"/>
      <w:footerReference w:type="even" r:id="rId15"/>
      <w:footerReference w:type="default" r:id="rId16"/>
      <w:headerReference w:type="first" r:id="rId17"/>
      <w:footerReference w:type="first" r:id="rId18"/>
      <w:type w:val="continuous"/>
      <w:pgSz w:w="12242" w:h="15842" w:code="1"/>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B1D50" w14:textId="77777777" w:rsidR="00C71062" w:rsidRDefault="00C71062" w:rsidP="00941CBC">
      <w:r>
        <w:separator/>
      </w:r>
    </w:p>
  </w:endnote>
  <w:endnote w:type="continuationSeparator" w:id="0">
    <w:p w14:paraId="181885CA" w14:textId="77777777" w:rsidR="00C71062" w:rsidRDefault="00C71062" w:rsidP="00941CBC">
      <w:r>
        <w:continuationSeparator/>
      </w:r>
    </w:p>
  </w:endnote>
  <w:endnote w:type="continuationNotice" w:id="1">
    <w:p w14:paraId="1D139730" w14:textId="77777777" w:rsidR="00C71062" w:rsidRDefault="00C71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Open Sans"/>
    <w:panose1 w:val="020B0606020202030204"/>
    <w:charset w:val="00"/>
    <w:family w:val="swiss"/>
    <w:pitch w:val="variable"/>
    <w:sig w:usb0="00000287" w:usb1="00000800" w:usb2="00000000" w:usb3="00000000" w:csb0="0000009F" w:csb1="00000000"/>
  </w:font>
  <w:font w:name="Museo Sans 3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1F4C0" w14:textId="77777777" w:rsidR="00E5490D" w:rsidRDefault="00E549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371B0E" w14:textId="77777777" w:rsidR="00E5490D" w:rsidRDefault="00E5490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A5295" w14:textId="77777777" w:rsidR="00E5490D" w:rsidRDefault="00E5490D" w:rsidP="005F0B76">
    <w:pPr>
      <w:pStyle w:val="Piedepgina"/>
      <w:jc w:val="right"/>
    </w:pPr>
  </w:p>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E5490D" w:rsidRPr="00437961" w14:paraId="2E010DC4" w14:textId="77777777" w:rsidTr="0071399B">
      <w:trPr>
        <w:trHeight w:val="822"/>
        <w:jc w:val="center"/>
      </w:trPr>
      <w:tc>
        <w:tcPr>
          <w:tcW w:w="557" w:type="dxa"/>
          <w:tcBorders>
            <w:top w:val="nil"/>
          </w:tcBorders>
          <w:vAlign w:val="bottom"/>
        </w:tcPr>
        <w:p w14:paraId="453F07DA" w14:textId="77777777" w:rsidR="00E5490D" w:rsidRPr="00B076B4" w:rsidRDefault="00E5490D" w:rsidP="00552FDE">
          <w:pPr>
            <w:pStyle w:val="Piedepgina"/>
            <w:ind w:firstLine="34"/>
            <w:jc w:val="center"/>
            <w:rPr>
              <w:rFonts w:ascii="Arial Narrow" w:hAnsi="Arial Narrow"/>
              <w:sz w:val="20"/>
            </w:rPr>
          </w:pPr>
        </w:p>
      </w:tc>
      <w:tc>
        <w:tcPr>
          <w:tcW w:w="6521" w:type="dxa"/>
          <w:vAlign w:val="center"/>
        </w:tcPr>
        <w:p w14:paraId="1E1D1B5A" w14:textId="77777777" w:rsidR="00E5490D" w:rsidRDefault="00E5490D" w:rsidP="00552FDE">
          <w:pPr>
            <w:pStyle w:val="Piedepgina"/>
            <w:jc w:val="center"/>
            <w:rPr>
              <w:rFonts w:ascii="Arial Narrow" w:hAnsi="Arial Narrow" w:cs="Arial"/>
              <w:color w:val="818284"/>
              <w:sz w:val="20"/>
            </w:rPr>
          </w:pPr>
          <w:r w:rsidRPr="00437961">
            <w:rPr>
              <w:rFonts w:ascii="Arial Narrow" w:hAnsi="Arial Narrow" w:cs="Arial"/>
              <w:color w:val="818284"/>
              <w:sz w:val="20"/>
            </w:rPr>
            <w:t xml:space="preserve">Alameda Juan Pablo II, entre 15 y 17 Av. Norte, San Salvador, </w:t>
          </w:r>
          <w:r>
            <w:rPr>
              <w:rFonts w:ascii="Arial Narrow" w:hAnsi="Arial Narrow" w:cs="Arial"/>
              <w:color w:val="818284"/>
              <w:sz w:val="20"/>
            </w:rPr>
            <w:t>El</w:t>
          </w:r>
          <w:r w:rsidRPr="00437961">
            <w:rPr>
              <w:rFonts w:ascii="Arial Narrow" w:hAnsi="Arial Narrow" w:cs="Arial"/>
              <w:color w:val="818284"/>
              <w:sz w:val="20"/>
            </w:rPr>
            <w:t xml:space="preserve"> Salvador.</w:t>
          </w:r>
        </w:p>
        <w:p w14:paraId="5DAF0769" w14:textId="77777777" w:rsidR="00E5490D" w:rsidRPr="00437961" w:rsidRDefault="00E5490D" w:rsidP="00552FDE">
          <w:pPr>
            <w:pStyle w:val="Piedepgina"/>
            <w:jc w:val="center"/>
            <w:rPr>
              <w:rFonts w:ascii="Arial Narrow" w:hAnsi="Arial Narrow" w:cs="Arial"/>
              <w:color w:val="818284"/>
              <w:sz w:val="20"/>
            </w:rPr>
          </w:pPr>
          <w:r w:rsidRPr="00437961">
            <w:rPr>
              <w:rFonts w:ascii="Arial Narrow" w:hAnsi="Arial Narrow" w:cs="Arial"/>
              <w:color w:val="818284"/>
              <w:sz w:val="20"/>
            </w:rPr>
            <w:t>Tel. (503) 2281-8000</w:t>
          </w:r>
        </w:p>
        <w:p w14:paraId="1EBC3E6F" w14:textId="77777777" w:rsidR="00E5490D" w:rsidRPr="00437961" w:rsidRDefault="00E5490D" w:rsidP="00552FDE">
          <w:pPr>
            <w:pStyle w:val="Piedepgina"/>
            <w:jc w:val="center"/>
            <w:rPr>
              <w:rFonts w:ascii="Arial Narrow" w:hAnsi="Arial Narrow" w:cs="Arial"/>
              <w:color w:val="818284"/>
              <w:sz w:val="20"/>
            </w:rPr>
          </w:pPr>
          <w:r w:rsidRPr="00437961">
            <w:rPr>
              <w:rFonts w:ascii="Arial Narrow" w:hAnsi="Arial Narrow" w:cs="Arial"/>
              <w:color w:val="818284"/>
              <w:sz w:val="20"/>
            </w:rPr>
            <w:t>www.bcr.gob.sv</w:t>
          </w:r>
        </w:p>
      </w:tc>
      <w:tc>
        <w:tcPr>
          <w:tcW w:w="2126" w:type="dxa"/>
          <w:vAlign w:val="center"/>
        </w:tcPr>
        <w:p w14:paraId="36B3E265" w14:textId="575803EB" w:rsidR="00E5490D" w:rsidRPr="00437961" w:rsidRDefault="006355FE" w:rsidP="00552FDE">
          <w:pPr>
            <w:pStyle w:val="Piedepgina"/>
            <w:jc w:val="center"/>
            <w:rPr>
              <w:rFonts w:ascii="Arial Narrow" w:hAnsi="Arial Narrow" w:cs="Arial"/>
              <w:color w:val="818284"/>
              <w:sz w:val="20"/>
            </w:rPr>
          </w:pPr>
          <w:sdt>
            <w:sdtPr>
              <w:rPr>
                <w:rFonts w:ascii="Arial Narrow" w:hAnsi="Arial Narrow" w:cs="Arial"/>
                <w:sz w:val="20"/>
              </w:rPr>
              <w:id w:val="558291625"/>
              <w:docPartObj>
                <w:docPartGallery w:val="Page Numbers (Bottom of Page)"/>
                <w:docPartUnique/>
              </w:docPartObj>
            </w:sdtPr>
            <w:sdtEndPr/>
            <w:sdtContent>
              <w:sdt>
                <w:sdtPr>
                  <w:rPr>
                    <w:rFonts w:ascii="Arial Narrow" w:hAnsi="Arial Narrow" w:cs="Arial"/>
                    <w:sz w:val="20"/>
                  </w:rPr>
                  <w:id w:val="-71353066"/>
                  <w:docPartObj>
                    <w:docPartGallery w:val="Page Numbers (Top of Page)"/>
                    <w:docPartUnique/>
                  </w:docPartObj>
                </w:sdtPr>
                <w:sdtEndPr/>
                <w:sdtContent>
                  <w:r w:rsidR="00E5490D" w:rsidRPr="00437961">
                    <w:rPr>
                      <w:rFonts w:ascii="Arial Narrow" w:hAnsi="Arial Narrow" w:cs="Arial"/>
                      <w:color w:val="818284"/>
                      <w:sz w:val="20"/>
                    </w:rPr>
                    <w:t xml:space="preserve">Página </w:t>
                  </w:r>
                  <w:r w:rsidR="00E5490D" w:rsidRPr="00437961">
                    <w:rPr>
                      <w:rFonts w:ascii="Arial Narrow" w:hAnsi="Arial Narrow" w:cs="Arial"/>
                      <w:color w:val="818284"/>
                      <w:sz w:val="20"/>
                    </w:rPr>
                    <w:fldChar w:fldCharType="begin"/>
                  </w:r>
                  <w:r w:rsidR="00E5490D" w:rsidRPr="00437961">
                    <w:rPr>
                      <w:rFonts w:ascii="Arial Narrow" w:hAnsi="Arial Narrow" w:cs="Arial"/>
                      <w:color w:val="818284"/>
                      <w:sz w:val="20"/>
                    </w:rPr>
                    <w:instrText>PAGE</w:instrText>
                  </w:r>
                  <w:r w:rsidR="00E5490D" w:rsidRPr="00437961">
                    <w:rPr>
                      <w:rFonts w:ascii="Arial Narrow" w:hAnsi="Arial Narrow" w:cs="Arial"/>
                      <w:color w:val="818284"/>
                      <w:sz w:val="20"/>
                    </w:rPr>
                    <w:fldChar w:fldCharType="separate"/>
                  </w:r>
                  <w:r>
                    <w:rPr>
                      <w:rFonts w:ascii="Arial Narrow" w:hAnsi="Arial Narrow" w:cs="Arial"/>
                      <w:noProof/>
                      <w:color w:val="818284"/>
                      <w:sz w:val="20"/>
                    </w:rPr>
                    <w:t>1</w:t>
                  </w:r>
                  <w:r w:rsidR="00E5490D" w:rsidRPr="00437961">
                    <w:rPr>
                      <w:rFonts w:ascii="Arial Narrow" w:hAnsi="Arial Narrow" w:cs="Arial"/>
                      <w:color w:val="818284"/>
                      <w:sz w:val="20"/>
                    </w:rPr>
                    <w:fldChar w:fldCharType="end"/>
                  </w:r>
                  <w:r w:rsidR="00E5490D" w:rsidRPr="00437961">
                    <w:rPr>
                      <w:rFonts w:ascii="Arial Narrow" w:hAnsi="Arial Narrow" w:cs="Arial"/>
                      <w:color w:val="818284"/>
                      <w:sz w:val="20"/>
                    </w:rPr>
                    <w:t xml:space="preserve"> de </w:t>
                  </w:r>
                  <w:r w:rsidR="00E5490D" w:rsidRPr="00437961">
                    <w:rPr>
                      <w:rFonts w:ascii="Arial Narrow" w:hAnsi="Arial Narrow" w:cs="Arial"/>
                      <w:color w:val="818284"/>
                      <w:sz w:val="20"/>
                    </w:rPr>
                    <w:fldChar w:fldCharType="begin"/>
                  </w:r>
                  <w:r w:rsidR="00E5490D" w:rsidRPr="00437961">
                    <w:rPr>
                      <w:rFonts w:ascii="Arial Narrow" w:hAnsi="Arial Narrow" w:cs="Arial"/>
                      <w:color w:val="818284"/>
                      <w:sz w:val="20"/>
                    </w:rPr>
                    <w:instrText>NUMPAGES</w:instrText>
                  </w:r>
                  <w:r w:rsidR="00E5490D" w:rsidRPr="00437961">
                    <w:rPr>
                      <w:rFonts w:ascii="Arial Narrow" w:hAnsi="Arial Narrow" w:cs="Arial"/>
                      <w:color w:val="818284"/>
                      <w:sz w:val="20"/>
                    </w:rPr>
                    <w:fldChar w:fldCharType="separate"/>
                  </w:r>
                  <w:r>
                    <w:rPr>
                      <w:rFonts w:ascii="Arial Narrow" w:hAnsi="Arial Narrow" w:cs="Arial"/>
                      <w:noProof/>
                      <w:color w:val="818284"/>
                      <w:sz w:val="20"/>
                    </w:rPr>
                    <w:t>14</w:t>
                  </w:r>
                  <w:r w:rsidR="00E5490D" w:rsidRPr="00437961">
                    <w:rPr>
                      <w:rFonts w:ascii="Arial Narrow" w:hAnsi="Arial Narrow" w:cs="Arial"/>
                      <w:color w:val="818284"/>
                      <w:sz w:val="20"/>
                    </w:rPr>
                    <w:fldChar w:fldCharType="end"/>
                  </w:r>
                </w:sdtContent>
              </w:sdt>
            </w:sdtContent>
          </w:sdt>
        </w:p>
      </w:tc>
    </w:tr>
  </w:tbl>
  <w:p w14:paraId="7979E035" w14:textId="77777777" w:rsidR="00E5490D" w:rsidRDefault="00E5490D" w:rsidP="005F0B76">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13B4" w14:textId="77777777" w:rsidR="00E5490D" w:rsidRDefault="00E5490D" w:rsidP="000456FE">
    <w:pPr>
      <w:pStyle w:val="Piedepgina"/>
      <w:jc w:val="right"/>
    </w:pPr>
  </w:p>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E5490D" w:rsidRPr="00B076B4" w14:paraId="4B9C9E55" w14:textId="77777777" w:rsidTr="006D6B09">
      <w:trPr>
        <w:trHeight w:val="822"/>
      </w:trPr>
      <w:tc>
        <w:tcPr>
          <w:tcW w:w="1985" w:type="dxa"/>
          <w:tcBorders>
            <w:top w:val="nil"/>
          </w:tcBorders>
          <w:vAlign w:val="bottom"/>
        </w:tcPr>
        <w:p w14:paraId="32B2D2A8" w14:textId="77777777" w:rsidR="00E5490D" w:rsidRPr="008E061F" w:rsidRDefault="00E5490D" w:rsidP="006D6B09">
          <w:pPr>
            <w:pStyle w:val="Piedepgina"/>
            <w:ind w:firstLine="34"/>
            <w:jc w:val="center"/>
            <w:rPr>
              <w:rFonts w:ascii="Arial Narrow" w:hAnsi="Arial Narrow"/>
              <w:sz w:val="20"/>
              <w:szCs w:val="20"/>
            </w:rPr>
          </w:pPr>
        </w:p>
        <w:p w14:paraId="11485106" w14:textId="77777777" w:rsidR="00E5490D" w:rsidRPr="008E061F" w:rsidRDefault="00E5490D" w:rsidP="006D6B09">
          <w:pPr>
            <w:pStyle w:val="Piedepgina"/>
            <w:ind w:firstLine="34"/>
            <w:jc w:val="center"/>
            <w:rPr>
              <w:rFonts w:ascii="Arial Narrow" w:hAnsi="Arial Narrow"/>
              <w:sz w:val="20"/>
              <w:szCs w:val="20"/>
            </w:rPr>
          </w:pPr>
        </w:p>
        <w:p w14:paraId="1E590C6D" w14:textId="77777777" w:rsidR="00E5490D" w:rsidRPr="008E061F" w:rsidRDefault="00E5490D" w:rsidP="006D6B09">
          <w:pPr>
            <w:pStyle w:val="Piedepgina"/>
            <w:ind w:firstLine="34"/>
            <w:rPr>
              <w:rFonts w:ascii="Arial Narrow" w:hAnsi="Arial Narrow"/>
              <w:sz w:val="20"/>
              <w:szCs w:val="20"/>
            </w:rPr>
          </w:pPr>
        </w:p>
      </w:tc>
      <w:tc>
        <w:tcPr>
          <w:tcW w:w="6521" w:type="dxa"/>
          <w:vAlign w:val="center"/>
        </w:tcPr>
        <w:p w14:paraId="593E82BE" w14:textId="77777777" w:rsidR="00E5490D" w:rsidRPr="008E061F" w:rsidRDefault="00E5490D"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Alameda Juan Pablo II, entre 15 y 17 Av. Norte, San Salvador, El Salvador.</w:t>
          </w:r>
        </w:p>
        <w:p w14:paraId="4E2AA85C" w14:textId="77777777" w:rsidR="00E5490D" w:rsidRPr="008E061F" w:rsidRDefault="00E5490D"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Tel. (503) 2281-8000</w:t>
          </w:r>
        </w:p>
        <w:p w14:paraId="5589BC7E" w14:textId="77777777" w:rsidR="00E5490D" w:rsidRPr="008E061F" w:rsidRDefault="00E5490D"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 www.bcr.gob.sv</w:t>
          </w:r>
        </w:p>
      </w:tc>
      <w:tc>
        <w:tcPr>
          <w:tcW w:w="2126" w:type="dxa"/>
          <w:vAlign w:val="center"/>
        </w:tcPr>
        <w:p w14:paraId="20111D45" w14:textId="6A11903D" w:rsidR="00E5490D" w:rsidRPr="008E061F" w:rsidRDefault="00E5490D"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Página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PAGE</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w:t>
          </w:r>
          <w:r w:rsidRPr="008E061F">
            <w:rPr>
              <w:rFonts w:ascii="Arial Narrow" w:hAnsi="Arial Narrow" w:cs="Arial"/>
              <w:color w:val="818284"/>
              <w:sz w:val="20"/>
              <w:szCs w:val="20"/>
            </w:rPr>
            <w:fldChar w:fldCharType="end"/>
          </w:r>
          <w:r w:rsidRPr="008E061F">
            <w:rPr>
              <w:rFonts w:ascii="Arial Narrow" w:hAnsi="Arial Narrow" w:cs="Arial"/>
              <w:color w:val="818284"/>
              <w:sz w:val="20"/>
              <w:szCs w:val="20"/>
            </w:rPr>
            <w:t xml:space="preserve"> de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NUMPAGES</w:instrText>
          </w:r>
          <w:r w:rsidRPr="008E061F">
            <w:rPr>
              <w:rFonts w:ascii="Arial Narrow" w:hAnsi="Arial Narrow" w:cs="Arial"/>
              <w:color w:val="818284"/>
              <w:sz w:val="20"/>
              <w:szCs w:val="20"/>
            </w:rPr>
            <w:fldChar w:fldCharType="separate"/>
          </w:r>
          <w:r w:rsidR="006355FE">
            <w:rPr>
              <w:rFonts w:ascii="Arial Narrow" w:hAnsi="Arial Narrow" w:cs="Arial"/>
              <w:noProof/>
              <w:color w:val="818284"/>
              <w:sz w:val="20"/>
              <w:szCs w:val="20"/>
            </w:rPr>
            <w:t>14</w:t>
          </w:r>
          <w:r w:rsidRPr="008E061F">
            <w:rPr>
              <w:rFonts w:ascii="Arial Narrow" w:hAnsi="Arial Narrow" w:cs="Arial"/>
              <w:color w:val="818284"/>
              <w:sz w:val="20"/>
              <w:szCs w:val="20"/>
            </w:rPr>
            <w:fldChar w:fldCharType="end"/>
          </w:r>
        </w:p>
      </w:tc>
    </w:tr>
  </w:tbl>
  <w:p w14:paraId="5272FA8B" w14:textId="77777777" w:rsidR="00E5490D" w:rsidRDefault="00E5490D">
    <w:pPr>
      <w:rPr>
        <w:rFonts w:ascii="Cambria" w:hAnsi="Cambria"/>
      </w:rPr>
    </w:pPr>
  </w:p>
  <w:p w14:paraId="20029445" w14:textId="77777777" w:rsidR="00E5490D" w:rsidRDefault="00E549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10E42" w14:textId="77777777" w:rsidR="00C71062" w:rsidRDefault="00C71062" w:rsidP="00941CBC">
      <w:r>
        <w:separator/>
      </w:r>
    </w:p>
  </w:footnote>
  <w:footnote w:type="continuationSeparator" w:id="0">
    <w:p w14:paraId="3FA41016" w14:textId="77777777" w:rsidR="00C71062" w:rsidRDefault="00C71062" w:rsidP="00941CBC">
      <w:r>
        <w:continuationSeparator/>
      </w:r>
    </w:p>
  </w:footnote>
  <w:footnote w:type="continuationNotice" w:id="1">
    <w:p w14:paraId="5CF7E03F" w14:textId="77777777" w:rsidR="00C71062" w:rsidRDefault="00C710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128"/>
      <w:gridCol w:w="1843"/>
    </w:tblGrid>
    <w:tr w:rsidR="00E5490D" w:rsidRPr="00875512" w14:paraId="3664A2AE" w14:textId="77777777" w:rsidTr="0071399B">
      <w:trPr>
        <w:trHeight w:val="472"/>
      </w:trPr>
      <w:tc>
        <w:tcPr>
          <w:tcW w:w="2093" w:type="dxa"/>
          <w:vAlign w:val="center"/>
        </w:tcPr>
        <w:p w14:paraId="53345BC1" w14:textId="28F86176" w:rsidR="00E5490D" w:rsidRPr="00B32993" w:rsidRDefault="00E5490D" w:rsidP="00D942B9">
          <w:pPr>
            <w:tabs>
              <w:tab w:val="center" w:pos="4419"/>
              <w:tab w:val="right" w:pos="8838"/>
            </w:tabs>
            <w:jc w:val="center"/>
            <w:rPr>
              <w:rFonts w:ascii="Arial Narrow" w:hAnsi="Arial Narrow" w:cs="Arial"/>
              <w:color w:val="808080" w:themeColor="background1" w:themeShade="80"/>
              <w:sz w:val="20"/>
            </w:rPr>
          </w:pPr>
          <w:r w:rsidRPr="00D942B9">
            <w:rPr>
              <w:rFonts w:ascii="Arial Narrow" w:hAnsi="Arial Narrow" w:cs="Arial"/>
              <w:color w:val="818284"/>
              <w:sz w:val="20"/>
            </w:rPr>
            <w:t>CNBCR-14/2020</w:t>
          </w:r>
        </w:p>
      </w:tc>
      <w:tc>
        <w:tcPr>
          <w:tcW w:w="6128" w:type="dxa"/>
          <w:vMerge w:val="restart"/>
          <w:vAlign w:val="center"/>
        </w:tcPr>
        <w:p w14:paraId="1AB0CCCA" w14:textId="77777777" w:rsidR="00E5490D" w:rsidRPr="00875512" w:rsidRDefault="00E5490D" w:rsidP="00552FDE">
          <w:pPr>
            <w:tabs>
              <w:tab w:val="center" w:pos="4419"/>
              <w:tab w:val="right" w:pos="8838"/>
            </w:tabs>
            <w:jc w:val="center"/>
            <w:rPr>
              <w:rFonts w:ascii="Arial Narrow" w:hAnsi="Arial Narrow" w:cs="Arial"/>
              <w:color w:val="818284"/>
              <w:sz w:val="20"/>
            </w:rPr>
          </w:pPr>
        </w:p>
        <w:p w14:paraId="2F228527" w14:textId="4A9D6B83" w:rsidR="00E5490D" w:rsidRPr="00BE4B39" w:rsidRDefault="00E5490D" w:rsidP="00351812">
          <w:pPr>
            <w:jc w:val="center"/>
            <w:rPr>
              <w:rFonts w:ascii="Arial Narrow" w:hAnsi="Arial Narrow" w:cs="Arial"/>
              <w:color w:val="808080" w:themeColor="background1" w:themeShade="80"/>
              <w:sz w:val="20"/>
            </w:rPr>
          </w:pPr>
          <w:r w:rsidRPr="00BE4B39">
            <w:rPr>
              <w:rFonts w:ascii="Arial Narrow" w:hAnsi="Arial Narrow" w:cs="Arial"/>
              <w:color w:val="808080" w:themeColor="background1" w:themeShade="80"/>
              <w:sz w:val="20"/>
            </w:rPr>
            <w:t>NPB</w:t>
          </w:r>
          <w:r>
            <w:rPr>
              <w:rFonts w:ascii="Arial Narrow" w:hAnsi="Arial Narrow" w:cs="Arial"/>
              <w:color w:val="808080" w:themeColor="background1" w:themeShade="80"/>
              <w:sz w:val="20"/>
            </w:rPr>
            <w:t>T</w:t>
          </w:r>
          <w:r w:rsidRPr="00BE4B39">
            <w:rPr>
              <w:rFonts w:ascii="Arial Narrow" w:hAnsi="Arial Narrow" w:cs="Arial"/>
              <w:color w:val="808080" w:themeColor="background1" w:themeShade="80"/>
              <w:sz w:val="20"/>
            </w:rPr>
            <w:t>-0</w:t>
          </w:r>
          <w:r w:rsidR="00765D5D">
            <w:rPr>
              <w:rFonts w:ascii="Arial Narrow" w:hAnsi="Arial Narrow" w:cs="Arial"/>
              <w:color w:val="808080" w:themeColor="background1" w:themeShade="80"/>
              <w:sz w:val="20"/>
            </w:rPr>
            <w:t>1</w:t>
          </w:r>
          <w:r w:rsidRPr="00BE4B39">
            <w:rPr>
              <w:rFonts w:ascii="Arial Narrow" w:hAnsi="Arial Narrow" w:cs="Arial"/>
              <w:color w:val="808080" w:themeColor="background1" w:themeShade="80"/>
              <w:sz w:val="20"/>
            </w:rPr>
            <w:t xml:space="preserve"> </w:t>
          </w:r>
        </w:p>
        <w:p w14:paraId="6DCCC643" w14:textId="06B6D553" w:rsidR="00E5490D" w:rsidRPr="00025442" w:rsidRDefault="00E5490D" w:rsidP="00351812">
          <w:pPr>
            <w:jc w:val="center"/>
            <w:rPr>
              <w:rFonts w:ascii="Arial Narrow" w:hAnsi="Arial Narrow" w:cs="Arial"/>
              <w:color w:val="FF0000"/>
              <w:sz w:val="20"/>
            </w:rPr>
          </w:pPr>
          <w:r w:rsidRPr="00D942B9">
            <w:rPr>
              <w:rFonts w:ascii="Arial Narrow" w:hAnsi="Arial Narrow" w:cs="Arial"/>
              <w:color w:val="808080" w:themeColor="background1" w:themeShade="80"/>
              <w:sz w:val="20"/>
            </w:rPr>
            <w:t>NORMAS TÉCNICAS TEMPORALES PARA E</w:t>
          </w:r>
          <w:r>
            <w:rPr>
              <w:rFonts w:ascii="Arial Narrow" w:hAnsi="Arial Narrow" w:cs="Arial"/>
              <w:color w:val="808080" w:themeColor="background1" w:themeShade="80"/>
              <w:sz w:val="20"/>
            </w:rPr>
            <w:t>L TRATAMIENTO DE CRÉ</w:t>
          </w:r>
          <w:r w:rsidRPr="00D942B9">
            <w:rPr>
              <w:rFonts w:ascii="Arial Narrow" w:hAnsi="Arial Narrow" w:cs="Arial"/>
              <w:color w:val="808080" w:themeColor="background1" w:themeShade="80"/>
              <w:sz w:val="20"/>
            </w:rPr>
            <w:t>DITOS AFECTADOS POR COVID-19</w:t>
          </w:r>
        </w:p>
        <w:p w14:paraId="09F4CE60" w14:textId="3D6F318D" w:rsidR="00E5490D" w:rsidRPr="00875512" w:rsidRDefault="00E5490D" w:rsidP="004938BD">
          <w:pPr>
            <w:tabs>
              <w:tab w:val="center" w:pos="4419"/>
              <w:tab w:val="right" w:pos="8838"/>
            </w:tabs>
            <w:jc w:val="center"/>
            <w:rPr>
              <w:rFonts w:ascii="Arial Narrow" w:hAnsi="Arial Narrow"/>
              <w:b/>
              <w:sz w:val="20"/>
            </w:rPr>
          </w:pPr>
        </w:p>
      </w:tc>
      <w:tc>
        <w:tcPr>
          <w:tcW w:w="1843" w:type="dxa"/>
          <w:vMerge w:val="restart"/>
          <w:vAlign w:val="center"/>
        </w:tcPr>
        <w:p w14:paraId="0F9DDE44" w14:textId="77777777" w:rsidR="00E5490D" w:rsidRPr="00875512" w:rsidRDefault="00E5490D" w:rsidP="00552FDE">
          <w:pPr>
            <w:tabs>
              <w:tab w:val="center" w:pos="4419"/>
              <w:tab w:val="right" w:pos="8838"/>
            </w:tabs>
            <w:jc w:val="center"/>
            <w:rPr>
              <w:rFonts w:ascii="Arial Narrow" w:hAnsi="Arial Narrow" w:cs="Arial"/>
              <w:sz w:val="20"/>
            </w:rPr>
          </w:pPr>
          <w:r>
            <w:rPr>
              <w:noProof/>
              <w:lang w:val="es-SV" w:eastAsia="es-SV"/>
            </w:rPr>
            <w:drawing>
              <wp:inline distT="0" distB="0" distL="0" distR="0" wp14:anchorId="26AA4338" wp14:editId="09362C22">
                <wp:extent cx="931382" cy="607492"/>
                <wp:effectExtent l="0" t="0" r="2540" b="254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
                          <a:extLst>
                            <a:ext uri="{28A0092B-C50C-407E-A947-70E740481C1C}">
                              <a14:useLocalDpi xmlns:a14="http://schemas.microsoft.com/office/drawing/2010/main" val="0"/>
                            </a:ext>
                          </a:extLst>
                        </a:blip>
                        <a:stretch>
                          <a:fillRect/>
                        </a:stretch>
                      </pic:blipFill>
                      <pic:spPr>
                        <a:xfrm>
                          <a:off x="0" y="0"/>
                          <a:ext cx="931382" cy="607492"/>
                        </a:xfrm>
                        <a:prstGeom prst="rect">
                          <a:avLst/>
                        </a:prstGeom>
                      </pic:spPr>
                    </pic:pic>
                  </a:graphicData>
                </a:graphic>
              </wp:inline>
            </w:drawing>
          </w:r>
        </w:p>
      </w:tc>
    </w:tr>
    <w:tr w:rsidR="00E5490D" w:rsidRPr="00875512" w14:paraId="2034B9EB" w14:textId="77777777" w:rsidTr="0071399B">
      <w:trPr>
        <w:trHeight w:val="478"/>
      </w:trPr>
      <w:tc>
        <w:tcPr>
          <w:tcW w:w="2093" w:type="dxa"/>
          <w:vAlign w:val="center"/>
        </w:tcPr>
        <w:p w14:paraId="4DC1CE18" w14:textId="05846B09" w:rsidR="00E5490D" w:rsidRPr="00875512" w:rsidRDefault="00E5490D" w:rsidP="00025442">
          <w:pPr>
            <w:tabs>
              <w:tab w:val="center" w:pos="4419"/>
              <w:tab w:val="right" w:pos="8838"/>
            </w:tabs>
            <w:jc w:val="center"/>
            <w:rPr>
              <w:rFonts w:ascii="Arial Narrow" w:hAnsi="Arial Narrow" w:cs="Arial"/>
              <w:color w:val="818284"/>
              <w:sz w:val="20"/>
            </w:rPr>
          </w:pPr>
          <w:r w:rsidRPr="00875512">
            <w:rPr>
              <w:rFonts w:ascii="Arial Narrow" w:hAnsi="Arial Narrow" w:cs="Arial"/>
              <w:color w:val="818284"/>
              <w:sz w:val="20"/>
            </w:rPr>
            <w:t xml:space="preserve">Aprobación: </w:t>
          </w:r>
          <w:r w:rsidR="00765D5D">
            <w:rPr>
              <w:rFonts w:ascii="Arial Narrow" w:hAnsi="Arial Narrow" w:cs="Arial"/>
              <w:color w:val="818284"/>
              <w:sz w:val="20"/>
            </w:rPr>
            <w:t>10</w:t>
          </w:r>
          <w:r w:rsidRPr="00875512">
            <w:rPr>
              <w:rFonts w:ascii="Arial Narrow" w:hAnsi="Arial Narrow" w:cs="Arial"/>
              <w:color w:val="818284"/>
              <w:sz w:val="20"/>
            </w:rPr>
            <w:t>/</w:t>
          </w:r>
          <w:r>
            <w:rPr>
              <w:rFonts w:ascii="Arial Narrow" w:hAnsi="Arial Narrow" w:cs="Arial"/>
              <w:color w:val="818284"/>
              <w:sz w:val="20"/>
            </w:rPr>
            <w:t>09</w:t>
          </w:r>
          <w:r w:rsidRPr="00875512">
            <w:rPr>
              <w:rFonts w:ascii="Arial Narrow" w:hAnsi="Arial Narrow" w:cs="Arial"/>
              <w:color w:val="818284"/>
              <w:sz w:val="20"/>
            </w:rPr>
            <w:t>/20</w:t>
          </w:r>
          <w:r>
            <w:rPr>
              <w:rFonts w:ascii="Arial Narrow" w:hAnsi="Arial Narrow" w:cs="Arial"/>
              <w:color w:val="818284"/>
              <w:sz w:val="20"/>
            </w:rPr>
            <w:t>20</w:t>
          </w:r>
        </w:p>
      </w:tc>
      <w:tc>
        <w:tcPr>
          <w:tcW w:w="6128" w:type="dxa"/>
          <w:vMerge/>
          <w:vAlign w:val="center"/>
        </w:tcPr>
        <w:p w14:paraId="1F0C433D" w14:textId="77777777" w:rsidR="00E5490D" w:rsidRPr="00875512" w:rsidRDefault="00E5490D" w:rsidP="00552FDE">
          <w:pPr>
            <w:tabs>
              <w:tab w:val="center" w:pos="4419"/>
              <w:tab w:val="right" w:pos="8838"/>
            </w:tabs>
            <w:jc w:val="center"/>
            <w:rPr>
              <w:rFonts w:ascii="Arial Narrow" w:hAnsi="Arial Narrow" w:cs="Arial"/>
              <w:sz w:val="20"/>
            </w:rPr>
          </w:pPr>
        </w:p>
      </w:tc>
      <w:tc>
        <w:tcPr>
          <w:tcW w:w="1843" w:type="dxa"/>
          <w:vMerge/>
          <w:vAlign w:val="center"/>
        </w:tcPr>
        <w:p w14:paraId="347C50CE" w14:textId="77777777" w:rsidR="00E5490D" w:rsidRPr="00875512" w:rsidRDefault="00E5490D" w:rsidP="00552FDE">
          <w:pPr>
            <w:tabs>
              <w:tab w:val="center" w:pos="4419"/>
              <w:tab w:val="right" w:pos="8838"/>
            </w:tabs>
            <w:jc w:val="center"/>
            <w:rPr>
              <w:rFonts w:ascii="Arial Narrow" w:hAnsi="Arial Narrow" w:cs="Arial"/>
              <w:noProof/>
              <w:sz w:val="20"/>
            </w:rPr>
          </w:pPr>
        </w:p>
      </w:tc>
    </w:tr>
    <w:tr w:rsidR="00E5490D" w:rsidRPr="00875512" w14:paraId="3284033F" w14:textId="77777777" w:rsidTr="0071399B">
      <w:trPr>
        <w:trHeight w:val="495"/>
      </w:trPr>
      <w:tc>
        <w:tcPr>
          <w:tcW w:w="2093" w:type="dxa"/>
          <w:vAlign w:val="center"/>
        </w:tcPr>
        <w:p w14:paraId="21CD2000" w14:textId="635E3FBC" w:rsidR="00E5490D" w:rsidRPr="00875512" w:rsidRDefault="00E5490D" w:rsidP="00025442">
          <w:pPr>
            <w:tabs>
              <w:tab w:val="center" w:pos="4419"/>
              <w:tab w:val="right" w:pos="8838"/>
            </w:tabs>
            <w:jc w:val="center"/>
            <w:rPr>
              <w:rFonts w:ascii="Arial Narrow" w:hAnsi="Arial Narrow" w:cs="Arial"/>
              <w:sz w:val="20"/>
            </w:rPr>
          </w:pPr>
          <w:r w:rsidRPr="00875512">
            <w:rPr>
              <w:rFonts w:ascii="Arial Narrow" w:hAnsi="Arial Narrow" w:cs="Arial"/>
              <w:color w:val="818284"/>
              <w:sz w:val="20"/>
            </w:rPr>
            <w:t xml:space="preserve">Vigencia: </w:t>
          </w:r>
          <w:r>
            <w:rPr>
              <w:rFonts w:ascii="Arial Narrow" w:hAnsi="Arial Narrow" w:cs="Arial"/>
              <w:color w:val="818284"/>
              <w:sz w:val="20"/>
            </w:rPr>
            <w:t>1</w:t>
          </w:r>
          <w:r w:rsidRPr="00D942B9">
            <w:rPr>
              <w:rFonts w:ascii="Arial Narrow" w:hAnsi="Arial Narrow" w:cs="Arial"/>
              <w:color w:val="818284"/>
              <w:sz w:val="20"/>
            </w:rPr>
            <w:t>5</w:t>
          </w:r>
          <w:r w:rsidRPr="00875512">
            <w:rPr>
              <w:rFonts w:ascii="Arial Narrow" w:hAnsi="Arial Narrow" w:cs="Arial"/>
              <w:color w:val="818284"/>
              <w:sz w:val="20"/>
            </w:rPr>
            <w:t>/</w:t>
          </w:r>
          <w:r>
            <w:rPr>
              <w:rFonts w:ascii="Arial Narrow" w:hAnsi="Arial Narrow" w:cs="Arial"/>
              <w:color w:val="818284"/>
              <w:sz w:val="20"/>
            </w:rPr>
            <w:t>09</w:t>
          </w:r>
          <w:r w:rsidRPr="00875512">
            <w:rPr>
              <w:rFonts w:ascii="Arial Narrow" w:hAnsi="Arial Narrow" w:cs="Arial"/>
              <w:color w:val="818284"/>
              <w:sz w:val="20"/>
            </w:rPr>
            <w:t>/2020</w:t>
          </w:r>
        </w:p>
      </w:tc>
      <w:tc>
        <w:tcPr>
          <w:tcW w:w="6128" w:type="dxa"/>
          <w:vMerge/>
          <w:vAlign w:val="center"/>
        </w:tcPr>
        <w:p w14:paraId="5551593F" w14:textId="77777777" w:rsidR="00E5490D" w:rsidRPr="00875512" w:rsidRDefault="00E5490D" w:rsidP="00552FDE">
          <w:pPr>
            <w:tabs>
              <w:tab w:val="center" w:pos="4419"/>
              <w:tab w:val="right" w:pos="8838"/>
            </w:tabs>
            <w:jc w:val="center"/>
            <w:rPr>
              <w:rFonts w:ascii="Arial Narrow" w:hAnsi="Arial Narrow" w:cs="Arial"/>
              <w:sz w:val="20"/>
            </w:rPr>
          </w:pPr>
        </w:p>
      </w:tc>
      <w:tc>
        <w:tcPr>
          <w:tcW w:w="1843" w:type="dxa"/>
          <w:vMerge/>
          <w:vAlign w:val="center"/>
        </w:tcPr>
        <w:p w14:paraId="2CD99709" w14:textId="77777777" w:rsidR="00E5490D" w:rsidRPr="00875512" w:rsidRDefault="00E5490D" w:rsidP="00552FDE">
          <w:pPr>
            <w:tabs>
              <w:tab w:val="center" w:pos="4419"/>
              <w:tab w:val="right" w:pos="8838"/>
            </w:tabs>
            <w:jc w:val="center"/>
            <w:rPr>
              <w:rFonts w:ascii="Arial Narrow" w:hAnsi="Arial Narrow" w:cs="Arial"/>
              <w:sz w:val="20"/>
            </w:rPr>
          </w:pPr>
        </w:p>
      </w:tc>
    </w:tr>
  </w:tbl>
  <w:p w14:paraId="0D7D4C99" w14:textId="77777777" w:rsidR="00E5490D" w:rsidRPr="00FA6CC1" w:rsidRDefault="00E5490D">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E5490D" w:rsidRPr="00437961" w14:paraId="36D2C6B4" w14:textId="77777777" w:rsidTr="006F7E2D">
      <w:trPr>
        <w:trHeight w:val="366"/>
      </w:trPr>
      <w:tc>
        <w:tcPr>
          <w:tcW w:w="2122"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06044489" w14:textId="77777777" w:rsidR="00E5490D" w:rsidRPr="00437961" w:rsidRDefault="00E5490D"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CN-04/2015</w:t>
          </w:r>
        </w:p>
      </w:tc>
      <w:tc>
        <w:tcPr>
          <w:tcW w:w="6946" w:type="dxa"/>
          <w:vMerge w:val="restart"/>
          <w:tcBorders>
            <w:left w:val="triple" w:sz="4" w:space="0" w:color="A6A6A6" w:themeColor="background1" w:themeShade="A6"/>
          </w:tcBorders>
          <w:vAlign w:val="center"/>
        </w:tcPr>
        <w:p w14:paraId="6CC5FD8E" w14:textId="77777777" w:rsidR="00E5490D" w:rsidRDefault="00E5490D"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MEDIDAS TEMPORALES</w:t>
          </w:r>
        </w:p>
        <w:p w14:paraId="029D1CDD" w14:textId="77777777" w:rsidR="00E5490D" w:rsidRDefault="00E5490D" w:rsidP="006F7E2D">
          <w:pPr>
            <w:pStyle w:val="Piedepgina"/>
            <w:jc w:val="center"/>
            <w:rPr>
              <w:rFonts w:ascii="Arial Narrow" w:hAnsi="Arial Narrow" w:cs="Arial"/>
              <w:color w:val="818284"/>
              <w:sz w:val="20"/>
              <w:szCs w:val="20"/>
            </w:rPr>
          </w:pPr>
        </w:p>
        <w:p w14:paraId="6068E987" w14:textId="77777777" w:rsidR="00E5490D" w:rsidRDefault="00E5490D" w:rsidP="006F7E2D">
          <w:pPr>
            <w:pStyle w:val="Piedepgina"/>
            <w:jc w:val="center"/>
            <w:rPr>
              <w:rFonts w:ascii="Arial Narrow" w:hAnsi="Arial Narrow" w:cs="Arial"/>
              <w:color w:val="818284"/>
              <w:sz w:val="20"/>
              <w:szCs w:val="20"/>
            </w:rPr>
          </w:pPr>
        </w:p>
        <w:p w14:paraId="33D3D66F" w14:textId="77777777" w:rsidR="00E5490D" w:rsidRDefault="00E5490D" w:rsidP="006F7E2D">
          <w:pPr>
            <w:pStyle w:val="Piedepgina"/>
            <w:jc w:val="center"/>
            <w:rPr>
              <w:rFonts w:ascii="Arial Narrow" w:hAnsi="Arial Narrow" w:cs="Arial"/>
              <w:color w:val="818284"/>
              <w:sz w:val="20"/>
              <w:szCs w:val="20"/>
            </w:rPr>
          </w:pPr>
        </w:p>
        <w:p w14:paraId="60D62A80" w14:textId="77777777" w:rsidR="00E5490D" w:rsidRPr="00437961" w:rsidRDefault="00E5490D"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 xml:space="preserve"> PARA EL CÁLCULO DE LA RESERVA DE LIQUIDEZ</w:t>
          </w:r>
        </w:p>
      </w:tc>
      <w:tc>
        <w:tcPr>
          <w:tcW w:w="1559" w:type="dxa"/>
          <w:vMerge w:val="restart"/>
          <w:vAlign w:val="center"/>
        </w:tcPr>
        <w:p w14:paraId="132969F6" w14:textId="77777777" w:rsidR="00E5490D" w:rsidRPr="00437961" w:rsidRDefault="00E5490D" w:rsidP="006F7E2D">
          <w:pPr>
            <w:pStyle w:val="Encabezado"/>
            <w:jc w:val="center"/>
            <w:rPr>
              <w:rFonts w:ascii="Arial Narrow" w:hAnsi="Arial Narrow"/>
              <w:sz w:val="20"/>
              <w:szCs w:val="20"/>
            </w:rPr>
          </w:pPr>
          <w:r>
            <w:rPr>
              <w:noProof/>
              <w:lang w:val="es-SV" w:eastAsia="es-SV"/>
            </w:rPr>
            <w:drawing>
              <wp:inline distT="0" distB="0" distL="0" distR="0" wp14:anchorId="20A171BD" wp14:editId="15007CFF">
                <wp:extent cx="574675" cy="581660"/>
                <wp:effectExtent l="19050" t="0" r="0" b="0"/>
                <wp:docPr id="2"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Imagen"/>
                        <pic:cNvPicPr/>
                      </pic:nvPicPr>
                      <pic:blipFill>
                        <a:blip r:embed="rId1">
                          <a:extLst>
                            <a:ext uri="{28A0092B-C50C-407E-A947-70E740481C1C}">
                              <a14:useLocalDpi xmlns:a14="http://schemas.microsoft.com/office/drawing/2010/main" val="0"/>
                            </a:ext>
                          </a:extLst>
                        </a:blip>
                        <a:stretch>
                          <a:fillRect/>
                        </a:stretch>
                      </pic:blipFill>
                      <pic:spPr>
                        <a:xfrm>
                          <a:off x="0" y="0"/>
                          <a:ext cx="574675" cy="581660"/>
                        </a:xfrm>
                        <a:prstGeom prst="rect">
                          <a:avLst/>
                        </a:prstGeom>
                      </pic:spPr>
                    </pic:pic>
                  </a:graphicData>
                </a:graphic>
              </wp:inline>
            </w:drawing>
          </w:r>
        </w:p>
      </w:tc>
    </w:tr>
    <w:tr w:rsidR="00E5490D" w:rsidRPr="00437961" w14:paraId="63E1F610" w14:textId="77777777" w:rsidTr="490DA631">
      <w:trPr>
        <w:trHeight w:val="366"/>
      </w:trPr>
      <w:tc>
        <w:tcPr>
          <w:tcW w:w="2122"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4F1DB40B" w14:textId="77777777" w:rsidR="00E5490D" w:rsidRPr="00437961" w:rsidRDefault="00E5490D"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05/02/2015</w:t>
          </w:r>
        </w:p>
      </w:tc>
      <w:tc>
        <w:tcPr>
          <w:tcW w:w="6946" w:type="dxa"/>
          <w:vMerge/>
          <w:vAlign w:val="center"/>
        </w:tcPr>
        <w:p w14:paraId="4190DCDE" w14:textId="77777777" w:rsidR="00E5490D" w:rsidRPr="00437961" w:rsidRDefault="00E5490D" w:rsidP="006F7E2D">
          <w:pPr>
            <w:pStyle w:val="Encabezado"/>
            <w:jc w:val="center"/>
            <w:rPr>
              <w:rFonts w:ascii="Arial Narrow" w:hAnsi="Arial Narrow"/>
              <w:sz w:val="20"/>
              <w:szCs w:val="20"/>
            </w:rPr>
          </w:pPr>
        </w:p>
      </w:tc>
      <w:tc>
        <w:tcPr>
          <w:tcW w:w="1559" w:type="dxa"/>
          <w:vMerge/>
          <w:vAlign w:val="center"/>
        </w:tcPr>
        <w:p w14:paraId="6D760670" w14:textId="77777777" w:rsidR="00E5490D" w:rsidRPr="00437961" w:rsidRDefault="00E5490D" w:rsidP="006F7E2D">
          <w:pPr>
            <w:pStyle w:val="Encabezado"/>
            <w:jc w:val="center"/>
            <w:rPr>
              <w:rFonts w:ascii="Arial Narrow" w:hAnsi="Arial Narrow"/>
              <w:noProof/>
              <w:sz w:val="20"/>
              <w:szCs w:val="20"/>
            </w:rPr>
          </w:pPr>
        </w:p>
      </w:tc>
    </w:tr>
    <w:tr w:rsidR="00E5490D" w:rsidRPr="00437961" w14:paraId="7BC11985" w14:textId="77777777" w:rsidTr="490DA631">
      <w:trPr>
        <w:trHeight w:val="366"/>
      </w:trPr>
      <w:tc>
        <w:tcPr>
          <w:tcW w:w="2122"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6EA9BBEC" w14:textId="77777777" w:rsidR="00E5490D" w:rsidRPr="00437961" w:rsidRDefault="00E5490D" w:rsidP="00B04C45">
          <w:pPr>
            <w:pStyle w:val="Piedepgina"/>
            <w:jc w:val="center"/>
            <w:rPr>
              <w:rFonts w:ascii="Arial Narrow" w:hAnsi="Arial Narrow"/>
              <w:sz w:val="20"/>
              <w:szCs w:val="20"/>
            </w:rPr>
          </w:pPr>
          <w:r>
            <w:rPr>
              <w:rFonts w:ascii="Arial Narrow" w:hAnsi="Arial Narrow" w:cs="Arial"/>
              <w:color w:val="818284"/>
              <w:sz w:val="20"/>
              <w:szCs w:val="20"/>
            </w:rPr>
            <w:t>Vigencia: 23/02/2015</w:t>
          </w:r>
        </w:p>
      </w:tc>
      <w:tc>
        <w:tcPr>
          <w:tcW w:w="6946" w:type="dxa"/>
          <w:vMerge/>
          <w:vAlign w:val="center"/>
        </w:tcPr>
        <w:p w14:paraId="009B2D19" w14:textId="77777777" w:rsidR="00E5490D" w:rsidRPr="00437961" w:rsidRDefault="00E5490D" w:rsidP="006F7E2D">
          <w:pPr>
            <w:pStyle w:val="Encabezado"/>
            <w:jc w:val="center"/>
            <w:rPr>
              <w:rFonts w:ascii="Arial Narrow" w:hAnsi="Arial Narrow"/>
              <w:sz w:val="20"/>
              <w:szCs w:val="20"/>
            </w:rPr>
          </w:pPr>
        </w:p>
      </w:tc>
      <w:tc>
        <w:tcPr>
          <w:tcW w:w="1559" w:type="dxa"/>
          <w:vMerge/>
          <w:vAlign w:val="center"/>
        </w:tcPr>
        <w:p w14:paraId="5C1DBBF9" w14:textId="77777777" w:rsidR="00E5490D" w:rsidRPr="00437961" w:rsidRDefault="00E5490D" w:rsidP="006F7E2D">
          <w:pPr>
            <w:pStyle w:val="Encabezado"/>
            <w:jc w:val="center"/>
            <w:rPr>
              <w:rFonts w:ascii="Arial Narrow" w:hAnsi="Arial Narrow"/>
              <w:sz w:val="20"/>
              <w:szCs w:val="20"/>
            </w:rPr>
          </w:pPr>
        </w:p>
      </w:tc>
    </w:tr>
  </w:tbl>
  <w:p w14:paraId="39FCF55C" w14:textId="77777777" w:rsidR="00E5490D" w:rsidRDefault="00E5490D" w:rsidP="00A44BA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651"/>
    <w:multiLevelType w:val="hybridMultilevel"/>
    <w:tmpl w:val="3B6CFE34"/>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4920875"/>
    <w:multiLevelType w:val="hybridMultilevel"/>
    <w:tmpl w:val="63321488"/>
    <w:lvl w:ilvl="0" w:tplc="E6305662">
      <w:start w:val="1"/>
      <w:numFmt w:val="upperRoman"/>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497B03"/>
    <w:multiLevelType w:val="hybridMultilevel"/>
    <w:tmpl w:val="E8220678"/>
    <w:lvl w:ilvl="0" w:tplc="F94202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A2174"/>
    <w:multiLevelType w:val="hybridMultilevel"/>
    <w:tmpl w:val="905CB798"/>
    <w:lvl w:ilvl="0" w:tplc="5BC045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CD7E48"/>
    <w:multiLevelType w:val="hybridMultilevel"/>
    <w:tmpl w:val="27066C1C"/>
    <w:lvl w:ilvl="0" w:tplc="A4783EE6">
      <w:start w:val="1"/>
      <w:numFmt w:val="decimal"/>
      <w:lvlText w:val="Art. %1.-"/>
      <w:lvlJc w:val="left"/>
      <w:pPr>
        <w:ind w:left="1070" w:hanging="360"/>
      </w:pPr>
      <w:rPr>
        <w:rFonts w:ascii="Arial Narrow" w:hAnsi="Arial Narrow" w:hint="default"/>
        <w:b/>
        <w:i w:val="0"/>
        <w:strike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A170C3"/>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01A33"/>
    <w:multiLevelType w:val="hybridMultilevel"/>
    <w:tmpl w:val="42843006"/>
    <w:lvl w:ilvl="0" w:tplc="D4F669BC">
      <w:start w:val="1"/>
      <w:numFmt w:val="decimal"/>
      <w:lvlText w:val="Art. %1.-"/>
      <w:lvlJc w:val="left"/>
      <w:pPr>
        <w:ind w:left="720" w:hanging="360"/>
      </w:pPr>
      <w:rPr>
        <w:rFonts w:ascii="Arial Narrow" w:hAnsi="Arial Narrow" w:hint="default"/>
        <w:b/>
        <w:i w:val="0"/>
        <w:iCs w:val="0"/>
        <w:strike w:val="0"/>
        <w:color w:val="auto"/>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B426624"/>
    <w:multiLevelType w:val="hybridMultilevel"/>
    <w:tmpl w:val="E72C0AA8"/>
    <w:lvl w:ilvl="0" w:tplc="24CE440C">
      <w:start w:val="1"/>
      <w:numFmt w:val="decimal"/>
      <w:lvlText w:val="%1."/>
      <w:lvlJc w:val="left"/>
      <w:pPr>
        <w:ind w:left="720" w:hanging="360"/>
      </w:pPr>
      <w:rPr>
        <w:rFonts w:ascii="Museo Sans 300" w:hAnsi="Museo Sans 300" w:cs="Arial"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1CB33DFB"/>
    <w:multiLevelType w:val="hybridMultilevel"/>
    <w:tmpl w:val="2432E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3F508F"/>
    <w:multiLevelType w:val="hybridMultilevel"/>
    <w:tmpl w:val="2AF8B2DA"/>
    <w:lvl w:ilvl="0" w:tplc="C8283DDA">
      <w:start w:val="1"/>
      <w:numFmt w:val="decimal"/>
      <w:suff w:val="space"/>
      <w:lvlText w:val="Art. %1.-"/>
      <w:lvlJc w:val="left"/>
      <w:pPr>
        <w:ind w:left="502" w:hanging="360"/>
      </w:pPr>
      <w:rPr>
        <w:rFonts w:hint="default"/>
        <w:b/>
        <w:strike w:val="0"/>
        <w:dstrike w:val="0"/>
        <w:color w:val="auto"/>
        <w:sz w:val="24"/>
        <w:szCs w:val="24"/>
        <w:u w:val="none"/>
        <w:effect w:val="none"/>
      </w:rPr>
    </w:lvl>
    <w:lvl w:ilvl="1" w:tplc="080A0019" w:tentative="1">
      <w:start w:val="1"/>
      <w:numFmt w:val="lowerLetter"/>
      <w:lvlText w:val="%2."/>
      <w:lvlJc w:val="left"/>
      <w:pPr>
        <w:ind w:left="-3380" w:hanging="360"/>
      </w:pPr>
    </w:lvl>
    <w:lvl w:ilvl="2" w:tplc="080A001B" w:tentative="1">
      <w:start w:val="1"/>
      <w:numFmt w:val="lowerRoman"/>
      <w:lvlText w:val="%3."/>
      <w:lvlJc w:val="right"/>
      <w:pPr>
        <w:ind w:left="-2660" w:hanging="180"/>
      </w:pPr>
    </w:lvl>
    <w:lvl w:ilvl="3" w:tplc="080A000F" w:tentative="1">
      <w:start w:val="1"/>
      <w:numFmt w:val="decimal"/>
      <w:lvlText w:val="%4."/>
      <w:lvlJc w:val="left"/>
      <w:pPr>
        <w:ind w:left="-1940" w:hanging="360"/>
      </w:pPr>
    </w:lvl>
    <w:lvl w:ilvl="4" w:tplc="080A0019" w:tentative="1">
      <w:start w:val="1"/>
      <w:numFmt w:val="lowerLetter"/>
      <w:lvlText w:val="%5."/>
      <w:lvlJc w:val="left"/>
      <w:pPr>
        <w:ind w:left="-1220" w:hanging="360"/>
      </w:pPr>
    </w:lvl>
    <w:lvl w:ilvl="5" w:tplc="080A001B" w:tentative="1">
      <w:start w:val="1"/>
      <w:numFmt w:val="lowerRoman"/>
      <w:lvlText w:val="%6."/>
      <w:lvlJc w:val="right"/>
      <w:pPr>
        <w:ind w:left="-500" w:hanging="180"/>
      </w:pPr>
    </w:lvl>
    <w:lvl w:ilvl="6" w:tplc="080A000F" w:tentative="1">
      <w:start w:val="1"/>
      <w:numFmt w:val="decimal"/>
      <w:lvlText w:val="%7."/>
      <w:lvlJc w:val="left"/>
      <w:pPr>
        <w:ind w:left="220" w:hanging="360"/>
      </w:pPr>
    </w:lvl>
    <w:lvl w:ilvl="7" w:tplc="080A0019" w:tentative="1">
      <w:start w:val="1"/>
      <w:numFmt w:val="lowerLetter"/>
      <w:lvlText w:val="%8."/>
      <w:lvlJc w:val="left"/>
      <w:pPr>
        <w:ind w:left="940" w:hanging="360"/>
      </w:pPr>
    </w:lvl>
    <w:lvl w:ilvl="8" w:tplc="080A001B" w:tentative="1">
      <w:start w:val="1"/>
      <w:numFmt w:val="lowerRoman"/>
      <w:lvlText w:val="%9."/>
      <w:lvlJc w:val="right"/>
      <w:pPr>
        <w:ind w:left="1660" w:hanging="180"/>
      </w:pPr>
    </w:lvl>
  </w:abstractNum>
  <w:abstractNum w:abstractNumId="10" w15:restartNumberingAfterBreak="0">
    <w:nsid w:val="274C3F0B"/>
    <w:multiLevelType w:val="hybridMultilevel"/>
    <w:tmpl w:val="4E28DC96"/>
    <w:lvl w:ilvl="0" w:tplc="20E2E998">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EAF2CDA"/>
    <w:multiLevelType w:val="hybridMultilevel"/>
    <w:tmpl w:val="A7F4BFEC"/>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605C9C"/>
    <w:multiLevelType w:val="hybridMultilevel"/>
    <w:tmpl w:val="2FECC4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EB4B80"/>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D3F4BC2"/>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131018"/>
    <w:multiLevelType w:val="hybridMultilevel"/>
    <w:tmpl w:val="A166477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6" w15:restartNumberingAfterBreak="0">
    <w:nsid w:val="44955A11"/>
    <w:multiLevelType w:val="hybridMultilevel"/>
    <w:tmpl w:val="F1FAAAF8"/>
    <w:lvl w:ilvl="0" w:tplc="F942025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6573416"/>
    <w:multiLevelType w:val="hybridMultilevel"/>
    <w:tmpl w:val="BAAE2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1F5020"/>
    <w:multiLevelType w:val="hybridMultilevel"/>
    <w:tmpl w:val="28F22FD8"/>
    <w:lvl w:ilvl="0" w:tplc="F4BA359C">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AFB34B0"/>
    <w:multiLevelType w:val="hybridMultilevel"/>
    <w:tmpl w:val="E312A9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2A229F"/>
    <w:multiLevelType w:val="hybridMultilevel"/>
    <w:tmpl w:val="63321488"/>
    <w:lvl w:ilvl="0" w:tplc="E6305662">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0371ACB"/>
    <w:multiLevelType w:val="hybridMultilevel"/>
    <w:tmpl w:val="29E496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FB9751D"/>
    <w:multiLevelType w:val="hybridMultilevel"/>
    <w:tmpl w:val="406AA4CA"/>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4E73E6"/>
    <w:multiLevelType w:val="hybridMultilevel"/>
    <w:tmpl w:val="32A2D756"/>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5" w15:restartNumberingAfterBreak="0">
    <w:nsid w:val="64217FC8"/>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9AB11FB"/>
    <w:multiLevelType w:val="hybridMultilevel"/>
    <w:tmpl w:val="76D2ED5A"/>
    <w:lvl w:ilvl="0" w:tplc="E02457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F64591"/>
    <w:multiLevelType w:val="hybridMultilevel"/>
    <w:tmpl w:val="34D2E9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DD5D59"/>
    <w:multiLevelType w:val="hybridMultilevel"/>
    <w:tmpl w:val="3ACE5A28"/>
    <w:lvl w:ilvl="0" w:tplc="5E72A826">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7BCB6051"/>
    <w:multiLevelType w:val="hybridMultilevel"/>
    <w:tmpl w:val="4844C806"/>
    <w:lvl w:ilvl="0" w:tplc="360A6FAA">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D822D6A"/>
    <w:multiLevelType w:val="hybridMultilevel"/>
    <w:tmpl w:val="03F65BC0"/>
    <w:lvl w:ilvl="0" w:tplc="CE7E48D8">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8"/>
  </w:num>
  <w:num w:numId="2">
    <w:abstractNumId w:val="12"/>
  </w:num>
  <w:num w:numId="3">
    <w:abstractNumId w:val="27"/>
  </w:num>
  <w:num w:numId="4">
    <w:abstractNumId w:val="8"/>
  </w:num>
  <w:num w:numId="5">
    <w:abstractNumId w:val="17"/>
  </w:num>
  <w:num w:numId="6">
    <w:abstractNumId w:val="16"/>
  </w:num>
  <w:num w:numId="7">
    <w:abstractNumId w:val="2"/>
  </w:num>
  <w:num w:numId="8">
    <w:abstractNumId w:val="30"/>
  </w:num>
  <w:num w:numId="9">
    <w:abstractNumId w:val="26"/>
  </w:num>
  <w:num w:numId="10">
    <w:abstractNumId w:val="25"/>
  </w:num>
  <w:num w:numId="11">
    <w:abstractNumId w:val="19"/>
  </w:num>
  <w:num w:numId="12">
    <w:abstractNumId w:val="18"/>
  </w:num>
  <w:num w:numId="13">
    <w:abstractNumId w:val="3"/>
  </w:num>
  <w:num w:numId="14">
    <w:abstractNumId w:val="9"/>
  </w:num>
  <w:num w:numId="15">
    <w:abstractNumId w:val="24"/>
  </w:num>
  <w:num w:numId="16">
    <w:abstractNumId w:val="11"/>
  </w:num>
  <w:num w:numId="17">
    <w:abstractNumId w:val="0"/>
  </w:num>
  <w:num w:numId="18">
    <w:abstractNumId w:val="4"/>
  </w:num>
  <w:num w:numId="19">
    <w:abstractNumId w:val="13"/>
  </w:num>
  <w:num w:numId="20">
    <w:abstractNumId w:val="5"/>
  </w:num>
  <w:num w:numId="21">
    <w:abstractNumId w:val="14"/>
  </w:num>
  <w:num w:numId="22">
    <w:abstractNumId w:val="23"/>
  </w:num>
  <w:num w:numId="23">
    <w:abstractNumId w:val="22"/>
  </w:num>
  <w:num w:numId="24">
    <w:abstractNumId w:val="1"/>
  </w:num>
  <w:num w:numId="25">
    <w:abstractNumId w:val="21"/>
  </w:num>
  <w:num w:numId="26">
    <w:abstractNumId w:val="6"/>
  </w:num>
  <w:num w:numId="27">
    <w:abstractNumId w:val="29"/>
  </w:num>
  <w:num w:numId="28">
    <w:abstractNumId w:val="20"/>
  </w:num>
  <w:num w:numId="29">
    <w:abstractNumId w:val="10"/>
  </w:num>
  <w:num w:numId="30">
    <w:abstractNumId w:val="15"/>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C"/>
    <w:rsid w:val="00001DA7"/>
    <w:rsid w:val="00003262"/>
    <w:rsid w:val="000040DA"/>
    <w:rsid w:val="0000568E"/>
    <w:rsid w:val="00005752"/>
    <w:rsid w:val="0000688A"/>
    <w:rsid w:val="00012916"/>
    <w:rsid w:val="0001311D"/>
    <w:rsid w:val="0001350F"/>
    <w:rsid w:val="00015529"/>
    <w:rsid w:val="0001571B"/>
    <w:rsid w:val="00015C62"/>
    <w:rsid w:val="000163AD"/>
    <w:rsid w:val="00016D16"/>
    <w:rsid w:val="00016EC1"/>
    <w:rsid w:val="000201FD"/>
    <w:rsid w:val="0002448D"/>
    <w:rsid w:val="00025442"/>
    <w:rsid w:val="0002594C"/>
    <w:rsid w:val="00026A2C"/>
    <w:rsid w:val="00026C89"/>
    <w:rsid w:val="00026E7A"/>
    <w:rsid w:val="00027B5C"/>
    <w:rsid w:val="00030F75"/>
    <w:rsid w:val="00034C60"/>
    <w:rsid w:val="00034D06"/>
    <w:rsid w:val="0003705B"/>
    <w:rsid w:val="00041143"/>
    <w:rsid w:val="00042F7D"/>
    <w:rsid w:val="0004376A"/>
    <w:rsid w:val="00044DDD"/>
    <w:rsid w:val="000451F7"/>
    <w:rsid w:val="000456FE"/>
    <w:rsid w:val="00045F5A"/>
    <w:rsid w:val="000475EE"/>
    <w:rsid w:val="000478E5"/>
    <w:rsid w:val="00047C0B"/>
    <w:rsid w:val="00050EE1"/>
    <w:rsid w:val="00051F85"/>
    <w:rsid w:val="00052732"/>
    <w:rsid w:val="000530B7"/>
    <w:rsid w:val="00054273"/>
    <w:rsid w:val="000548ED"/>
    <w:rsid w:val="000569D3"/>
    <w:rsid w:val="00056E86"/>
    <w:rsid w:val="00060C45"/>
    <w:rsid w:val="00061921"/>
    <w:rsid w:val="00061B78"/>
    <w:rsid w:val="00061C05"/>
    <w:rsid w:val="0006240A"/>
    <w:rsid w:val="0006375B"/>
    <w:rsid w:val="00064078"/>
    <w:rsid w:val="00064312"/>
    <w:rsid w:val="00070879"/>
    <w:rsid w:val="000708B6"/>
    <w:rsid w:val="00072C41"/>
    <w:rsid w:val="00072D22"/>
    <w:rsid w:val="00074BB4"/>
    <w:rsid w:val="00074D98"/>
    <w:rsid w:val="00075ECE"/>
    <w:rsid w:val="00077801"/>
    <w:rsid w:val="0008182C"/>
    <w:rsid w:val="000838B0"/>
    <w:rsid w:val="00083B0B"/>
    <w:rsid w:val="0009000E"/>
    <w:rsid w:val="00090231"/>
    <w:rsid w:val="00090D73"/>
    <w:rsid w:val="00090EBD"/>
    <w:rsid w:val="00092592"/>
    <w:rsid w:val="00097701"/>
    <w:rsid w:val="000A13F2"/>
    <w:rsid w:val="000A15BB"/>
    <w:rsid w:val="000A3CD0"/>
    <w:rsid w:val="000A48F3"/>
    <w:rsid w:val="000A4EE1"/>
    <w:rsid w:val="000A6EDF"/>
    <w:rsid w:val="000B07E9"/>
    <w:rsid w:val="000B1956"/>
    <w:rsid w:val="000B3F2F"/>
    <w:rsid w:val="000B4133"/>
    <w:rsid w:val="000B5CC4"/>
    <w:rsid w:val="000B6277"/>
    <w:rsid w:val="000C05FB"/>
    <w:rsid w:val="000C1405"/>
    <w:rsid w:val="000C1EB8"/>
    <w:rsid w:val="000C236F"/>
    <w:rsid w:val="000C4266"/>
    <w:rsid w:val="000C4FD9"/>
    <w:rsid w:val="000C596D"/>
    <w:rsid w:val="000C79C3"/>
    <w:rsid w:val="000D144A"/>
    <w:rsid w:val="000D271A"/>
    <w:rsid w:val="000D285A"/>
    <w:rsid w:val="000D2B07"/>
    <w:rsid w:val="000D2B3C"/>
    <w:rsid w:val="000D42F2"/>
    <w:rsid w:val="000D4D92"/>
    <w:rsid w:val="000D4EA4"/>
    <w:rsid w:val="000D71BC"/>
    <w:rsid w:val="000D735E"/>
    <w:rsid w:val="000D7DDE"/>
    <w:rsid w:val="000E0AA9"/>
    <w:rsid w:val="000E15B3"/>
    <w:rsid w:val="000E3E7C"/>
    <w:rsid w:val="000E58F7"/>
    <w:rsid w:val="000E5BA0"/>
    <w:rsid w:val="000E74E8"/>
    <w:rsid w:val="000F00AA"/>
    <w:rsid w:val="000F1CC7"/>
    <w:rsid w:val="000F3FA1"/>
    <w:rsid w:val="000F65AE"/>
    <w:rsid w:val="000F6FA5"/>
    <w:rsid w:val="00101C34"/>
    <w:rsid w:val="00103E1D"/>
    <w:rsid w:val="001040B8"/>
    <w:rsid w:val="001041B9"/>
    <w:rsid w:val="00105142"/>
    <w:rsid w:val="00107872"/>
    <w:rsid w:val="00107E24"/>
    <w:rsid w:val="00107E95"/>
    <w:rsid w:val="0011112F"/>
    <w:rsid w:val="0011158C"/>
    <w:rsid w:val="001115F0"/>
    <w:rsid w:val="00111EC6"/>
    <w:rsid w:val="00112949"/>
    <w:rsid w:val="0011424F"/>
    <w:rsid w:val="001147DF"/>
    <w:rsid w:val="00115BFB"/>
    <w:rsid w:val="00115CEF"/>
    <w:rsid w:val="001160B9"/>
    <w:rsid w:val="00116A09"/>
    <w:rsid w:val="0012163B"/>
    <w:rsid w:val="0012222D"/>
    <w:rsid w:val="00122314"/>
    <w:rsid w:val="001225B3"/>
    <w:rsid w:val="00123C8A"/>
    <w:rsid w:val="00125038"/>
    <w:rsid w:val="00126724"/>
    <w:rsid w:val="00126807"/>
    <w:rsid w:val="001270AD"/>
    <w:rsid w:val="00127DF6"/>
    <w:rsid w:val="001300F2"/>
    <w:rsid w:val="001309B4"/>
    <w:rsid w:val="00130A1E"/>
    <w:rsid w:val="00132524"/>
    <w:rsid w:val="0013265C"/>
    <w:rsid w:val="00132762"/>
    <w:rsid w:val="001336D3"/>
    <w:rsid w:val="001348A5"/>
    <w:rsid w:val="00134C15"/>
    <w:rsid w:val="00134DD2"/>
    <w:rsid w:val="001351D2"/>
    <w:rsid w:val="001353BC"/>
    <w:rsid w:val="0013625A"/>
    <w:rsid w:val="00140612"/>
    <w:rsid w:val="00140787"/>
    <w:rsid w:val="0014137B"/>
    <w:rsid w:val="0014516B"/>
    <w:rsid w:val="001451DA"/>
    <w:rsid w:val="00145638"/>
    <w:rsid w:val="00146433"/>
    <w:rsid w:val="0014700C"/>
    <w:rsid w:val="001511B9"/>
    <w:rsid w:val="001528F6"/>
    <w:rsid w:val="001533FC"/>
    <w:rsid w:val="0015399B"/>
    <w:rsid w:val="001539B6"/>
    <w:rsid w:val="00153A03"/>
    <w:rsid w:val="001555DD"/>
    <w:rsid w:val="00156001"/>
    <w:rsid w:val="001566D2"/>
    <w:rsid w:val="00156B44"/>
    <w:rsid w:val="00156D92"/>
    <w:rsid w:val="0015759A"/>
    <w:rsid w:val="0015771C"/>
    <w:rsid w:val="00157B3B"/>
    <w:rsid w:val="001605E6"/>
    <w:rsid w:val="001623FD"/>
    <w:rsid w:val="0016337B"/>
    <w:rsid w:val="001633A6"/>
    <w:rsid w:val="001639DC"/>
    <w:rsid w:val="00164132"/>
    <w:rsid w:val="00164F12"/>
    <w:rsid w:val="0016611C"/>
    <w:rsid w:val="00166374"/>
    <w:rsid w:val="00170623"/>
    <w:rsid w:val="001719FD"/>
    <w:rsid w:val="00171AC6"/>
    <w:rsid w:val="00171B55"/>
    <w:rsid w:val="001723F7"/>
    <w:rsid w:val="00173786"/>
    <w:rsid w:val="00173B6B"/>
    <w:rsid w:val="00173BBF"/>
    <w:rsid w:val="00174407"/>
    <w:rsid w:val="00174EE1"/>
    <w:rsid w:val="00175267"/>
    <w:rsid w:val="00175847"/>
    <w:rsid w:val="0018016D"/>
    <w:rsid w:val="00183502"/>
    <w:rsid w:val="0018377A"/>
    <w:rsid w:val="00183C12"/>
    <w:rsid w:val="00184433"/>
    <w:rsid w:val="001864AD"/>
    <w:rsid w:val="001869B2"/>
    <w:rsid w:val="00186A30"/>
    <w:rsid w:val="00187249"/>
    <w:rsid w:val="00190985"/>
    <w:rsid w:val="001910DC"/>
    <w:rsid w:val="00192904"/>
    <w:rsid w:val="0019313D"/>
    <w:rsid w:val="00193204"/>
    <w:rsid w:val="001937CE"/>
    <w:rsid w:val="0019471C"/>
    <w:rsid w:val="00194A6A"/>
    <w:rsid w:val="00194F6E"/>
    <w:rsid w:val="00195C45"/>
    <w:rsid w:val="001964EF"/>
    <w:rsid w:val="0019791A"/>
    <w:rsid w:val="001A18CF"/>
    <w:rsid w:val="001A3286"/>
    <w:rsid w:val="001A394A"/>
    <w:rsid w:val="001A4731"/>
    <w:rsid w:val="001A5364"/>
    <w:rsid w:val="001A6E02"/>
    <w:rsid w:val="001B1695"/>
    <w:rsid w:val="001B2A60"/>
    <w:rsid w:val="001B4AEF"/>
    <w:rsid w:val="001B56CA"/>
    <w:rsid w:val="001B5FE2"/>
    <w:rsid w:val="001B60C2"/>
    <w:rsid w:val="001B68E5"/>
    <w:rsid w:val="001C0CFE"/>
    <w:rsid w:val="001C2DE9"/>
    <w:rsid w:val="001C4F9E"/>
    <w:rsid w:val="001C503D"/>
    <w:rsid w:val="001C551E"/>
    <w:rsid w:val="001C6D55"/>
    <w:rsid w:val="001D028D"/>
    <w:rsid w:val="001D0471"/>
    <w:rsid w:val="001D0DCF"/>
    <w:rsid w:val="001D20B6"/>
    <w:rsid w:val="001D2919"/>
    <w:rsid w:val="001D2E3D"/>
    <w:rsid w:val="001D2F41"/>
    <w:rsid w:val="001D31B2"/>
    <w:rsid w:val="001D5976"/>
    <w:rsid w:val="001D70D2"/>
    <w:rsid w:val="001E1C08"/>
    <w:rsid w:val="001F05B7"/>
    <w:rsid w:val="001F3822"/>
    <w:rsid w:val="001F3C05"/>
    <w:rsid w:val="001F6F7A"/>
    <w:rsid w:val="001F7F3B"/>
    <w:rsid w:val="002000F0"/>
    <w:rsid w:val="002010BD"/>
    <w:rsid w:val="002025A0"/>
    <w:rsid w:val="00206B1D"/>
    <w:rsid w:val="002106AC"/>
    <w:rsid w:val="00210B29"/>
    <w:rsid w:val="0021469E"/>
    <w:rsid w:val="00220024"/>
    <w:rsid w:val="00220AA6"/>
    <w:rsid w:val="00220EBB"/>
    <w:rsid w:val="00221EA7"/>
    <w:rsid w:val="002234BE"/>
    <w:rsid w:val="00224028"/>
    <w:rsid w:val="00224965"/>
    <w:rsid w:val="00225356"/>
    <w:rsid w:val="0022750E"/>
    <w:rsid w:val="00237FC7"/>
    <w:rsid w:val="0024162D"/>
    <w:rsid w:val="00242EA4"/>
    <w:rsid w:val="00246D26"/>
    <w:rsid w:val="00247F29"/>
    <w:rsid w:val="00254435"/>
    <w:rsid w:val="002556F2"/>
    <w:rsid w:val="0025667A"/>
    <w:rsid w:val="00257A24"/>
    <w:rsid w:val="00261369"/>
    <w:rsid w:val="00262B1C"/>
    <w:rsid w:val="00264C96"/>
    <w:rsid w:val="00264CF6"/>
    <w:rsid w:val="002650BA"/>
    <w:rsid w:val="00265367"/>
    <w:rsid w:val="0026592B"/>
    <w:rsid w:val="002704F6"/>
    <w:rsid w:val="00270D15"/>
    <w:rsid w:val="0027344F"/>
    <w:rsid w:val="00273CB5"/>
    <w:rsid w:val="00273FFE"/>
    <w:rsid w:val="00274569"/>
    <w:rsid w:val="002745CE"/>
    <w:rsid w:val="0027591B"/>
    <w:rsid w:val="0027683B"/>
    <w:rsid w:val="00276E1F"/>
    <w:rsid w:val="002778C7"/>
    <w:rsid w:val="0028045C"/>
    <w:rsid w:val="002805C6"/>
    <w:rsid w:val="00282DD6"/>
    <w:rsid w:val="00282E32"/>
    <w:rsid w:val="00284502"/>
    <w:rsid w:val="0028597D"/>
    <w:rsid w:val="002863EE"/>
    <w:rsid w:val="002912DE"/>
    <w:rsid w:val="002922D0"/>
    <w:rsid w:val="00293CE7"/>
    <w:rsid w:val="00296948"/>
    <w:rsid w:val="002970D1"/>
    <w:rsid w:val="002973DA"/>
    <w:rsid w:val="002A0B4B"/>
    <w:rsid w:val="002A1137"/>
    <w:rsid w:val="002A52FE"/>
    <w:rsid w:val="002A65A7"/>
    <w:rsid w:val="002A7389"/>
    <w:rsid w:val="002B21EE"/>
    <w:rsid w:val="002B2DFF"/>
    <w:rsid w:val="002B2F95"/>
    <w:rsid w:val="002B3214"/>
    <w:rsid w:val="002B6BF7"/>
    <w:rsid w:val="002C0F5A"/>
    <w:rsid w:val="002C1478"/>
    <w:rsid w:val="002C184F"/>
    <w:rsid w:val="002C1BC4"/>
    <w:rsid w:val="002C27B5"/>
    <w:rsid w:val="002C554D"/>
    <w:rsid w:val="002C5B95"/>
    <w:rsid w:val="002C61FD"/>
    <w:rsid w:val="002C6649"/>
    <w:rsid w:val="002C728E"/>
    <w:rsid w:val="002C78A0"/>
    <w:rsid w:val="002D045C"/>
    <w:rsid w:val="002D2460"/>
    <w:rsid w:val="002E0630"/>
    <w:rsid w:val="002E1DBB"/>
    <w:rsid w:val="002E3AF4"/>
    <w:rsid w:val="002E3E77"/>
    <w:rsid w:val="002E44E8"/>
    <w:rsid w:val="002E5216"/>
    <w:rsid w:val="002E549A"/>
    <w:rsid w:val="002E6599"/>
    <w:rsid w:val="002E6B55"/>
    <w:rsid w:val="002F13F2"/>
    <w:rsid w:val="002F2E30"/>
    <w:rsid w:val="002F3844"/>
    <w:rsid w:val="002F5445"/>
    <w:rsid w:val="002F5792"/>
    <w:rsid w:val="002F66E5"/>
    <w:rsid w:val="002F74E6"/>
    <w:rsid w:val="003021D4"/>
    <w:rsid w:val="003032E4"/>
    <w:rsid w:val="00303B62"/>
    <w:rsid w:val="003058EC"/>
    <w:rsid w:val="0030626E"/>
    <w:rsid w:val="00307B90"/>
    <w:rsid w:val="00311A39"/>
    <w:rsid w:val="003122D3"/>
    <w:rsid w:val="00321239"/>
    <w:rsid w:val="0032192A"/>
    <w:rsid w:val="003231BF"/>
    <w:rsid w:val="00323572"/>
    <w:rsid w:val="0032529E"/>
    <w:rsid w:val="00326972"/>
    <w:rsid w:val="0032708B"/>
    <w:rsid w:val="00327184"/>
    <w:rsid w:val="00327A9B"/>
    <w:rsid w:val="0033020B"/>
    <w:rsid w:val="003307BE"/>
    <w:rsid w:val="00331A18"/>
    <w:rsid w:val="00332C7D"/>
    <w:rsid w:val="003331BA"/>
    <w:rsid w:val="00334538"/>
    <w:rsid w:val="00335B1A"/>
    <w:rsid w:val="00335D85"/>
    <w:rsid w:val="00336610"/>
    <w:rsid w:val="0034058B"/>
    <w:rsid w:val="0034063E"/>
    <w:rsid w:val="00344B37"/>
    <w:rsid w:val="00346263"/>
    <w:rsid w:val="00346413"/>
    <w:rsid w:val="00346B58"/>
    <w:rsid w:val="00346E64"/>
    <w:rsid w:val="00351812"/>
    <w:rsid w:val="00352FA9"/>
    <w:rsid w:val="003560F8"/>
    <w:rsid w:val="003560FD"/>
    <w:rsid w:val="00357766"/>
    <w:rsid w:val="00361A78"/>
    <w:rsid w:val="00363C3D"/>
    <w:rsid w:val="00365A15"/>
    <w:rsid w:val="00365C2A"/>
    <w:rsid w:val="003679BC"/>
    <w:rsid w:val="0037065B"/>
    <w:rsid w:val="00374C4A"/>
    <w:rsid w:val="00375D87"/>
    <w:rsid w:val="00376323"/>
    <w:rsid w:val="003773A9"/>
    <w:rsid w:val="003813C0"/>
    <w:rsid w:val="00381614"/>
    <w:rsid w:val="00382FD0"/>
    <w:rsid w:val="0038598E"/>
    <w:rsid w:val="00390878"/>
    <w:rsid w:val="00391ACD"/>
    <w:rsid w:val="003920A5"/>
    <w:rsid w:val="003952C5"/>
    <w:rsid w:val="00395980"/>
    <w:rsid w:val="003A20AA"/>
    <w:rsid w:val="003A2861"/>
    <w:rsid w:val="003A2D82"/>
    <w:rsid w:val="003A3E8D"/>
    <w:rsid w:val="003A648B"/>
    <w:rsid w:val="003B10FD"/>
    <w:rsid w:val="003B3A50"/>
    <w:rsid w:val="003B5121"/>
    <w:rsid w:val="003B53E8"/>
    <w:rsid w:val="003C02C1"/>
    <w:rsid w:val="003C05DD"/>
    <w:rsid w:val="003C123A"/>
    <w:rsid w:val="003C1B02"/>
    <w:rsid w:val="003C2433"/>
    <w:rsid w:val="003C25C0"/>
    <w:rsid w:val="003C2669"/>
    <w:rsid w:val="003C4465"/>
    <w:rsid w:val="003C5281"/>
    <w:rsid w:val="003C5C43"/>
    <w:rsid w:val="003C6301"/>
    <w:rsid w:val="003C7144"/>
    <w:rsid w:val="003D0D5D"/>
    <w:rsid w:val="003D371E"/>
    <w:rsid w:val="003D3EAD"/>
    <w:rsid w:val="003D3FDB"/>
    <w:rsid w:val="003D4450"/>
    <w:rsid w:val="003D5703"/>
    <w:rsid w:val="003D57A6"/>
    <w:rsid w:val="003D7135"/>
    <w:rsid w:val="003D719F"/>
    <w:rsid w:val="003D7E19"/>
    <w:rsid w:val="003E6F59"/>
    <w:rsid w:val="003E7D86"/>
    <w:rsid w:val="003E7DFC"/>
    <w:rsid w:val="003F3234"/>
    <w:rsid w:val="003F43CC"/>
    <w:rsid w:val="003F4F24"/>
    <w:rsid w:val="003F633C"/>
    <w:rsid w:val="00400664"/>
    <w:rsid w:val="00401449"/>
    <w:rsid w:val="00401CC1"/>
    <w:rsid w:val="00402282"/>
    <w:rsid w:val="00404025"/>
    <w:rsid w:val="00405D2A"/>
    <w:rsid w:val="004128E7"/>
    <w:rsid w:val="004141DC"/>
    <w:rsid w:val="004161AA"/>
    <w:rsid w:val="00417FCE"/>
    <w:rsid w:val="00421F22"/>
    <w:rsid w:val="00421FCD"/>
    <w:rsid w:val="00422687"/>
    <w:rsid w:val="00423540"/>
    <w:rsid w:val="004241C6"/>
    <w:rsid w:val="00424866"/>
    <w:rsid w:val="00425734"/>
    <w:rsid w:val="004275FA"/>
    <w:rsid w:val="00427747"/>
    <w:rsid w:val="00431BCF"/>
    <w:rsid w:val="00432F7B"/>
    <w:rsid w:val="00433B1C"/>
    <w:rsid w:val="00433DE3"/>
    <w:rsid w:val="0043411A"/>
    <w:rsid w:val="0043554E"/>
    <w:rsid w:val="00435FDD"/>
    <w:rsid w:val="00436890"/>
    <w:rsid w:val="004372EE"/>
    <w:rsid w:val="00440EC8"/>
    <w:rsid w:val="00441321"/>
    <w:rsid w:val="00441F98"/>
    <w:rsid w:val="00442054"/>
    <w:rsid w:val="00442756"/>
    <w:rsid w:val="00442B78"/>
    <w:rsid w:val="0044327A"/>
    <w:rsid w:val="00443A46"/>
    <w:rsid w:val="00443D18"/>
    <w:rsid w:val="00444762"/>
    <w:rsid w:val="004457E9"/>
    <w:rsid w:val="00447B7D"/>
    <w:rsid w:val="00447C3F"/>
    <w:rsid w:val="00451CE9"/>
    <w:rsid w:val="00452420"/>
    <w:rsid w:val="00452934"/>
    <w:rsid w:val="00454993"/>
    <w:rsid w:val="004552D6"/>
    <w:rsid w:val="00455350"/>
    <w:rsid w:val="00455A99"/>
    <w:rsid w:val="00455BA5"/>
    <w:rsid w:val="00457FF1"/>
    <w:rsid w:val="00461662"/>
    <w:rsid w:val="00463FD1"/>
    <w:rsid w:val="00464D66"/>
    <w:rsid w:val="00466140"/>
    <w:rsid w:val="004661BD"/>
    <w:rsid w:val="0046679D"/>
    <w:rsid w:val="00466C61"/>
    <w:rsid w:val="00467849"/>
    <w:rsid w:val="004678A6"/>
    <w:rsid w:val="0047038D"/>
    <w:rsid w:val="004718DA"/>
    <w:rsid w:val="00473E7D"/>
    <w:rsid w:val="004740BF"/>
    <w:rsid w:val="00474234"/>
    <w:rsid w:val="00474CFA"/>
    <w:rsid w:val="00477D6E"/>
    <w:rsid w:val="004806C4"/>
    <w:rsid w:val="004823B7"/>
    <w:rsid w:val="004824F7"/>
    <w:rsid w:val="004829EB"/>
    <w:rsid w:val="00483E55"/>
    <w:rsid w:val="00484271"/>
    <w:rsid w:val="0048570C"/>
    <w:rsid w:val="0049012A"/>
    <w:rsid w:val="0049122A"/>
    <w:rsid w:val="004916D1"/>
    <w:rsid w:val="004938BD"/>
    <w:rsid w:val="00493EC2"/>
    <w:rsid w:val="00495BCB"/>
    <w:rsid w:val="00496769"/>
    <w:rsid w:val="00497A23"/>
    <w:rsid w:val="004A02E2"/>
    <w:rsid w:val="004A1F86"/>
    <w:rsid w:val="004A2134"/>
    <w:rsid w:val="004A64C5"/>
    <w:rsid w:val="004A6A5E"/>
    <w:rsid w:val="004B20DA"/>
    <w:rsid w:val="004B478D"/>
    <w:rsid w:val="004B5A30"/>
    <w:rsid w:val="004B6444"/>
    <w:rsid w:val="004C1893"/>
    <w:rsid w:val="004C2AF7"/>
    <w:rsid w:val="004C3131"/>
    <w:rsid w:val="004C4E27"/>
    <w:rsid w:val="004C4F05"/>
    <w:rsid w:val="004C6AD5"/>
    <w:rsid w:val="004C740D"/>
    <w:rsid w:val="004D0154"/>
    <w:rsid w:val="004D057A"/>
    <w:rsid w:val="004D1CF5"/>
    <w:rsid w:val="004D208C"/>
    <w:rsid w:val="004D2B4D"/>
    <w:rsid w:val="004D35EF"/>
    <w:rsid w:val="004D395F"/>
    <w:rsid w:val="004D4F0C"/>
    <w:rsid w:val="004D4F3F"/>
    <w:rsid w:val="004D5EF3"/>
    <w:rsid w:val="004D75C7"/>
    <w:rsid w:val="004D7BE5"/>
    <w:rsid w:val="004D7DED"/>
    <w:rsid w:val="004E0A30"/>
    <w:rsid w:val="004E2DB1"/>
    <w:rsid w:val="004E2FAD"/>
    <w:rsid w:val="004E7178"/>
    <w:rsid w:val="004E76F9"/>
    <w:rsid w:val="004E7BA1"/>
    <w:rsid w:val="004E7D1B"/>
    <w:rsid w:val="004F022A"/>
    <w:rsid w:val="004F0931"/>
    <w:rsid w:val="004F2BA2"/>
    <w:rsid w:val="004F2CD7"/>
    <w:rsid w:val="004F4E5A"/>
    <w:rsid w:val="004F7858"/>
    <w:rsid w:val="00500567"/>
    <w:rsid w:val="0050200D"/>
    <w:rsid w:val="00502275"/>
    <w:rsid w:val="005072E0"/>
    <w:rsid w:val="005142F3"/>
    <w:rsid w:val="005150C1"/>
    <w:rsid w:val="00516DA3"/>
    <w:rsid w:val="0052055F"/>
    <w:rsid w:val="005211AE"/>
    <w:rsid w:val="00521F5D"/>
    <w:rsid w:val="00522617"/>
    <w:rsid w:val="005243E4"/>
    <w:rsid w:val="005279D7"/>
    <w:rsid w:val="0053026F"/>
    <w:rsid w:val="00530EEE"/>
    <w:rsid w:val="00531B42"/>
    <w:rsid w:val="00531E0E"/>
    <w:rsid w:val="00532B79"/>
    <w:rsid w:val="00532F24"/>
    <w:rsid w:val="00533447"/>
    <w:rsid w:val="00535AAE"/>
    <w:rsid w:val="005368D4"/>
    <w:rsid w:val="005404B4"/>
    <w:rsid w:val="00542EB1"/>
    <w:rsid w:val="00544DDB"/>
    <w:rsid w:val="005458D3"/>
    <w:rsid w:val="00545C56"/>
    <w:rsid w:val="00547EF5"/>
    <w:rsid w:val="0055113A"/>
    <w:rsid w:val="005518B8"/>
    <w:rsid w:val="00552722"/>
    <w:rsid w:val="00552FDE"/>
    <w:rsid w:val="00554470"/>
    <w:rsid w:val="005546C0"/>
    <w:rsid w:val="005548A2"/>
    <w:rsid w:val="0055498A"/>
    <w:rsid w:val="00555D56"/>
    <w:rsid w:val="00560131"/>
    <w:rsid w:val="00562D69"/>
    <w:rsid w:val="00563871"/>
    <w:rsid w:val="00563F0C"/>
    <w:rsid w:val="005640DD"/>
    <w:rsid w:val="00564AC2"/>
    <w:rsid w:val="005653B0"/>
    <w:rsid w:val="005655E2"/>
    <w:rsid w:val="005664A3"/>
    <w:rsid w:val="00566865"/>
    <w:rsid w:val="00567640"/>
    <w:rsid w:val="005709B1"/>
    <w:rsid w:val="00571304"/>
    <w:rsid w:val="0057459C"/>
    <w:rsid w:val="00575437"/>
    <w:rsid w:val="00580D5C"/>
    <w:rsid w:val="0058266C"/>
    <w:rsid w:val="005848D5"/>
    <w:rsid w:val="00586D0B"/>
    <w:rsid w:val="00591E68"/>
    <w:rsid w:val="005936E8"/>
    <w:rsid w:val="00595F35"/>
    <w:rsid w:val="00597FE3"/>
    <w:rsid w:val="005A0BB3"/>
    <w:rsid w:val="005A0EF2"/>
    <w:rsid w:val="005A21DB"/>
    <w:rsid w:val="005A2C16"/>
    <w:rsid w:val="005A4FFB"/>
    <w:rsid w:val="005A5A6C"/>
    <w:rsid w:val="005A7372"/>
    <w:rsid w:val="005A7958"/>
    <w:rsid w:val="005B36EE"/>
    <w:rsid w:val="005B56FB"/>
    <w:rsid w:val="005B76E0"/>
    <w:rsid w:val="005B77BE"/>
    <w:rsid w:val="005B7CC1"/>
    <w:rsid w:val="005C2968"/>
    <w:rsid w:val="005C3997"/>
    <w:rsid w:val="005C3BD4"/>
    <w:rsid w:val="005C58ED"/>
    <w:rsid w:val="005C64BC"/>
    <w:rsid w:val="005C6A1A"/>
    <w:rsid w:val="005D4C37"/>
    <w:rsid w:val="005D7793"/>
    <w:rsid w:val="005E0699"/>
    <w:rsid w:val="005E11F1"/>
    <w:rsid w:val="005E37E8"/>
    <w:rsid w:val="005E413C"/>
    <w:rsid w:val="005F0B76"/>
    <w:rsid w:val="005F2B2D"/>
    <w:rsid w:val="005F6398"/>
    <w:rsid w:val="00600450"/>
    <w:rsid w:val="00600A01"/>
    <w:rsid w:val="006048E2"/>
    <w:rsid w:val="00605D2E"/>
    <w:rsid w:val="00606B6C"/>
    <w:rsid w:val="00606C4E"/>
    <w:rsid w:val="00611036"/>
    <w:rsid w:val="006130C2"/>
    <w:rsid w:val="00613AEF"/>
    <w:rsid w:val="00613C10"/>
    <w:rsid w:val="00614222"/>
    <w:rsid w:val="006155A4"/>
    <w:rsid w:val="0061563D"/>
    <w:rsid w:val="0061572F"/>
    <w:rsid w:val="00615BC9"/>
    <w:rsid w:val="00617955"/>
    <w:rsid w:val="00617CF2"/>
    <w:rsid w:val="00620A57"/>
    <w:rsid w:val="00620AEB"/>
    <w:rsid w:val="00621648"/>
    <w:rsid w:val="00622C74"/>
    <w:rsid w:val="00627FED"/>
    <w:rsid w:val="00632334"/>
    <w:rsid w:val="00632D51"/>
    <w:rsid w:val="00634928"/>
    <w:rsid w:val="006349FC"/>
    <w:rsid w:val="006355FE"/>
    <w:rsid w:val="0063683D"/>
    <w:rsid w:val="00637661"/>
    <w:rsid w:val="00637FBF"/>
    <w:rsid w:val="00640163"/>
    <w:rsid w:val="006401D4"/>
    <w:rsid w:val="006421A6"/>
    <w:rsid w:val="00642F22"/>
    <w:rsid w:val="00644D5D"/>
    <w:rsid w:val="00645CE0"/>
    <w:rsid w:val="00646053"/>
    <w:rsid w:val="0064633A"/>
    <w:rsid w:val="00646393"/>
    <w:rsid w:val="00646B4C"/>
    <w:rsid w:val="00647A9C"/>
    <w:rsid w:val="00650FDA"/>
    <w:rsid w:val="0065204E"/>
    <w:rsid w:val="0065269D"/>
    <w:rsid w:val="00653CB4"/>
    <w:rsid w:val="00654BCA"/>
    <w:rsid w:val="00654F36"/>
    <w:rsid w:val="00655B56"/>
    <w:rsid w:val="00655EC6"/>
    <w:rsid w:val="00656C70"/>
    <w:rsid w:val="00664427"/>
    <w:rsid w:val="00667060"/>
    <w:rsid w:val="00670633"/>
    <w:rsid w:val="0067073B"/>
    <w:rsid w:val="0067108B"/>
    <w:rsid w:val="00673430"/>
    <w:rsid w:val="00676B59"/>
    <w:rsid w:val="00677BE6"/>
    <w:rsid w:val="00677ED8"/>
    <w:rsid w:val="006810F9"/>
    <w:rsid w:val="006815E0"/>
    <w:rsid w:val="0068201C"/>
    <w:rsid w:val="00682471"/>
    <w:rsid w:val="0068271A"/>
    <w:rsid w:val="00683385"/>
    <w:rsid w:val="00685A9C"/>
    <w:rsid w:val="00686131"/>
    <w:rsid w:val="00686F5E"/>
    <w:rsid w:val="0068773A"/>
    <w:rsid w:val="00687FD8"/>
    <w:rsid w:val="00690BC1"/>
    <w:rsid w:val="00690EFE"/>
    <w:rsid w:val="00692C6D"/>
    <w:rsid w:val="00693047"/>
    <w:rsid w:val="00694AAF"/>
    <w:rsid w:val="00694EB4"/>
    <w:rsid w:val="00695C8F"/>
    <w:rsid w:val="00695D31"/>
    <w:rsid w:val="0069760A"/>
    <w:rsid w:val="0069783E"/>
    <w:rsid w:val="006A032E"/>
    <w:rsid w:val="006A3699"/>
    <w:rsid w:val="006A5C2B"/>
    <w:rsid w:val="006B1F0E"/>
    <w:rsid w:val="006B49FA"/>
    <w:rsid w:val="006B72EC"/>
    <w:rsid w:val="006C18E4"/>
    <w:rsid w:val="006C4118"/>
    <w:rsid w:val="006C4727"/>
    <w:rsid w:val="006C583E"/>
    <w:rsid w:val="006C6A78"/>
    <w:rsid w:val="006C73EB"/>
    <w:rsid w:val="006D17A3"/>
    <w:rsid w:val="006D1BF2"/>
    <w:rsid w:val="006D24B1"/>
    <w:rsid w:val="006D273A"/>
    <w:rsid w:val="006D2B18"/>
    <w:rsid w:val="006D4B62"/>
    <w:rsid w:val="006D532A"/>
    <w:rsid w:val="006D58B7"/>
    <w:rsid w:val="006D6B09"/>
    <w:rsid w:val="006D7B1C"/>
    <w:rsid w:val="006E158B"/>
    <w:rsid w:val="006E19F3"/>
    <w:rsid w:val="006E4F75"/>
    <w:rsid w:val="006E5344"/>
    <w:rsid w:val="006E5838"/>
    <w:rsid w:val="006E610B"/>
    <w:rsid w:val="006E756F"/>
    <w:rsid w:val="006E7DD2"/>
    <w:rsid w:val="006F0439"/>
    <w:rsid w:val="006F1535"/>
    <w:rsid w:val="006F1851"/>
    <w:rsid w:val="006F1DC9"/>
    <w:rsid w:val="006F28BA"/>
    <w:rsid w:val="006F3195"/>
    <w:rsid w:val="006F3728"/>
    <w:rsid w:val="006F483A"/>
    <w:rsid w:val="006F5609"/>
    <w:rsid w:val="006F7299"/>
    <w:rsid w:val="006F7E2D"/>
    <w:rsid w:val="007036D0"/>
    <w:rsid w:val="00705215"/>
    <w:rsid w:val="00706785"/>
    <w:rsid w:val="00707DE1"/>
    <w:rsid w:val="00710DD5"/>
    <w:rsid w:val="00710E34"/>
    <w:rsid w:val="00710ED8"/>
    <w:rsid w:val="00711519"/>
    <w:rsid w:val="00711E03"/>
    <w:rsid w:val="007125DA"/>
    <w:rsid w:val="0071399B"/>
    <w:rsid w:val="00714783"/>
    <w:rsid w:val="00716E54"/>
    <w:rsid w:val="00717112"/>
    <w:rsid w:val="00717344"/>
    <w:rsid w:val="00725A0E"/>
    <w:rsid w:val="00733DDD"/>
    <w:rsid w:val="007357CF"/>
    <w:rsid w:val="007374E7"/>
    <w:rsid w:val="007404E4"/>
    <w:rsid w:val="00740C00"/>
    <w:rsid w:val="007417E9"/>
    <w:rsid w:val="00742EFD"/>
    <w:rsid w:val="00743FF3"/>
    <w:rsid w:val="007468B5"/>
    <w:rsid w:val="00746E45"/>
    <w:rsid w:val="00747D00"/>
    <w:rsid w:val="0075057D"/>
    <w:rsid w:val="0075251B"/>
    <w:rsid w:val="00752982"/>
    <w:rsid w:val="007533E4"/>
    <w:rsid w:val="00754538"/>
    <w:rsid w:val="00755154"/>
    <w:rsid w:val="007558A9"/>
    <w:rsid w:val="00755FEA"/>
    <w:rsid w:val="00757022"/>
    <w:rsid w:val="00757F13"/>
    <w:rsid w:val="00760048"/>
    <w:rsid w:val="00760DB4"/>
    <w:rsid w:val="00761513"/>
    <w:rsid w:val="00761EB7"/>
    <w:rsid w:val="00765D5D"/>
    <w:rsid w:val="00770270"/>
    <w:rsid w:val="00770B16"/>
    <w:rsid w:val="007710F8"/>
    <w:rsid w:val="0077278E"/>
    <w:rsid w:val="00774860"/>
    <w:rsid w:val="007757DA"/>
    <w:rsid w:val="00782A94"/>
    <w:rsid w:val="00782C4C"/>
    <w:rsid w:val="007831E3"/>
    <w:rsid w:val="00783C51"/>
    <w:rsid w:val="00784206"/>
    <w:rsid w:val="0078445A"/>
    <w:rsid w:val="00784722"/>
    <w:rsid w:val="00786053"/>
    <w:rsid w:val="00787151"/>
    <w:rsid w:val="007903CB"/>
    <w:rsid w:val="0079252F"/>
    <w:rsid w:val="00796512"/>
    <w:rsid w:val="0079726E"/>
    <w:rsid w:val="007A25FA"/>
    <w:rsid w:val="007A3420"/>
    <w:rsid w:val="007A356F"/>
    <w:rsid w:val="007A38C4"/>
    <w:rsid w:val="007A4AD8"/>
    <w:rsid w:val="007A5807"/>
    <w:rsid w:val="007A6A11"/>
    <w:rsid w:val="007B0BAD"/>
    <w:rsid w:val="007B1DC3"/>
    <w:rsid w:val="007B1F3A"/>
    <w:rsid w:val="007B27BB"/>
    <w:rsid w:val="007B30AE"/>
    <w:rsid w:val="007B7EB3"/>
    <w:rsid w:val="007C0A74"/>
    <w:rsid w:val="007C149A"/>
    <w:rsid w:val="007C3578"/>
    <w:rsid w:val="007C584F"/>
    <w:rsid w:val="007C5A64"/>
    <w:rsid w:val="007C5AAE"/>
    <w:rsid w:val="007C7636"/>
    <w:rsid w:val="007D072A"/>
    <w:rsid w:val="007D13D8"/>
    <w:rsid w:val="007D1DC5"/>
    <w:rsid w:val="007D25F9"/>
    <w:rsid w:val="007D4E6F"/>
    <w:rsid w:val="007D5670"/>
    <w:rsid w:val="007E0F32"/>
    <w:rsid w:val="007E2DA1"/>
    <w:rsid w:val="007E35D7"/>
    <w:rsid w:val="007E37E1"/>
    <w:rsid w:val="007E4C63"/>
    <w:rsid w:val="007E525D"/>
    <w:rsid w:val="007E77CC"/>
    <w:rsid w:val="007E7BCA"/>
    <w:rsid w:val="007F0A91"/>
    <w:rsid w:val="007F0E08"/>
    <w:rsid w:val="007F0F76"/>
    <w:rsid w:val="007F28CF"/>
    <w:rsid w:val="007F35F7"/>
    <w:rsid w:val="007F65AF"/>
    <w:rsid w:val="00801065"/>
    <w:rsid w:val="00801B49"/>
    <w:rsid w:val="008025A9"/>
    <w:rsid w:val="008026E1"/>
    <w:rsid w:val="00802825"/>
    <w:rsid w:val="008029E3"/>
    <w:rsid w:val="00803806"/>
    <w:rsid w:val="00804469"/>
    <w:rsid w:val="00804B9C"/>
    <w:rsid w:val="00804D41"/>
    <w:rsid w:val="0080545D"/>
    <w:rsid w:val="00805479"/>
    <w:rsid w:val="008057E3"/>
    <w:rsid w:val="00805B9B"/>
    <w:rsid w:val="008065AF"/>
    <w:rsid w:val="00807BBE"/>
    <w:rsid w:val="00810134"/>
    <w:rsid w:val="008111E5"/>
    <w:rsid w:val="00812822"/>
    <w:rsid w:val="0081419C"/>
    <w:rsid w:val="00814307"/>
    <w:rsid w:val="00815C72"/>
    <w:rsid w:val="00815E04"/>
    <w:rsid w:val="0081755C"/>
    <w:rsid w:val="008178EC"/>
    <w:rsid w:val="00820272"/>
    <w:rsid w:val="0082085B"/>
    <w:rsid w:val="008209F4"/>
    <w:rsid w:val="00823E43"/>
    <w:rsid w:val="00830811"/>
    <w:rsid w:val="00831088"/>
    <w:rsid w:val="00832592"/>
    <w:rsid w:val="00833041"/>
    <w:rsid w:val="0083333D"/>
    <w:rsid w:val="008338E1"/>
    <w:rsid w:val="00833C08"/>
    <w:rsid w:val="00834305"/>
    <w:rsid w:val="00834BE1"/>
    <w:rsid w:val="0083563E"/>
    <w:rsid w:val="0083684A"/>
    <w:rsid w:val="0084075E"/>
    <w:rsid w:val="008417AE"/>
    <w:rsid w:val="00841E9F"/>
    <w:rsid w:val="008420C6"/>
    <w:rsid w:val="00843376"/>
    <w:rsid w:val="008509C7"/>
    <w:rsid w:val="00851E32"/>
    <w:rsid w:val="00852C0E"/>
    <w:rsid w:val="00852D48"/>
    <w:rsid w:val="00854037"/>
    <w:rsid w:val="0085710B"/>
    <w:rsid w:val="00857E55"/>
    <w:rsid w:val="00861393"/>
    <w:rsid w:val="008631D6"/>
    <w:rsid w:val="00863A9C"/>
    <w:rsid w:val="008649FE"/>
    <w:rsid w:val="0086546E"/>
    <w:rsid w:val="0086651E"/>
    <w:rsid w:val="0087004C"/>
    <w:rsid w:val="00870C63"/>
    <w:rsid w:val="008719AD"/>
    <w:rsid w:val="00871C98"/>
    <w:rsid w:val="008727E2"/>
    <w:rsid w:val="00874D04"/>
    <w:rsid w:val="00876860"/>
    <w:rsid w:val="00881E36"/>
    <w:rsid w:val="00882C50"/>
    <w:rsid w:val="00882CB9"/>
    <w:rsid w:val="008836CB"/>
    <w:rsid w:val="00883C76"/>
    <w:rsid w:val="00884302"/>
    <w:rsid w:val="00884A07"/>
    <w:rsid w:val="008869ED"/>
    <w:rsid w:val="00886FF8"/>
    <w:rsid w:val="0088715C"/>
    <w:rsid w:val="00890F03"/>
    <w:rsid w:val="00894C30"/>
    <w:rsid w:val="00895872"/>
    <w:rsid w:val="008963FA"/>
    <w:rsid w:val="00896EF6"/>
    <w:rsid w:val="008977BF"/>
    <w:rsid w:val="00897FC6"/>
    <w:rsid w:val="008A0DDE"/>
    <w:rsid w:val="008A1AEB"/>
    <w:rsid w:val="008A1D95"/>
    <w:rsid w:val="008A2DAB"/>
    <w:rsid w:val="008A5DA3"/>
    <w:rsid w:val="008A61E0"/>
    <w:rsid w:val="008B019B"/>
    <w:rsid w:val="008B048A"/>
    <w:rsid w:val="008B4C4C"/>
    <w:rsid w:val="008B5AD8"/>
    <w:rsid w:val="008B7D92"/>
    <w:rsid w:val="008C0F73"/>
    <w:rsid w:val="008C2200"/>
    <w:rsid w:val="008C3081"/>
    <w:rsid w:val="008C46A2"/>
    <w:rsid w:val="008C5933"/>
    <w:rsid w:val="008C6729"/>
    <w:rsid w:val="008D01C3"/>
    <w:rsid w:val="008D0DC7"/>
    <w:rsid w:val="008D1C7C"/>
    <w:rsid w:val="008D1DC9"/>
    <w:rsid w:val="008D6181"/>
    <w:rsid w:val="008D737A"/>
    <w:rsid w:val="008E1503"/>
    <w:rsid w:val="008E2DF0"/>
    <w:rsid w:val="008E412C"/>
    <w:rsid w:val="008E45A3"/>
    <w:rsid w:val="008E58D0"/>
    <w:rsid w:val="008E606F"/>
    <w:rsid w:val="008E6B7A"/>
    <w:rsid w:val="008E7DD1"/>
    <w:rsid w:val="008F0E63"/>
    <w:rsid w:val="008F2EDF"/>
    <w:rsid w:val="008F4010"/>
    <w:rsid w:val="008F74D6"/>
    <w:rsid w:val="009039B3"/>
    <w:rsid w:val="00904153"/>
    <w:rsid w:val="009057C9"/>
    <w:rsid w:val="00906045"/>
    <w:rsid w:val="00906A4F"/>
    <w:rsid w:val="00910151"/>
    <w:rsid w:val="00910C1B"/>
    <w:rsid w:val="009117DB"/>
    <w:rsid w:val="00911A83"/>
    <w:rsid w:val="00916C39"/>
    <w:rsid w:val="0092198D"/>
    <w:rsid w:val="00923464"/>
    <w:rsid w:val="009260F2"/>
    <w:rsid w:val="00930974"/>
    <w:rsid w:val="00931082"/>
    <w:rsid w:val="009311DA"/>
    <w:rsid w:val="009313BB"/>
    <w:rsid w:val="009324F1"/>
    <w:rsid w:val="0093254A"/>
    <w:rsid w:val="00933046"/>
    <w:rsid w:val="00934C82"/>
    <w:rsid w:val="0093515E"/>
    <w:rsid w:val="00936627"/>
    <w:rsid w:val="00941CBC"/>
    <w:rsid w:val="00942A7E"/>
    <w:rsid w:val="009441FA"/>
    <w:rsid w:val="00945639"/>
    <w:rsid w:val="00951334"/>
    <w:rsid w:val="00951621"/>
    <w:rsid w:val="00951A47"/>
    <w:rsid w:val="00951C87"/>
    <w:rsid w:val="00954C8E"/>
    <w:rsid w:val="00954DE5"/>
    <w:rsid w:val="00956115"/>
    <w:rsid w:val="009562A0"/>
    <w:rsid w:val="00956407"/>
    <w:rsid w:val="00957453"/>
    <w:rsid w:val="0096019B"/>
    <w:rsid w:val="00961543"/>
    <w:rsid w:val="00962403"/>
    <w:rsid w:val="00964F3D"/>
    <w:rsid w:val="0096516F"/>
    <w:rsid w:val="00967EF5"/>
    <w:rsid w:val="009721AF"/>
    <w:rsid w:val="00973FEA"/>
    <w:rsid w:val="00975EB5"/>
    <w:rsid w:val="00975FE4"/>
    <w:rsid w:val="00977FE1"/>
    <w:rsid w:val="00980E1C"/>
    <w:rsid w:val="00981878"/>
    <w:rsid w:val="00981B2A"/>
    <w:rsid w:val="00984B28"/>
    <w:rsid w:val="009903B0"/>
    <w:rsid w:val="009903E3"/>
    <w:rsid w:val="009905D3"/>
    <w:rsid w:val="00991D79"/>
    <w:rsid w:val="00991E9D"/>
    <w:rsid w:val="0099218C"/>
    <w:rsid w:val="0099244E"/>
    <w:rsid w:val="00992EB8"/>
    <w:rsid w:val="009A02B2"/>
    <w:rsid w:val="009A096C"/>
    <w:rsid w:val="009A2FBA"/>
    <w:rsid w:val="009A3F64"/>
    <w:rsid w:val="009A42F1"/>
    <w:rsid w:val="009A48A1"/>
    <w:rsid w:val="009A6214"/>
    <w:rsid w:val="009A6ACE"/>
    <w:rsid w:val="009A735F"/>
    <w:rsid w:val="009A7731"/>
    <w:rsid w:val="009B0B49"/>
    <w:rsid w:val="009B1391"/>
    <w:rsid w:val="009B1C01"/>
    <w:rsid w:val="009B3E3A"/>
    <w:rsid w:val="009B4372"/>
    <w:rsid w:val="009B5020"/>
    <w:rsid w:val="009B5635"/>
    <w:rsid w:val="009B62C6"/>
    <w:rsid w:val="009B6903"/>
    <w:rsid w:val="009C00AC"/>
    <w:rsid w:val="009C0DDB"/>
    <w:rsid w:val="009C1A5C"/>
    <w:rsid w:val="009C3DA8"/>
    <w:rsid w:val="009C45DE"/>
    <w:rsid w:val="009C4625"/>
    <w:rsid w:val="009C5975"/>
    <w:rsid w:val="009C606F"/>
    <w:rsid w:val="009D0C23"/>
    <w:rsid w:val="009D22ED"/>
    <w:rsid w:val="009D33EF"/>
    <w:rsid w:val="009D3F20"/>
    <w:rsid w:val="009D5F9B"/>
    <w:rsid w:val="009D6333"/>
    <w:rsid w:val="009D6D37"/>
    <w:rsid w:val="009E3E35"/>
    <w:rsid w:val="009E47BC"/>
    <w:rsid w:val="009E615F"/>
    <w:rsid w:val="009E73EC"/>
    <w:rsid w:val="009E7C5A"/>
    <w:rsid w:val="009F0169"/>
    <w:rsid w:val="009F2DD7"/>
    <w:rsid w:val="009F3B9C"/>
    <w:rsid w:val="009F51FD"/>
    <w:rsid w:val="009F6A40"/>
    <w:rsid w:val="009F7C14"/>
    <w:rsid w:val="00A0147E"/>
    <w:rsid w:val="00A04D21"/>
    <w:rsid w:val="00A04F08"/>
    <w:rsid w:val="00A06B27"/>
    <w:rsid w:val="00A06CB9"/>
    <w:rsid w:val="00A06DE1"/>
    <w:rsid w:val="00A078FB"/>
    <w:rsid w:val="00A10128"/>
    <w:rsid w:val="00A12127"/>
    <w:rsid w:val="00A1696D"/>
    <w:rsid w:val="00A207FE"/>
    <w:rsid w:val="00A211FE"/>
    <w:rsid w:val="00A24E0C"/>
    <w:rsid w:val="00A251C4"/>
    <w:rsid w:val="00A25B52"/>
    <w:rsid w:val="00A27539"/>
    <w:rsid w:val="00A3083D"/>
    <w:rsid w:val="00A30F5E"/>
    <w:rsid w:val="00A31855"/>
    <w:rsid w:val="00A349EB"/>
    <w:rsid w:val="00A34B1D"/>
    <w:rsid w:val="00A35344"/>
    <w:rsid w:val="00A35F08"/>
    <w:rsid w:val="00A37538"/>
    <w:rsid w:val="00A402CE"/>
    <w:rsid w:val="00A40604"/>
    <w:rsid w:val="00A40DAF"/>
    <w:rsid w:val="00A4181E"/>
    <w:rsid w:val="00A419F6"/>
    <w:rsid w:val="00A420A1"/>
    <w:rsid w:val="00A44BA4"/>
    <w:rsid w:val="00A46259"/>
    <w:rsid w:val="00A471EA"/>
    <w:rsid w:val="00A50073"/>
    <w:rsid w:val="00A5107E"/>
    <w:rsid w:val="00A51643"/>
    <w:rsid w:val="00A527C0"/>
    <w:rsid w:val="00A54003"/>
    <w:rsid w:val="00A56848"/>
    <w:rsid w:val="00A568DB"/>
    <w:rsid w:val="00A56CBA"/>
    <w:rsid w:val="00A606E3"/>
    <w:rsid w:val="00A60880"/>
    <w:rsid w:val="00A61181"/>
    <w:rsid w:val="00A623D1"/>
    <w:rsid w:val="00A62A84"/>
    <w:rsid w:val="00A63257"/>
    <w:rsid w:val="00A636A8"/>
    <w:rsid w:val="00A64D4D"/>
    <w:rsid w:val="00A72EF3"/>
    <w:rsid w:val="00A730AA"/>
    <w:rsid w:val="00A73642"/>
    <w:rsid w:val="00A7434E"/>
    <w:rsid w:val="00A752A0"/>
    <w:rsid w:val="00A761C0"/>
    <w:rsid w:val="00A77065"/>
    <w:rsid w:val="00A77EC6"/>
    <w:rsid w:val="00A81F7F"/>
    <w:rsid w:val="00A823F4"/>
    <w:rsid w:val="00A82CE5"/>
    <w:rsid w:val="00A84541"/>
    <w:rsid w:val="00A85069"/>
    <w:rsid w:val="00A90B40"/>
    <w:rsid w:val="00A9204A"/>
    <w:rsid w:val="00A946F3"/>
    <w:rsid w:val="00A94766"/>
    <w:rsid w:val="00A95742"/>
    <w:rsid w:val="00A96A05"/>
    <w:rsid w:val="00AA4860"/>
    <w:rsid w:val="00AA7448"/>
    <w:rsid w:val="00AB0AAF"/>
    <w:rsid w:val="00AB1D31"/>
    <w:rsid w:val="00AB2AAE"/>
    <w:rsid w:val="00AB3546"/>
    <w:rsid w:val="00AB43EE"/>
    <w:rsid w:val="00AB4867"/>
    <w:rsid w:val="00AB5346"/>
    <w:rsid w:val="00AB5AE8"/>
    <w:rsid w:val="00AC000A"/>
    <w:rsid w:val="00AC2F4D"/>
    <w:rsid w:val="00AC4C04"/>
    <w:rsid w:val="00AC4CAA"/>
    <w:rsid w:val="00AC573A"/>
    <w:rsid w:val="00AC6625"/>
    <w:rsid w:val="00AC68DF"/>
    <w:rsid w:val="00AC7504"/>
    <w:rsid w:val="00AC7EDA"/>
    <w:rsid w:val="00AC7FD8"/>
    <w:rsid w:val="00AD4196"/>
    <w:rsid w:val="00AD467E"/>
    <w:rsid w:val="00AD4BCD"/>
    <w:rsid w:val="00AD64BD"/>
    <w:rsid w:val="00AD64E2"/>
    <w:rsid w:val="00AE5FA4"/>
    <w:rsid w:val="00AE741F"/>
    <w:rsid w:val="00AE7F28"/>
    <w:rsid w:val="00AF08CD"/>
    <w:rsid w:val="00AF11CC"/>
    <w:rsid w:val="00AF1D8E"/>
    <w:rsid w:val="00AF2AB1"/>
    <w:rsid w:val="00AF3383"/>
    <w:rsid w:val="00AF3BEA"/>
    <w:rsid w:val="00AF4B8C"/>
    <w:rsid w:val="00B001A3"/>
    <w:rsid w:val="00B00598"/>
    <w:rsid w:val="00B00B1F"/>
    <w:rsid w:val="00B02887"/>
    <w:rsid w:val="00B04C45"/>
    <w:rsid w:val="00B05437"/>
    <w:rsid w:val="00B0547B"/>
    <w:rsid w:val="00B1025C"/>
    <w:rsid w:val="00B11D06"/>
    <w:rsid w:val="00B12B23"/>
    <w:rsid w:val="00B13C62"/>
    <w:rsid w:val="00B163D5"/>
    <w:rsid w:val="00B1652D"/>
    <w:rsid w:val="00B17333"/>
    <w:rsid w:val="00B2307E"/>
    <w:rsid w:val="00B233F9"/>
    <w:rsid w:val="00B23D97"/>
    <w:rsid w:val="00B269D6"/>
    <w:rsid w:val="00B332FC"/>
    <w:rsid w:val="00B34B7E"/>
    <w:rsid w:val="00B35C46"/>
    <w:rsid w:val="00B35C84"/>
    <w:rsid w:val="00B363DC"/>
    <w:rsid w:val="00B375D2"/>
    <w:rsid w:val="00B4128B"/>
    <w:rsid w:val="00B44AE1"/>
    <w:rsid w:val="00B4500A"/>
    <w:rsid w:val="00B45F54"/>
    <w:rsid w:val="00B4679F"/>
    <w:rsid w:val="00B47331"/>
    <w:rsid w:val="00B51070"/>
    <w:rsid w:val="00B53F58"/>
    <w:rsid w:val="00B53F8E"/>
    <w:rsid w:val="00B56592"/>
    <w:rsid w:val="00B572D1"/>
    <w:rsid w:val="00B6237C"/>
    <w:rsid w:val="00B62BC5"/>
    <w:rsid w:val="00B6768F"/>
    <w:rsid w:val="00B737DC"/>
    <w:rsid w:val="00B73E0F"/>
    <w:rsid w:val="00B75B1D"/>
    <w:rsid w:val="00B77056"/>
    <w:rsid w:val="00B7782D"/>
    <w:rsid w:val="00B7788F"/>
    <w:rsid w:val="00B80E66"/>
    <w:rsid w:val="00B82E62"/>
    <w:rsid w:val="00B82EAE"/>
    <w:rsid w:val="00B85930"/>
    <w:rsid w:val="00B91EE5"/>
    <w:rsid w:val="00B925B1"/>
    <w:rsid w:val="00B92A90"/>
    <w:rsid w:val="00B94B1F"/>
    <w:rsid w:val="00BA0492"/>
    <w:rsid w:val="00BA0F4E"/>
    <w:rsid w:val="00BA203E"/>
    <w:rsid w:val="00BA390C"/>
    <w:rsid w:val="00BA4383"/>
    <w:rsid w:val="00BA5B16"/>
    <w:rsid w:val="00BB027C"/>
    <w:rsid w:val="00BB07C0"/>
    <w:rsid w:val="00BB0B42"/>
    <w:rsid w:val="00BB1CA4"/>
    <w:rsid w:val="00BB3ACB"/>
    <w:rsid w:val="00BB412C"/>
    <w:rsid w:val="00BB7E67"/>
    <w:rsid w:val="00BC0355"/>
    <w:rsid w:val="00BC0B09"/>
    <w:rsid w:val="00BC2F73"/>
    <w:rsid w:val="00BC3CC8"/>
    <w:rsid w:val="00BC429D"/>
    <w:rsid w:val="00BC4A95"/>
    <w:rsid w:val="00BC5484"/>
    <w:rsid w:val="00BC739E"/>
    <w:rsid w:val="00BC746D"/>
    <w:rsid w:val="00BC7D46"/>
    <w:rsid w:val="00BD03D8"/>
    <w:rsid w:val="00BD09FA"/>
    <w:rsid w:val="00BD1DC1"/>
    <w:rsid w:val="00BD26CC"/>
    <w:rsid w:val="00BD3896"/>
    <w:rsid w:val="00BD3DED"/>
    <w:rsid w:val="00BD5539"/>
    <w:rsid w:val="00BD6925"/>
    <w:rsid w:val="00BD712B"/>
    <w:rsid w:val="00BD7C2E"/>
    <w:rsid w:val="00BE4885"/>
    <w:rsid w:val="00BE4B39"/>
    <w:rsid w:val="00BE53E0"/>
    <w:rsid w:val="00BE5AC8"/>
    <w:rsid w:val="00BE5ECC"/>
    <w:rsid w:val="00BE5F11"/>
    <w:rsid w:val="00BF03E9"/>
    <w:rsid w:val="00BF10AB"/>
    <w:rsid w:val="00BF2927"/>
    <w:rsid w:val="00BF3F0D"/>
    <w:rsid w:val="00BF4393"/>
    <w:rsid w:val="00BF476A"/>
    <w:rsid w:val="00BF585D"/>
    <w:rsid w:val="00BF6887"/>
    <w:rsid w:val="00BF6BD6"/>
    <w:rsid w:val="00C00105"/>
    <w:rsid w:val="00C0070F"/>
    <w:rsid w:val="00C00932"/>
    <w:rsid w:val="00C028A5"/>
    <w:rsid w:val="00C06023"/>
    <w:rsid w:val="00C10235"/>
    <w:rsid w:val="00C117FA"/>
    <w:rsid w:val="00C11BEE"/>
    <w:rsid w:val="00C12B0C"/>
    <w:rsid w:val="00C14D1C"/>
    <w:rsid w:val="00C158C2"/>
    <w:rsid w:val="00C15EF6"/>
    <w:rsid w:val="00C17A6F"/>
    <w:rsid w:val="00C200D5"/>
    <w:rsid w:val="00C22811"/>
    <w:rsid w:val="00C23589"/>
    <w:rsid w:val="00C237A1"/>
    <w:rsid w:val="00C250B3"/>
    <w:rsid w:val="00C26F67"/>
    <w:rsid w:val="00C30697"/>
    <w:rsid w:val="00C30D04"/>
    <w:rsid w:val="00C31C2F"/>
    <w:rsid w:val="00C33A53"/>
    <w:rsid w:val="00C35047"/>
    <w:rsid w:val="00C37BFF"/>
    <w:rsid w:val="00C419B1"/>
    <w:rsid w:val="00C434BD"/>
    <w:rsid w:val="00C44D4D"/>
    <w:rsid w:val="00C46452"/>
    <w:rsid w:val="00C469D7"/>
    <w:rsid w:val="00C47B50"/>
    <w:rsid w:val="00C50570"/>
    <w:rsid w:val="00C51B6B"/>
    <w:rsid w:val="00C52F87"/>
    <w:rsid w:val="00C5383B"/>
    <w:rsid w:val="00C53863"/>
    <w:rsid w:val="00C53C6B"/>
    <w:rsid w:val="00C53C9B"/>
    <w:rsid w:val="00C54582"/>
    <w:rsid w:val="00C57582"/>
    <w:rsid w:val="00C62D16"/>
    <w:rsid w:val="00C63479"/>
    <w:rsid w:val="00C66D66"/>
    <w:rsid w:val="00C70444"/>
    <w:rsid w:val="00C71062"/>
    <w:rsid w:val="00C72C5D"/>
    <w:rsid w:val="00C736A9"/>
    <w:rsid w:val="00C73AFE"/>
    <w:rsid w:val="00C73C75"/>
    <w:rsid w:val="00C746B4"/>
    <w:rsid w:val="00C746E8"/>
    <w:rsid w:val="00C74927"/>
    <w:rsid w:val="00C74B73"/>
    <w:rsid w:val="00C81C6F"/>
    <w:rsid w:val="00C81DA7"/>
    <w:rsid w:val="00C82682"/>
    <w:rsid w:val="00C82977"/>
    <w:rsid w:val="00C832DF"/>
    <w:rsid w:val="00C86E32"/>
    <w:rsid w:val="00C87AD9"/>
    <w:rsid w:val="00C9101D"/>
    <w:rsid w:val="00C91C72"/>
    <w:rsid w:val="00C923DB"/>
    <w:rsid w:val="00C92BF1"/>
    <w:rsid w:val="00C93F4D"/>
    <w:rsid w:val="00C95536"/>
    <w:rsid w:val="00C95969"/>
    <w:rsid w:val="00C95A56"/>
    <w:rsid w:val="00C97270"/>
    <w:rsid w:val="00C97C7C"/>
    <w:rsid w:val="00CA0333"/>
    <w:rsid w:val="00CA109B"/>
    <w:rsid w:val="00CA1727"/>
    <w:rsid w:val="00CA2329"/>
    <w:rsid w:val="00CA28CA"/>
    <w:rsid w:val="00CA460C"/>
    <w:rsid w:val="00CA495C"/>
    <w:rsid w:val="00CA5CF0"/>
    <w:rsid w:val="00CA648E"/>
    <w:rsid w:val="00CB0B1E"/>
    <w:rsid w:val="00CB1420"/>
    <w:rsid w:val="00CB237A"/>
    <w:rsid w:val="00CB2BE6"/>
    <w:rsid w:val="00CB34D8"/>
    <w:rsid w:val="00CB362F"/>
    <w:rsid w:val="00CB5089"/>
    <w:rsid w:val="00CB646E"/>
    <w:rsid w:val="00CB66E7"/>
    <w:rsid w:val="00CC00CB"/>
    <w:rsid w:val="00CC184D"/>
    <w:rsid w:val="00CC35B4"/>
    <w:rsid w:val="00CC69B9"/>
    <w:rsid w:val="00CC6DC9"/>
    <w:rsid w:val="00CD1AA7"/>
    <w:rsid w:val="00CD2A32"/>
    <w:rsid w:val="00CE0DE1"/>
    <w:rsid w:val="00CE16A0"/>
    <w:rsid w:val="00CE2920"/>
    <w:rsid w:val="00CE2C3B"/>
    <w:rsid w:val="00CE42A1"/>
    <w:rsid w:val="00CE45AA"/>
    <w:rsid w:val="00CE47FE"/>
    <w:rsid w:val="00CF10A7"/>
    <w:rsid w:val="00CF23A2"/>
    <w:rsid w:val="00CF386C"/>
    <w:rsid w:val="00CF4251"/>
    <w:rsid w:val="00CF49F5"/>
    <w:rsid w:val="00CF680C"/>
    <w:rsid w:val="00CF77F5"/>
    <w:rsid w:val="00D00B5C"/>
    <w:rsid w:val="00D010FF"/>
    <w:rsid w:val="00D0159A"/>
    <w:rsid w:val="00D027EF"/>
    <w:rsid w:val="00D0409E"/>
    <w:rsid w:val="00D045BE"/>
    <w:rsid w:val="00D04F35"/>
    <w:rsid w:val="00D055CD"/>
    <w:rsid w:val="00D07E24"/>
    <w:rsid w:val="00D1193A"/>
    <w:rsid w:val="00D11AFB"/>
    <w:rsid w:val="00D11BC7"/>
    <w:rsid w:val="00D11C40"/>
    <w:rsid w:val="00D14CA5"/>
    <w:rsid w:val="00D1625F"/>
    <w:rsid w:val="00D20096"/>
    <w:rsid w:val="00D208B0"/>
    <w:rsid w:val="00D22191"/>
    <w:rsid w:val="00D23043"/>
    <w:rsid w:val="00D24A97"/>
    <w:rsid w:val="00D24D82"/>
    <w:rsid w:val="00D2504C"/>
    <w:rsid w:val="00D260B7"/>
    <w:rsid w:val="00D26A59"/>
    <w:rsid w:val="00D26D82"/>
    <w:rsid w:val="00D27031"/>
    <w:rsid w:val="00D30535"/>
    <w:rsid w:val="00D32124"/>
    <w:rsid w:val="00D34D19"/>
    <w:rsid w:val="00D35CA0"/>
    <w:rsid w:val="00D36939"/>
    <w:rsid w:val="00D4000E"/>
    <w:rsid w:val="00D4001F"/>
    <w:rsid w:val="00D4157F"/>
    <w:rsid w:val="00D447CF"/>
    <w:rsid w:val="00D4559D"/>
    <w:rsid w:val="00D471C3"/>
    <w:rsid w:val="00D47493"/>
    <w:rsid w:val="00D47544"/>
    <w:rsid w:val="00D5027F"/>
    <w:rsid w:val="00D50A0C"/>
    <w:rsid w:val="00D50C60"/>
    <w:rsid w:val="00D53339"/>
    <w:rsid w:val="00D5406A"/>
    <w:rsid w:val="00D56546"/>
    <w:rsid w:val="00D56A9F"/>
    <w:rsid w:val="00D601F4"/>
    <w:rsid w:val="00D60CB7"/>
    <w:rsid w:val="00D62B63"/>
    <w:rsid w:val="00D632FB"/>
    <w:rsid w:val="00D641F2"/>
    <w:rsid w:val="00D649D1"/>
    <w:rsid w:val="00D669EB"/>
    <w:rsid w:val="00D669F0"/>
    <w:rsid w:val="00D66D01"/>
    <w:rsid w:val="00D708BD"/>
    <w:rsid w:val="00D71128"/>
    <w:rsid w:val="00D71175"/>
    <w:rsid w:val="00D71E06"/>
    <w:rsid w:val="00D720AB"/>
    <w:rsid w:val="00D72146"/>
    <w:rsid w:val="00D728B3"/>
    <w:rsid w:val="00D72A07"/>
    <w:rsid w:val="00D74EB5"/>
    <w:rsid w:val="00D75AAC"/>
    <w:rsid w:val="00D75EDF"/>
    <w:rsid w:val="00D7704D"/>
    <w:rsid w:val="00D77077"/>
    <w:rsid w:val="00D77290"/>
    <w:rsid w:val="00D80804"/>
    <w:rsid w:val="00D808E8"/>
    <w:rsid w:val="00D81DB1"/>
    <w:rsid w:val="00D86ED9"/>
    <w:rsid w:val="00D90C39"/>
    <w:rsid w:val="00D91205"/>
    <w:rsid w:val="00D92124"/>
    <w:rsid w:val="00D92425"/>
    <w:rsid w:val="00D9257B"/>
    <w:rsid w:val="00D942B9"/>
    <w:rsid w:val="00D96AAF"/>
    <w:rsid w:val="00DA45C5"/>
    <w:rsid w:val="00DA553B"/>
    <w:rsid w:val="00DA73E1"/>
    <w:rsid w:val="00DB04F3"/>
    <w:rsid w:val="00DB06CD"/>
    <w:rsid w:val="00DB07F5"/>
    <w:rsid w:val="00DB0A98"/>
    <w:rsid w:val="00DB0F5F"/>
    <w:rsid w:val="00DB2217"/>
    <w:rsid w:val="00DB3CD1"/>
    <w:rsid w:val="00DB4853"/>
    <w:rsid w:val="00DB5658"/>
    <w:rsid w:val="00DB592A"/>
    <w:rsid w:val="00DB6CAD"/>
    <w:rsid w:val="00DC0E59"/>
    <w:rsid w:val="00DC2527"/>
    <w:rsid w:val="00DC31A7"/>
    <w:rsid w:val="00DC4451"/>
    <w:rsid w:val="00DC4D4B"/>
    <w:rsid w:val="00DC549C"/>
    <w:rsid w:val="00DC7413"/>
    <w:rsid w:val="00DC7521"/>
    <w:rsid w:val="00DD1534"/>
    <w:rsid w:val="00DD277D"/>
    <w:rsid w:val="00DD36A1"/>
    <w:rsid w:val="00DD3B70"/>
    <w:rsid w:val="00DD4FB4"/>
    <w:rsid w:val="00DD673D"/>
    <w:rsid w:val="00DD7584"/>
    <w:rsid w:val="00DD7A5C"/>
    <w:rsid w:val="00DD7A65"/>
    <w:rsid w:val="00DE0C9A"/>
    <w:rsid w:val="00DE2228"/>
    <w:rsid w:val="00DE29FD"/>
    <w:rsid w:val="00DE2BA1"/>
    <w:rsid w:val="00DE4A28"/>
    <w:rsid w:val="00DE6328"/>
    <w:rsid w:val="00DE7001"/>
    <w:rsid w:val="00DE7AF2"/>
    <w:rsid w:val="00DF066F"/>
    <w:rsid w:val="00DF16A3"/>
    <w:rsid w:val="00DF2ECD"/>
    <w:rsid w:val="00DF3AF5"/>
    <w:rsid w:val="00DF4006"/>
    <w:rsid w:val="00DF472D"/>
    <w:rsid w:val="00DF477B"/>
    <w:rsid w:val="00DF5E39"/>
    <w:rsid w:val="00DF62B2"/>
    <w:rsid w:val="00DF7674"/>
    <w:rsid w:val="00E00211"/>
    <w:rsid w:val="00E0209F"/>
    <w:rsid w:val="00E0251C"/>
    <w:rsid w:val="00E02E2A"/>
    <w:rsid w:val="00E03F6C"/>
    <w:rsid w:val="00E04CDD"/>
    <w:rsid w:val="00E05A3F"/>
    <w:rsid w:val="00E066D9"/>
    <w:rsid w:val="00E1193C"/>
    <w:rsid w:val="00E14DD8"/>
    <w:rsid w:val="00E15162"/>
    <w:rsid w:val="00E200E1"/>
    <w:rsid w:val="00E22F81"/>
    <w:rsid w:val="00E23256"/>
    <w:rsid w:val="00E23F48"/>
    <w:rsid w:val="00E2562F"/>
    <w:rsid w:val="00E25A60"/>
    <w:rsid w:val="00E25F1F"/>
    <w:rsid w:val="00E26625"/>
    <w:rsid w:val="00E27534"/>
    <w:rsid w:val="00E31668"/>
    <w:rsid w:val="00E32021"/>
    <w:rsid w:val="00E32779"/>
    <w:rsid w:val="00E34D4F"/>
    <w:rsid w:val="00E366A2"/>
    <w:rsid w:val="00E40BEF"/>
    <w:rsid w:val="00E43B80"/>
    <w:rsid w:val="00E43DAF"/>
    <w:rsid w:val="00E4479A"/>
    <w:rsid w:val="00E45FDA"/>
    <w:rsid w:val="00E478CA"/>
    <w:rsid w:val="00E50481"/>
    <w:rsid w:val="00E50FEA"/>
    <w:rsid w:val="00E527B2"/>
    <w:rsid w:val="00E52C4F"/>
    <w:rsid w:val="00E52C56"/>
    <w:rsid w:val="00E5490D"/>
    <w:rsid w:val="00E55F32"/>
    <w:rsid w:val="00E564A0"/>
    <w:rsid w:val="00E5766E"/>
    <w:rsid w:val="00E57975"/>
    <w:rsid w:val="00E601C9"/>
    <w:rsid w:val="00E60728"/>
    <w:rsid w:val="00E6127F"/>
    <w:rsid w:val="00E61F2E"/>
    <w:rsid w:val="00E62543"/>
    <w:rsid w:val="00E629CC"/>
    <w:rsid w:val="00E62D80"/>
    <w:rsid w:val="00E640C7"/>
    <w:rsid w:val="00E64739"/>
    <w:rsid w:val="00E64814"/>
    <w:rsid w:val="00E70EFD"/>
    <w:rsid w:val="00E712C0"/>
    <w:rsid w:val="00E72A75"/>
    <w:rsid w:val="00E759A7"/>
    <w:rsid w:val="00E7677C"/>
    <w:rsid w:val="00E773A9"/>
    <w:rsid w:val="00E818AD"/>
    <w:rsid w:val="00E83236"/>
    <w:rsid w:val="00E86342"/>
    <w:rsid w:val="00E8676A"/>
    <w:rsid w:val="00E878E2"/>
    <w:rsid w:val="00E90146"/>
    <w:rsid w:val="00E90DCB"/>
    <w:rsid w:val="00E91E18"/>
    <w:rsid w:val="00E94ACC"/>
    <w:rsid w:val="00E95319"/>
    <w:rsid w:val="00EA0841"/>
    <w:rsid w:val="00EA285C"/>
    <w:rsid w:val="00EA2884"/>
    <w:rsid w:val="00EA3786"/>
    <w:rsid w:val="00EA4857"/>
    <w:rsid w:val="00EA5448"/>
    <w:rsid w:val="00EB0BD2"/>
    <w:rsid w:val="00EB3A37"/>
    <w:rsid w:val="00EB5387"/>
    <w:rsid w:val="00EB6F08"/>
    <w:rsid w:val="00EC01B1"/>
    <w:rsid w:val="00EC10CC"/>
    <w:rsid w:val="00EC19DB"/>
    <w:rsid w:val="00EC37B4"/>
    <w:rsid w:val="00EC559B"/>
    <w:rsid w:val="00EC5FD3"/>
    <w:rsid w:val="00EC6765"/>
    <w:rsid w:val="00EC7BAE"/>
    <w:rsid w:val="00ED11E8"/>
    <w:rsid w:val="00ED25A1"/>
    <w:rsid w:val="00ED78F2"/>
    <w:rsid w:val="00EE10A1"/>
    <w:rsid w:val="00EE1251"/>
    <w:rsid w:val="00EE257E"/>
    <w:rsid w:val="00EE272F"/>
    <w:rsid w:val="00EE2B6E"/>
    <w:rsid w:val="00EE3DF6"/>
    <w:rsid w:val="00EE5043"/>
    <w:rsid w:val="00EE5312"/>
    <w:rsid w:val="00EE6AAD"/>
    <w:rsid w:val="00EE6DAA"/>
    <w:rsid w:val="00EF2F4C"/>
    <w:rsid w:val="00EF4C03"/>
    <w:rsid w:val="00EF4E77"/>
    <w:rsid w:val="00EF6106"/>
    <w:rsid w:val="00EF73F1"/>
    <w:rsid w:val="00F00333"/>
    <w:rsid w:val="00F00D8C"/>
    <w:rsid w:val="00F00DAB"/>
    <w:rsid w:val="00F02827"/>
    <w:rsid w:val="00F02E83"/>
    <w:rsid w:val="00F03C2B"/>
    <w:rsid w:val="00F04259"/>
    <w:rsid w:val="00F05CD6"/>
    <w:rsid w:val="00F06671"/>
    <w:rsid w:val="00F067B4"/>
    <w:rsid w:val="00F06B7C"/>
    <w:rsid w:val="00F0751A"/>
    <w:rsid w:val="00F076A7"/>
    <w:rsid w:val="00F0794E"/>
    <w:rsid w:val="00F07A7F"/>
    <w:rsid w:val="00F107C0"/>
    <w:rsid w:val="00F13322"/>
    <w:rsid w:val="00F146F1"/>
    <w:rsid w:val="00F15286"/>
    <w:rsid w:val="00F20B27"/>
    <w:rsid w:val="00F221A5"/>
    <w:rsid w:val="00F24240"/>
    <w:rsid w:val="00F2599D"/>
    <w:rsid w:val="00F25C57"/>
    <w:rsid w:val="00F30112"/>
    <w:rsid w:val="00F30593"/>
    <w:rsid w:val="00F30631"/>
    <w:rsid w:val="00F30741"/>
    <w:rsid w:val="00F31E66"/>
    <w:rsid w:val="00F347B3"/>
    <w:rsid w:val="00F359D5"/>
    <w:rsid w:val="00F36B23"/>
    <w:rsid w:val="00F37D1F"/>
    <w:rsid w:val="00F37F92"/>
    <w:rsid w:val="00F43EA5"/>
    <w:rsid w:val="00F44264"/>
    <w:rsid w:val="00F4496B"/>
    <w:rsid w:val="00F44B87"/>
    <w:rsid w:val="00F47B7C"/>
    <w:rsid w:val="00F50A16"/>
    <w:rsid w:val="00F5115C"/>
    <w:rsid w:val="00F52404"/>
    <w:rsid w:val="00F53A8C"/>
    <w:rsid w:val="00F53E19"/>
    <w:rsid w:val="00F5598D"/>
    <w:rsid w:val="00F560BA"/>
    <w:rsid w:val="00F576A1"/>
    <w:rsid w:val="00F608F5"/>
    <w:rsid w:val="00F61104"/>
    <w:rsid w:val="00F62549"/>
    <w:rsid w:val="00F63068"/>
    <w:rsid w:val="00F63234"/>
    <w:rsid w:val="00F6452B"/>
    <w:rsid w:val="00F67458"/>
    <w:rsid w:val="00F67BC6"/>
    <w:rsid w:val="00F70F3F"/>
    <w:rsid w:val="00F7245D"/>
    <w:rsid w:val="00F73A2F"/>
    <w:rsid w:val="00F74391"/>
    <w:rsid w:val="00F779FC"/>
    <w:rsid w:val="00F81414"/>
    <w:rsid w:val="00F82AB6"/>
    <w:rsid w:val="00F83FDF"/>
    <w:rsid w:val="00F8579B"/>
    <w:rsid w:val="00F86A97"/>
    <w:rsid w:val="00F87CEE"/>
    <w:rsid w:val="00F93CAE"/>
    <w:rsid w:val="00F93F0F"/>
    <w:rsid w:val="00F95657"/>
    <w:rsid w:val="00F95950"/>
    <w:rsid w:val="00FA01DE"/>
    <w:rsid w:val="00FA0931"/>
    <w:rsid w:val="00FA0960"/>
    <w:rsid w:val="00FA1145"/>
    <w:rsid w:val="00FA3117"/>
    <w:rsid w:val="00FA39BC"/>
    <w:rsid w:val="00FA3C66"/>
    <w:rsid w:val="00FA5026"/>
    <w:rsid w:val="00FA6CC1"/>
    <w:rsid w:val="00FB0F80"/>
    <w:rsid w:val="00FB65ED"/>
    <w:rsid w:val="00FB7E93"/>
    <w:rsid w:val="00FC3322"/>
    <w:rsid w:val="00FC5570"/>
    <w:rsid w:val="00FC63BB"/>
    <w:rsid w:val="00FD001C"/>
    <w:rsid w:val="00FD3089"/>
    <w:rsid w:val="00FD379C"/>
    <w:rsid w:val="00FD4FE1"/>
    <w:rsid w:val="00FD55CA"/>
    <w:rsid w:val="00FD561A"/>
    <w:rsid w:val="00FD7649"/>
    <w:rsid w:val="00FE1297"/>
    <w:rsid w:val="00FE2CEC"/>
    <w:rsid w:val="00FE4EF1"/>
    <w:rsid w:val="00FE769D"/>
    <w:rsid w:val="00FE7AA9"/>
    <w:rsid w:val="00FE7F7F"/>
    <w:rsid w:val="00FF1242"/>
    <w:rsid w:val="00FF20C0"/>
    <w:rsid w:val="00FF264D"/>
    <w:rsid w:val="00FF3F2F"/>
    <w:rsid w:val="00FF67A0"/>
    <w:rsid w:val="00FF6A07"/>
    <w:rsid w:val="00FF6FA7"/>
    <w:rsid w:val="00FF7E19"/>
    <w:rsid w:val="06DCDFC9"/>
    <w:rsid w:val="11D567B5"/>
    <w:rsid w:val="142BDC97"/>
    <w:rsid w:val="3C81400C"/>
    <w:rsid w:val="424DCBB4"/>
    <w:rsid w:val="4355A1C9"/>
    <w:rsid w:val="490DA631"/>
    <w:rsid w:val="5BD53CAA"/>
    <w:rsid w:val="5C298F98"/>
    <w:rsid w:val="5C8545AB"/>
    <w:rsid w:val="5E5F49CB"/>
    <w:rsid w:val="5F9BA6BC"/>
    <w:rsid w:val="6511818F"/>
    <w:rsid w:val="67E84DA0"/>
    <w:rsid w:val="7739A31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2444DE"/>
  <w15:docId w15:val="{200C84C9-D38A-46A5-ABED-EFDE650F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BC"/>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rsid w:val="00941CBC"/>
    <w:pPr>
      <w:tabs>
        <w:tab w:val="center" w:pos="4252"/>
        <w:tab w:val="right" w:pos="8504"/>
      </w:tabs>
    </w:pPr>
  </w:style>
  <w:style w:type="character" w:customStyle="1" w:styleId="EncabezadoCar">
    <w:name w:val="Encabezado Car"/>
    <w:basedOn w:val="Fuentedeprrafopredeter"/>
    <w:link w:val="Encabezado"/>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iPriority w:val="99"/>
    <w:unhideWhenUsed/>
    <w:rsid w:val="00FD3089"/>
    <w:rPr>
      <w:sz w:val="20"/>
      <w:szCs w:val="20"/>
    </w:rPr>
  </w:style>
  <w:style w:type="character" w:customStyle="1" w:styleId="TextocomentarioCar">
    <w:name w:val="Texto comentario Car"/>
    <w:basedOn w:val="Fuentedeprrafopredeter"/>
    <w:link w:val="Textocomentario"/>
    <w:uiPriority w:val="99"/>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aliases w:val="List Paragraph 1"/>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7E2D"/>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lang w:val="es-SV"/>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Borders>
        <w:top w:val="single" w:sz="4" w:space="0" w:color="auto"/>
        <w:bottom w:val="single" w:sz="4" w:space="0" w:color="auto"/>
        <w:insideH w:val="single" w:sz="4" w:space="0" w:color="A6A6A6" w:themeColor="background1" w:themeShade="A6"/>
      </w:tblBorders>
    </w:tblPr>
    <w:tblStylePr w:type="firstRow">
      <w:rPr>
        <w:rFonts w:ascii="Cambria" w:hAnsi="Cambria"/>
        <w:b/>
        <w:sz w:val="24"/>
      </w:rPr>
      <w:tblPr/>
      <w:tcPr>
        <w:tcBorders>
          <w:top w:val="single" w:sz="4" w:space="0" w:color="auto"/>
          <w:bottom w:val="single" w:sz="4" w:space="0" w:color="auto"/>
        </w:tcBorders>
      </w:tcPr>
    </w:tblStylePr>
  </w:style>
  <w:style w:type="character" w:customStyle="1" w:styleId="PrrafodelistaCar">
    <w:name w:val="Párrafo de lista Car"/>
    <w:aliases w:val="List Paragraph 1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customStyle="1" w:styleId="Default">
    <w:name w:val="Default"/>
    <w:rsid w:val="00EF73F1"/>
    <w:pPr>
      <w:autoSpaceDE w:val="0"/>
      <w:autoSpaceDN w:val="0"/>
      <w:adjustRightInd w:val="0"/>
      <w:jc w:val="left"/>
    </w:pPr>
    <w:rPr>
      <w:rFonts w:ascii="Calibri" w:hAnsi="Calibri" w:cs="Calibri"/>
      <w:color w:val="000000"/>
      <w:sz w:val="24"/>
      <w:szCs w:val="24"/>
      <w:lang w:val="es-SV"/>
    </w:rPr>
  </w:style>
  <w:style w:type="character" w:customStyle="1" w:styleId="Mencinsinresolver1">
    <w:name w:val="Mención sin resolver1"/>
    <w:basedOn w:val="Fuentedeprrafopredeter"/>
    <w:uiPriority w:val="99"/>
    <w:semiHidden/>
    <w:unhideWhenUsed/>
    <w:rsid w:val="00B34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286814946">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529418461">
      <w:bodyDiv w:val="1"/>
      <w:marLeft w:val="0"/>
      <w:marRight w:val="0"/>
      <w:marTop w:val="0"/>
      <w:marBottom w:val="0"/>
      <w:divBdr>
        <w:top w:val="none" w:sz="0" w:space="0" w:color="auto"/>
        <w:left w:val="none" w:sz="0" w:space="0" w:color="auto"/>
        <w:bottom w:val="none" w:sz="0" w:space="0" w:color="auto"/>
        <w:right w:val="none" w:sz="0" w:space="0" w:color="auto"/>
      </w:divBdr>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1385062268">
      <w:bodyDiv w:val="1"/>
      <w:marLeft w:val="0"/>
      <w:marRight w:val="0"/>
      <w:marTop w:val="0"/>
      <w:marBottom w:val="0"/>
      <w:divBdr>
        <w:top w:val="none" w:sz="0" w:space="0" w:color="auto"/>
        <w:left w:val="none" w:sz="0" w:space="0" w:color="auto"/>
        <w:bottom w:val="none" w:sz="0" w:space="0" w:color="auto"/>
        <w:right w:val="none" w:sz="0" w:space="0" w:color="auto"/>
      </w:divBdr>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642923626">
      <w:bodyDiv w:val="1"/>
      <w:marLeft w:val="0"/>
      <w:marRight w:val="0"/>
      <w:marTop w:val="0"/>
      <w:marBottom w:val="0"/>
      <w:divBdr>
        <w:top w:val="none" w:sz="0" w:space="0" w:color="auto"/>
        <w:left w:val="none" w:sz="0" w:space="0" w:color="auto"/>
        <w:bottom w:val="none" w:sz="0" w:space="0" w:color="auto"/>
        <w:right w:val="none" w:sz="0" w:space="0" w:color="auto"/>
      </w:divBdr>
    </w:div>
    <w:div w:id="1664969552">
      <w:bodyDiv w:val="1"/>
      <w:marLeft w:val="0"/>
      <w:marRight w:val="0"/>
      <w:marTop w:val="0"/>
      <w:marBottom w:val="0"/>
      <w:divBdr>
        <w:top w:val="none" w:sz="0" w:space="0" w:color="auto"/>
        <w:left w:val="none" w:sz="0" w:space="0" w:color="auto"/>
        <w:bottom w:val="none" w:sz="0" w:space="0" w:color="auto"/>
        <w:right w:val="none" w:sz="0" w:space="0" w:color="auto"/>
      </w:divBdr>
    </w:div>
    <w:div w:id="211432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rmas@bcr.gob.s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TAK2XWSQXAVX-2124196863-523</_dlc_DocId>
    <_dlc_DocIdUrl xmlns="925361b9-3a0c-4c35-ae0e-5f5ef97db517">
      <Url>http://sis/dn/_layouts/15/DocIdRedir.aspx?ID=TAK2XWSQXAVX-2124196863-523</Url>
      <Description>TAK2XWSQXAVX-2124196863-523</Description>
    </_dlc_DocIdUrl>
    <SharedWithUsers xmlns="925361b9-3a0c-4c35-ae0e-5f5ef97db517">
      <UserInfo>
        <DisplayName>Dania Melissa López Vásquez</DisplayName>
        <AccountId>186</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40F41-8FDE-4E29-AAF7-85F54A19E565}">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www.w3.org/XML/1998/namespace"/>
    <ds:schemaRef ds:uri="b0b24d6a-01c5-41d8-b592-d89f712f4127"/>
    <ds:schemaRef ds:uri="925361b9-3a0c-4c35-ae0e-5f5ef97db517"/>
    <ds:schemaRef ds:uri="http://purl.org/dc/elements/1.1/"/>
  </ds:schemaRefs>
</ds:datastoreItem>
</file>

<file path=customXml/itemProps2.xml><?xml version="1.0" encoding="utf-8"?>
<ds:datastoreItem xmlns:ds="http://schemas.openxmlformats.org/officeDocument/2006/customXml" ds:itemID="{44B7E4C4-FDA1-421B-ABAE-5FB79EDBB3CF}">
  <ds:schemaRefs>
    <ds:schemaRef ds:uri="http://schemas.microsoft.com/sharepoint/v3/contenttype/forms"/>
  </ds:schemaRefs>
</ds:datastoreItem>
</file>

<file path=customXml/itemProps3.xml><?xml version="1.0" encoding="utf-8"?>
<ds:datastoreItem xmlns:ds="http://schemas.openxmlformats.org/officeDocument/2006/customXml" ds:itemID="{6D136D1F-15C0-4424-8768-0BC37F39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2B479-3753-4DD6-948D-992920275CD4}">
  <ds:schemaRefs>
    <ds:schemaRef ds:uri="http://schemas.microsoft.com/sharepoint/events"/>
  </ds:schemaRefs>
</ds:datastoreItem>
</file>

<file path=customXml/itemProps5.xml><?xml version="1.0" encoding="utf-8"?>
<ds:datastoreItem xmlns:ds="http://schemas.openxmlformats.org/officeDocument/2006/customXml" ds:itemID="{C2248105-E928-4F76-840E-3BDC9A8E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2916</Words>
  <Characters>16039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prceci</dc:creator>
  <cp:keywords/>
  <cp:lastModifiedBy>Evelyn Guadalupe Auxiliadora Meléndez Gómez</cp:lastModifiedBy>
  <cp:revision>2</cp:revision>
  <cp:lastPrinted>2019-10-24T17:07:00Z</cp:lastPrinted>
  <dcterms:created xsi:type="dcterms:W3CDTF">2020-09-11T16:37:00Z</dcterms:created>
  <dcterms:modified xsi:type="dcterms:W3CDTF">2020-09-11T16:37:00Z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d61f4e34-25ef-48b7-843d-98d15deabade</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2020-03-18T12:22:44.1777486-06:00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