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C7" w:rsidRDefault="0011248A">
      <w:pPr>
        <w:spacing w:after="188" w:line="259" w:lineRule="auto"/>
        <w:ind w:left="3955" w:firstLine="0"/>
        <w:jc w:val="left"/>
      </w:pPr>
      <w:r>
        <w:rPr>
          <w:noProof/>
        </w:rPr>
        <w:drawing>
          <wp:inline distT="0" distB="0" distL="0" distR="0">
            <wp:extent cx="992708" cy="841248"/>
            <wp:effectExtent l="0" t="0" r="0" b="0"/>
            <wp:docPr id="1693" name="Picture 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70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C7" w:rsidRDefault="0011248A">
      <w:pPr>
        <w:spacing w:after="0" w:line="265" w:lineRule="auto"/>
        <w:ind w:left="190" w:right="65" w:hanging="10"/>
        <w:jc w:val="center"/>
      </w:pPr>
      <w:r>
        <w:rPr>
          <w:rFonts w:ascii="Times New Roman" w:eastAsia="Times New Roman" w:hAnsi="Times New Roman" w:cs="Times New Roman"/>
          <w:sz w:val="30"/>
        </w:rPr>
        <w:t>SUPERINTENDENCIA DEL</w:t>
      </w:r>
    </w:p>
    <w:p w:rsidR="005F46C7" w:rsidRDefault="0011248A">
      <w:pPr>
        <w:spacing w:after="868" w:line="265" w:lineRule="auto"/>
        <w:ind w:left="190" w:hanging="10"/>
        <w:jc w:val="center"/>
      </w:pPr>
      <w:r>
        <w:rPr>
          <w:rFonts w:ascii="Times New Roman" w:eastAsia="Times New Roman" w:hAnsi="Times New Roman" w:cs="Times New Roman"/>
          <w:sz w:val="30"/>
        </w:rPr>
        <w:t>SISTEMA FINANCIERO</w:t>
      </w:r>
    </w:p>
    <w:p w:rsidR="005F46C7" w:rsidRPr="0011248A" w:rsidRDefault="0011248A">
      <w:pPr>
        <w:spacing w:after="429" w:line="265" w:lineRule="auto"/>
        <w:ind w:left="24" w:hanging="10"/>
        <w:jc w:val="center"/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ACTA DE INEXISTENCIA DE REGLAMENTO DE LA LEY PRINCIPAL</w:t>
      </w:r>
    </w:p>
    <w:p w:rsidR="005F46C7" w:rsidRPr="0011248A" w:rsidRDefault="0011248A">
      <w:pPr>
        <w:spacing w:after="47"/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En San Salvador, a las nueve horas con veinte minutos del treinta y uno de julio de 2020, la</w:t>
      </w:r>
    </w:p>
    <w:p w:rsidR="005F46C7" w:rsidRPr="0011248A" w:rsidRDefault="0011248A">
      <w:pPr>
        <w:spacing w:after="0" w:line="259" w:lineRule="auto"/>
        <w:ind w:firstLine="0"/>
        <w:jc w:val="left"/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Superintendencia del Sistema Financiero y el Comité de Apelaciones del Sistema Financiero,</w:t>
      </w:r>
    </w:p>
    <w:p w:rsidR="005F46C7" w:rsidRPr="0011248A" w:rsidRDefault="0011248A">
      <w:pPr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HACEN CONSTAR QUE</w:t>
      </w:r>
      <w:r w:rsidRPr="0011248A">
        <w:rPr>
          <w:rFonts w:ascii="Museo Sans 300" w:hAnsi="Museo Sans 300"/>
          <w:noProof/>
          <w:sz w:val="22"/>
        </w:rPr>
        <w:drawing>
          <wp:inline distT="0" distB="0" distL="0" distR="0">
            <wp:extent cx="13724" cy="73152"/>
            <wp:effectExtent l="0" t="0" r="0" b="0"/>
            <wp:docPr id="3517" name="Picture 3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" name="Picture 3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C7" w:rsidRPr="0011248A" w:rsidRDefault="0011248A">
      <w:pPr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Esta Superintendencia del Sistema Financiero y el Comité de Apelaciones han sido creados por la Ley de Supervisión y Regulación del Sistema Financ</w:t>
      </w:r>
      <w:r w:rsidRPr="0011248A">
        <w:rPr>
          <w:rFonts w:ascii="Museo Sans 300" w:hAnsi="Museo Sans 300"/>
          <w:sz w:val="22"/>
        </w:rPr>
        <w:t>iero, la cual está contenida en el Decreto Legislativo No. 592 de fecha 14 de enero de 2011, publicado en el Diario Oficial No. 23, Tomo 390, de fecha 2 de febrero de 2011.</w:t>
      </w:r>
    </w:p>
    <w:p w:rsidR="005F46C7" w:rsidRPr="0011248A" w:rsidRDefault="0011248A">
      <w:pPr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Los lineamientos l y 2 para la publicación de información oficiosa, emitidos por el</w:t>
      </w:r>
      <w:r w:rsidRPr="0011248A">
        <w:rPr>
          <w:rFonts w:ascii="Museo Sans 300" w:hAnsi="Museo Sans 300"/>
          <w:sz w:val="22"/>
        </w:rPr>
        <w:t xml:space="preserve"> Instituto de Acceso a la Información Pública, con base en el numeral 1 del artículo 10 de la Ley de Acceso a la Información Pública (LAIP), establecen la publicación del Reglamento de la Ley Principal que rige a la Institución.</w:t>
      </w:r>
    </w:p>
    <w:p w:rsidR="005F46C7" w:rsidRPr="0011248A" w:rsidRDefault="0011248A">
      <w:pPr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La Ley de Supervisión y Reg</w:t>
      </w:r>
      <w:r w:rsidRPr="0011248A">
        <w:rPr>
          <w:rFonts w:ascii="Museo Sans 300" w:hAnsi="Museo Sans 300"/>
          <w:sz w:val="22"/>
        </w:rPr>
        <w:t>ulación del Sistema Financiero, ley principal que rige las actividades de la Superintendencia del Sistema Financiero y del Comité de Apelaciones del Sistema Financiero, no es desarrollada por un Reglamento, así como que este no ha sido emitido por Presiden</w:t>
      </w:r>
      <w:r w:rsidRPr="0011248A">
        <w:rPr>
          <w:rFonts w:ascii="Museo Sans 300" w:hAnsi="Museo Sans 300"/>
          <w:sz w:val="22"/>
        </w:rPr>
        <w:t xml:space="preserve">cia de la República. Por lo tanto, en el marco del artículo 73 de la LAIP </w:t>
      </w:r>
      <w:r w:rsidRPr="0011248A">
        <w:rPr>
          <w:rFonts w:ascii="Museo Sans 300" w:hAnsi="Museo Sans 300"/>
          <w:noProof/>
          <w:sz w:val="22"/>
        </w:rPr>
        <w:drawing>
          <wp:inline distT="0" distB="0" distL="0" distR="0">
            <wp:extent cx="22873" cy="27432"/>
            <wp:effectExtent l="0" t="0" r="0" b="0"/>
            <wp:docPr id="1649" name="Picture 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248A">
        <w:rPr>
          <w:rFonts w:ascii="Museo Sans 300" w:hAnsi="Museo Sans 300"/>
          <w:sz w:val="22"/>
        </w:rPr>
        <w:t>el Reglamento de la Ley principal es información inexistente para el período comprendido de mayo a julio de 2020.</w:t>
      </w:r>
    </w:p>
    <w:p w:rsidR="005F46C7" w:rsidRPr="0011248A" w:rsidRDefault="0011248A">
      <w:pPr>
        <w:spacing w:after="47"/>
        <w:ind w:right="2471"/>
        <w:rPr>
          <w:rFonts w:ascii="Museo Sans 300" w:hAnsi="Museo Sans 300"/>
          <w:sz w:val="22"/>
        </w:rPr>
      </w:pPr>
      <w:r w:rsidRPr="0011248A">
        <w:rPr>
          <w:rFonts w:ascii="Museo Sans 300" w:hAnsi="Museo Sans 300"/>
          <w:sz w:val="22"/>
        </w:rPr>
        <w:t>San Salvador, 31 de julio de 2020</w:t>
      </w:r>
    </w:p>
    <w:p w:rsidR="005F46C7" w:rsidRDefault="0011248A">
      <w:pPr>
        <w:spacing w:after="22" w:line="259" w:lineRule="auto"/>
        <w:ind w:left="3300" w:firstLine="0"/>
        <w:jc w:val="left"/>
      </w:pPr>
      <w:r>
        <w:rPr>
          <w:noProof/>
        </w:rPr>
        <w:drawing>
          <wp:inline distT="0" distB="0" distL="0" distR="0">
            <wp:extent cx="2269047" cy="1243584"/>
            <wp:effectExtent l="0" t="0" r="0" b="0"/>
            <wp:docPr id="3519" name="Picture 3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9047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C7" w:rsidRDefault="0011248A">
      <w:pPr>
        <w:spacing w:after="0" w:line="265" w:lineRule="auto"/>
        <w:ind w:left="10" w:right="29" w:hanging="10"/>
        <w:jc w:val="center"/>
      </w:pPr>
      <w:r>
        <w:rPr>
          <w:sz w:val="24"/>
        </w:rPr>
        <w:t>Cristian Marcel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Menjívar</w:t>
      </w:r>
      <w:proofErr w:type="spellEnd"/>
      <w:r>
        <w:rPr>
          <w:sz w:val="24"/>
        </w:rPr>
        <w:t xml:space="preserve"> Navarrete</w:t>
      </w:r>
    </w:p>
    <w:p w:rsidR="005F46C7" w:rsidRDefault="0011248A">
      <w:pPr>
        <w:spacing w:after="0" w:line="265" w:lineRule="auto"/>
        <w:ind w:left="24" w:right="43" w:hanging="10"/>
        <w:jc w:val="center"/>
      </w:pPr>
      <w:r>
        <w:t>Oficial de Información en Funciones</w:t>
      </w:r>
    </w:p>
    <w:p w:rsidR="005F46C7" w:rsidRDefault="0011248A">
      <w:pPr>
        <w:spacing w:after="1688" w:line="265" w:lineRule="auto"/>
        <w:ind w:left="10" w:right="29" w:hanging="10"/>
        <w:jc w:val="center"/>
      </w:pPr>
      <w:r>
        <w:rPr>
          <w:sz w:val="24"/>
        </w:rPr>
        <w:t>Superintendencia del Sistema Financiero</w:t>
      </w:r>
    </w:p>
    <w:p w:rsidR="005F46C7" w:rsidRDefault="0011248A">
      <w:pPr>
        <w:spacing w:after="5" w:line="259" w:lineRule="auto"/>
        <w:ind w:left="0" w:right="36" w:firstLine="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>Calle El Mirador. entre 87 y 89 Av. Norte. Edificio Torre Futura, Nivel 16</w:t>
      </w:r>
    </w:p>
    <w:p w:rsidR="005F46C7" w:rsidRDefault="0011248A">
      <w:pPr>
        <w:spacing w:after="0" w:line="259" w:lineRule="auto"/>
        <w:ind w:left="13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San Salvador, El Salvador, C.A. Tel: (503) 2268-5700 / (503) 2133-2900 </w:t>
      </w:r>
      <w:r>
        <w:rPr>
          <w:rFonts w:ascii="Times New Roman" w:eastAsia="Times New Roman" w:hAnsi="Times New Roman" w:cs="Times New Roman"/>
          <w:sz w:val="20"/>
        </w:rPr>
        <w:t>- contacto@ssf.gob.sv - www.sst.Ü0b.sv</w:t>
      </w:r>
    </w:p>
    <w:sectPr w:rsidR="005F46C7">
      <w:pgSz w:w="12240" w:h="15840"/>
      <w:pgMar w:top="569" w:right="1491" w:bottom="1440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C7"/>
    <w:rsid w:val="0011248A"/>
    <w:rsid w:val="005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5F7BA"/>
  <w15:docId w15:val="{3583DA32-2FEC-43DF-9583-C2825AFE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0" w:line="216" w:lineRule="auto"/>
      <w:ind w:left="14" w:firstLine="4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cp:lastModifiedBy>Cristian Marcel Menjivar Navarrete</cp:lastModifiedBy>
  <cp:revision>2</cp:revision>
  <dcterms:created xsi:type="dcterms:W3CDTF">2020-07-31T19:31:00Z</dcterms:created>
  <dcterms:modified xsi:type="dcterms:W3CDTF">2020-07-31T19:31:00Z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69eca495-0ef0-4805-8ae3-adfd5396230d</vt:lpwstr>
  </property>
</Properties>
</file>