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3DA89BEE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6F65F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0067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B54F25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4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6F65F0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6F65F0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0E1779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veintiséis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B54F25">
        <w:rPr>
          <w:rFonts w:ascii="Museo Sans 300" w:eastAsia="Arial" w:hAnsi="Museo Sans 300" w:cs="Arial"/>
          <w:sz w:val="20"/>
          <w:szCs w:val="20"/>
          <w:lang w:val="es-ES" w:eastAsia="es-SV"/>
        </w:rPr>
        <w:t>ener</w:t>
      </w:r>
      <w:r w:rsidR="006E5435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o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B54F25">
        <w:rPr>
          <w:rFonts w:ascii="Museo Sans 300" w:eastAsia="Arial" w:hAnsi="Museo Sans 300" w:cs="Arial"/>
          <w:sz w:val="20"/>
          <w:szCs w:val="20"/>
          <w:lang w:val="es-ES" w:eastAsia="es-SV"/>
        </w:rPr>
        <w:t>cuatro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46FD7BB0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>cinco de diciembre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</w:t>
      </w:r>
      <w:r w:rsidR="00B54F25">
        <w:rPr>
          <w:rFonts w:ascii="Museo Sans 300" w:hAnsi="Museo Sans 300"/>
          <w:sz w:val="20"/>
          <w:szCs w:val="20"/>
          <w:lang w:eastAsia="es-SV"/>
        </w:rPr>
        <w:t>dos mil veintitrés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5F6913">
        <w:rPr>
          <w:rFonts w:ascii="Museo Sans 300" w:hAnsi="Museo Sans 300"/>
          <w:sz w:val="20"/>
          <w:szCs w:val="20"/>
          <w:lang w:eastAsia="es-SV"/>
        </w:rPr>
        <w:t>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A04F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3E2997">
        <w:rPr>
          <w:rFonts w:ascii="Museo Sans 300" w:hAnsi="Museo Sans 300"/>
          <w:sz w:val="20"/>
          <w:szCs w:val="20"/>
          <w:lang w:eastAsia="es-SV"/>
        </w:rPr>
        <w:t>CAESS, S.A. de C.V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. por el cobro de la cantidad de </w:t>
      </w:r>
      <w:r w:rsidR="00B54F25">
        <w:rPr>
          <w:rFonts w:ascii="Museo Sans 300" w:hAnsi="Museo Sans 300"/>
          <w:sz w:val="20"/>
          <w:szCs w:val="20"/>
          <w:lang w:eastAsia="es-SV"/>
        </w:rPr>
        <w:t>OCHENTA Y SIETE 17/100 DÓLARES DE LOS ESTADOS UNIDOS DE AMÉRICA (USD 87.17)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IVA incluido, debido a la presunta existencia de una condición irregular que afectó el correcto registro del consumo de energía en el suministro identificado con el NIC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6C2691A5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>E-0974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-CAU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>diecinueve de diciembre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54F25">
        <w:rPr>
          <w:rFonts w:ascii="Museo Sans 300" w:hAnsi="Museo Sans 300"/>
          <w:sz w:val="20"/>
          <w:szCs w:val="20"/>
          <w:lang w:eastAsia="es-SV"/>
        </w:rPr>
        <w:t>del año pasado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3E2997">
        <w:rPr>
          <w:rFonts w:ascii="Museo Sans 300" w:hAnsi="Museo Sans 300"/>
          <w:sz w:val="20"/>
          <w:szCs w:val="20"/>
          <w:lang w:eastAsia="es-SV"/>
        </w:rPr>
        <w:t>l señor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D02F9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eastAsia="es-SV"/>
        </w:rPr>
        <w:t xml:space="preserve">la señora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 xml:space="preserve">ante esta Superintendencia de conformidad con lo establecido en el artículo 69 de la Ley de Procedimiento </w:t>
      </w:r>
      <w:r w:rsidR="00F17446">
        <w:rPr>
          <w:rFonts w:ascii="Museo Sans 300" w:hAnsi="Museo Sans 300"/>
          <w:sz w:val="20"/>
          <w:szCs w:val="20"/>
          <w:lang w:eastAsia="es-SV"/>
        </w:rPr>
        <w:t>A</w:t>
      </w:r>
      <w:r w:rsidR="00991E99">
        <w:rPr>
          <w:rFonts w:ascii="Museo Sans 300" w:hAnsi="Museo Sans 300"/>
          <w:sz w:val="20"/>
          <w:szCs w:val="20"/>
          <w:lang w:eastAsia="es-SV"/>
        </w:rPr>
        <w:t>dministrativos.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4E20DFF7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l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val="es-MX" w:eastAsia="es-SV"/>
        </w:rPr>
        <w:t>xxx</w:t>
      </w:r>
      <w:proofErr w:type="spellEnd"/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991E99">
        <w:rPr>
          <w:rFonts w:ascii="Museo Sans 300" w:hAnsi="Museo Sans 300"/>
          <w:sz w:val="20"/>
          <w:szCs w:val="20"/>
          <w:lang w:val="es-MX" w:eastAsia="es-SV"/>
        </w:rPr>
        <w:t>veinti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 xml:space="preserve">uno de diciembre 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del </w:t>
      </w:r>
      <w:r w:rsidR="00B54F25">
        <w:rPr>
          <w:rFonts w:ascii="Museo Sans 300" w:hAnsi="Museo Sans 300"/>
          <w:sz w:val="20"/>
          <w:szCs w:val="20"/>
          <w:lang w:val="es-MX" w:eastAsia="es-SV"/>
        </w:rPr>
        <w:t>dos mil veintitrés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quince de enero de este año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4F324431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91E99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A04F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991E99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6259AEE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45E59242" w:rsid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328BF34" w14:textId="77777777" w:rsidR="00991E99" w:rsidRPr="002F6F3C" w:rsidRDefault="00991E99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C55B869" w14:textId="4DE9CFEE" w:rsidR="00F072F2" w:rsidRDefault="00015480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63E4B3C3" w14:textId="77777777" w:rsidR="00665BBA" w:rsidRDefault="00665BBA" w:rsidP="006516EE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2E93F9BA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F54E86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A04F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ante esta Superintendencia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665BBA">
        <w:rPr>
          <w:rFonts w:ascii="Museo Sans 300" w:eastAsia="Times New Roman" w:hAnsi="Museo Sans 300"/>
          <w:sz w:val="20"/>
          <w:szCs w:val="20"/>
          <w:lang w:eastAsia="es-SV"/>
        </w:rPr>
        <w:t xml:space="preserve">la señora </w:t>
      </w:r>
      <w:proofErr w:type="spellStart"/>
      <w:r w:rsidR="00A04FE0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titular d</w:t>
      </w:r>
      <w:r w:rsidR="00F54E86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0A0AB5B6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F54E86">
        <w:rPr>
          <w:rFonts w:ascii="Museo Sans 300" w:eastAsia="Times New Roman" w:hAnsi="Museo Sans 300"/>
          <w:sz w:val="20"/>
          <w:szCs w:val="20"/>
          <w:lang w:val="es-ES" w:eastAsia="es-ES"/>
        </w:rPr>
        <w:t>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A04F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27B4E99F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5435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ES" w:eastAsia="es-SV"/>
        </w:rPr>
        <w:t xml:space="preserve">la señora </w:t>
      </w:r>
      <w:proofErr w:type="spellStart"/>
      <w:r w:rsidR="00A04FE0">
        <w:rPr>
          <w:rFonts w:ascii="Museo Sans 300" w:hAnsi="Museo Sans 300"/>
          <w:sz w:val="20"/>
          <w:szCs w:val="20"/>
          <w:lang w:val="es-ES"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665BBA">
        <w:rPr>
          <w:rFonts w:ascii="Museo Sans 300" w:hAnsi="Museo Sans 300"/>
          <w:sz w:val="20"/>
          <w:szCs w:val="20"/>
          <w:lang w:val="es-MX" w:eastAsia="es-SV"/>
        </w:rPr>
        <w:t>titular d</w:t>
      </w:r>
      <w:r w:rsidR="007D2B19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7D2B19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665BBA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4D5AF91C" w14:textId="010DB36A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7D2B19">
        <w:rPr>
          <w:rFonts w:ascii="Museo Sans 300" w:hAnsi="Museo Sans 300"/>
          <w:sz w:val="20"/>
          <w:szCs w:val="20"/>
          <w:lang w:eastAsia="es-SV"/>
        </w:rPr>
        <w:t>l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A04FE0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A04F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4F51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BC92C" w14:textId="77777777" w:rsidR="00AF26CC" w:rsidRDefault="00AF26CC">
      <w:pPr>
        <w:spacing w:after="0" w:line="240" w:lineRule="auto"/>
      </w:pPr>
      <w:r>
        <w:separator/>
      </w:r>
    </w:p>
  </w:endnote>
  <w:endnote w:type="continuationSeparator" w:id="0">
    <w:p w14:paraId="0C20ADA0" w14:textId="77777777" w:rsidR="00AF26CC" w:rsidRDefault="00AF26CC">
      <w:pPr>
        <w:spacing w:after="0" w:line="240" w:lineRule="auto"/>
      </w:pPr>
      <w:r>
        <w:continuationSeparator/>
      </w:r>
    </w:p>
  </w:endnote>
  <w:endnote w:type="continuationNotice" w:id="1">
    <w:p w14:paraId="216E94A7" w14:textId="77777777" w:rsidR="00AF26CC" w:rsidRDefault="00AF2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18614774" w:rsidR="00D30A18" w:rsidRDefault="00534024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34024">
      <w:rPr>
        <w:rFonts w:ascii="Museo Sans 300" w:hAnsi="Museo Sans 300"/>
        <w:sz w:val="18"/>
        <w:szCs w:val="18"/>
        <w:lang w:val="es-ES"/>
      </w:rPr>
      <w:t xml:space="preserve">Este documento es una versión pública del original, debido a la protección de datos personales, así como al resguardo de información clasificada como reservada o confidencial, conforme a los Arts. 19, 24 y 30 de la LAIP. </w:t>
    </w:r>
    <w:r w:rsidR="00D30A18"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begin"/>
    </w:r>
    <w:r w:rsidR="00D30A18" w:rsidRPr="005406F5">
      <w:rPr>
        <w:rFonts w:ascii="Museo Sans 300" w:hAnsi="Museo Sans 300"/>
        <w:b/>
        <w:bCs/>
        <w:sz w:val="18"/>
        <w:szCs w:val="18"/>
      </w:rPr>
      <w:instrText>PAGE</w:instrTex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D30A18">
      <w:rPr>
        <w:rFonts w:ascii="Museo Sans 300" w:hAnsi="Museo Sans 300"/>
        <w:b/>
        <w:bCs/>
        <w:noProof/>
        <w:sz w:val="18"/>
        <w:szCs w:val="18"/>
      </w:rPr>
      <w:t>3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end"/>
    </w:r>
    <w:r w:rsidR="00D30A18"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begin"/>
    </w:r>
    <w:r w:rsidR="00D30A18" w:rsidRPr="005406F5">
      <w:rPr>
        <w:rFonts w:ascii="Museo Sans 300" w:hAnsi="Museo Sans 300"/>
        <w:b/>
        <w:bCs/>
        <w:sz w:val="18"/>
        <w:szCs w:val="18"/>
      </w:rPr>
      <w:instrText>NUMPAGES</w:instrTex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="00D30A18"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1E217A93" w14:textId="1FBA5F97" w:rsidR="00D30A18" w:rsidRDefault="00665BBA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8E833" w14:textId="77777777" w:rsidR="00534024" w:rsidRDefault="00534024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534024">
      <w:rPr>
        <w:rFonts w:ascii="Bembo Std" w:hAnsi="Bembo Std"/>
        <w:b/>
        <w:color w:val="000000"/>
        <w:sz w:val="18"/>
        <w:szCs w:val="18"/>
      </w:rPr>
      <w:t xml:space="preserve">Este documento es una versión pública del original, debido a la protección de datos personales, así como al resguardo de información clasificada como reservada o confidencial, conforme a los Arts. 19, 24 y 30 de la LAIP. </w:t>
    </w:r>
  </w:p>
  <w:p w14:paraId="64B843FE" w14:textId="39406394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  <w:p w14:paraId="2A131D4F" w14:textId="451968F0" w:rsidR="00D30A18" w:rsidRPr="00FA1ACB" w:rsidRDefault="00665BBA" w:rsidP="00FA1ACB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  <w:rPr>
        <w:rFonts w:ascii="Bembo Std" w:hAnsi="Bembo Std"/>
        <w:b/>
        <w:color w:val="000000"/>
        <w:sz w:val="14"/>
        <w:szCs w:val="14"/>
      </w:rPr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6D26" w14:textId="77777777" w:rsidR="00AF26CC" w:rsidRDefault="00AF26CC">
      <w:pPr>
        <w:spacing w:after="0" w:line="240" w:lineRule="auto"/>
      </w:pPr>
      <w:r>
        <w:separator/>
      </w:r>
    </w:p>
  </w:footnote>
  <w:footnote w:type="continuationSeparator" w:id="0">
    <w:p w14:paraId="065CDBA0" w14:textId="77777777" w:rsidR="00AF26CC" w:rsidRDefault="00AF26CC">
      <w:pPr>
        <w:spacing w:after="0" w:line="240" w:lineRule="auto"/>
      </w:pPr>
      <w:r>
        <w:continuationSeparator/>
      </w:r>
    </w:p>
  </w:footnote>
  <w:footnote w:type="continuationNotice" w:id="1">
    <w:p w14:paraId="59C47CBD" w14:textId="77777777" w:rsidR="00AF26CC" w:rsidRDefault="00AF2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E1779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A6A06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2ABF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E2997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0EE5"/>
    <w:rsid w:val="00432C24"/>
    <w:rsid w:val="00433100"/>
    <w:rsid w:val="00434AB7"/>
    <w:rsid w:val="00437BBE"/>
    <w:rsid w:val="00441A85"/>
    <w:rsid w:val="0045432D"/>
    <w:rsid w:val="00461E8B"/>
    <w:rsid w:val="00470F43"/>
    <w:rsid w:val="0047584C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1C6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34024"/>
    <w:rsid w:val="00536F1D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2F7"/>
    <w:rsid w:val="005E4B3B"/>
    <w:rsid w:val="005E5E2F"/>
    <w:rsid w:val="005F6913"/>
    <w:rsid w:val="006065C8"/>
    <w:rsid w:val="0061121F"/>
    <w:rsid w:val="00611FF2"/>
    <w:rsid w:val="00615938"/>
    <w:rsid w:val="00624D7C"/>
    <w:rsid w:val="006252AC"/>
    <w:rsid w:val="006358A1"/>
    <w:rsid w:val="00640ECB"/>
    <w:rsid w:val="006516EE"/>
    <w:rsid w:val="00651A5C"/>
    <w:rsid w:val="006560A1"/>
    <w:rsid w:val="0066080A"/>
    <w:rsid w:val="00664D78"/>
    <w:rsid w:val="00665BBA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5435"/>
    <w:rsid w:val="006E7BDC"/>
    <w:rsid w:val="006F00F2"/>
    <w:rsid w:val="006F1487"/>
    <w:rsid w:val="006F1CBA"/>
    <w:rsid w:val="006F4750"/>
    <w:rsid w:val="006F65F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B19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059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1007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91E99"/>
    <w:rsid w:val="009A530D"/>
    <w:rsid w:val="009A54AC"/>
    <w:rsid w:val="009B218F"/>
    <w:rsid w:val="009C6F13"/>
    <w:rsid w:val="009D1DC1"/>
    <w:rsid w:val="009D2CE8"/>
    <w:rsid w:val="009D353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4FE0"/>
    <w:rsid w:val="00A058B7"/>
    <w:rsid w:val="00A24210"/>
    <w:rsid w:val="00A31F00"/>
    <w:rsid w:val="00A332B0"/>
    <w:rsid w:val="00A3671A"/>
    <w:rsid w:val="00A37271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26CC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10E"/>
    <w:rsid w:val="00B45992"/>
    <w:rsid w:val="00B5454D"/>
    <w:rsid w:val="00B54F25"/>
    <w:rsid w:val="00B651FE"/>
    <w:rsid w:val="00B7398B"/>
    <w:rsid w:val="00B74ABA"/>
    <w:rsid w:val="00B802CF"/>
    <w:rsid w:val="00B824AF"/>
    <w:rsid w:val="00B83EA1"/>
    <w:rsid w:val="00B85D3C"/>
    <w:rsid w:val="00B977C4"/>
    <w:rsid w:val="00BA2580"/>
    <w:rsid w:val="00BB059C"/>
    <w:rsid w:val="00BB3B3D"/>
    <w:rsid w:val="00BB4B19"/>
    <w:rsid w:val="00BB5AA4"/>
    <w:rsid w:val="00BB71B8"/>
    <w:rsid w:val="00BB740D"/>
    <w:rsid w:val="00BC770F"/>
    <w:rsid w:val="00BD09B2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2057"/>
    <w:rsid w:val="00D02F99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17446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4E86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Expediente EP-3591-23, elaborado 17ene2024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2" ma:contentTypeDescription="Create a new document." ma:contentTypeScope="" ma:versionID="c90de23c37e9b135292b583b8230a144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d040a36d30efaf5fc49ce12fad13a82e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3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60EBF9-0188-41D8-938A-581E6BCC5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8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Cinthya Escobar</cp:lastModifiedBy>
  <cp:revision>4</cp:revision>
  <cp:lastPrinted>2022-09-21T22:23:00Z</cp:lastPrinted>
  <dcterms:created xsi:type="dcterms:W3CDTF">2024-02-01T22:00:00Z</dcterms:created>
  <dcterms:modified xsi:type="dcterms:W3CDTF">2024-04-25T21:14:00Z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