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27AE3CA8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6E543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0645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>veintiocho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agosto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5032FEA8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97867">
        <w:rPr>
          <w:rFonts w:ascii="Museo Sans 300" w:hAnsi="Museo Sans 300"/>
          <w:sz w:val="20"/>
          <w:szCs w:val="20"/>
          <w:lang w:eastAsia="es-SV"/>
        </w:rPr>
        <w:t>veintis</w:t>
      </w:r>
      <w:r w:rsidR="005F6913">
        <w:rPr>
          <w:rFonts w:ascii="Museo Sans 300" w:hAnsi="Museo Sans 300"/>
          <w:sz w:val="20"/>
          <w:szCs w:val="20"/>
          <w:lang w:eastAsia="es-SV"/>
        </w:rPr>
        <w:t>éis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5F6913">
        <w:rPr>
          <w:rFonts w:ascii="Museo Sans 300" w:hAnsi="Museo Sans 300"/>
          <w:sz w:val="20"/>
          <w:szCs w:val="20"/>
          <w:lang w:eastAsia="es-SV"/>
        </w:rPr>
        <w:t>junio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5F6913">
        <w:rPr>
          <w:rFonts w:ascii="Museo Sans 300" w:hAnsi="Museo Sans 300"/>
          <w:sz w:val="20"/>
          <w:szCs w:val="20"/>
          <w:lang w:eastAsia="es-SV"/>
        </w:rPr>
        <w:t>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B7146F">
        <w:rPr>
          <w:rFonts w:ascii="Museo Sans 300" w:hAnsi="Museo Sans 300"/>
          <w:sz w:val="20"/>
          <w:szCs w:val="20"/>
          <w:lang w:eastAsia="es-SV"/>
        </w:rPr>
        <w:t>x</w:t>
      </w:r>
      <w:r w:rsidR="00D90EC3">
        <w:rPr>
          <w:rFonts w:ascii="Museo Sans 300" w:hAnsi="Museo Sans 300"/>
          <w:sz w:val="20"/>
          <w:szCs w:val="20"/>
          <w:lang w:eastAsia="es-SV"/>
        </w:rPr>
        <w:t>xx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interpuso un reclamo en contra de la sociedad </w:t>
      </w:r>
      <w:r w:rsidR="003E2997">
        <w:rPr>
          <w:rFonts w:ascii="Museo Sans 300" w:hAnsi="Museo Sans 300"/>
          <w:sz w:val="20"/>
          <w:szCs w:val="20"/>
          <w:lang w:eastAsia="es-SV"/>
        </w:rPr>
        <w:t>CAESS, S.A. de C.V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. por el cobro de la cantidad de </w:t>
      </w:r>
      <w:r w:rsidR="003E2997">
        <w:rPr>
          <w:rFonts w:ascii="Museo Sans 300" w:hAnsi="Museo Sans 300"/>
          <w:sz w:val="20"/>
          <w:szCs w:val="20"/>
          <w:lang w:eastAsia="es-SV"/>
        </w:rPr>
        <w:t>TRESCIENTOS NOVENTA Y DOS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E2997">
        <w:rPr>
          <w:rFonts w:ascii="Museo Sans 300" w:hAnsi="Museo Sans 300"/>
          <w:sz w:val="20"/>
          <w:szCs w:val="20"/>
          <w:lang w:eastAsia="es-SV"/>
        </w:rPr>
        <w:t>78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3E2997">
        <w:rPr>
          <w:rFonts w:ascii="Museo Sans 300" w:hAnsi="Museo Sans 300"/>
          <w:sz w:val="20"/>
          <w:szCs w:val="20"/>
          <w:lang w:eastAsia="es-SV"/>
        </w:rPr>
        <w:t>392.78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) IVA incluido, debido a la presunta existencia de una condición irregular que afectó el correcto registro del consumo de energía en el suministro identificado con el NIC </w:t>
      </w:r>
      <w:r w:rsidR="00D90EC3">
        <w:rPr>
          <w:rFonts w:ascii="Museo Sans 300" w:hAnsi="Museo Sans 300"/>
          <w:sz w:val="20"/>
          <w:szCs w:val="20"/>
          <w:lang w:eastAsia="es-SV"/>
        </w:rPr>
        <w:t>xxx</w:t>
      </w:r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285F084A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E-</w:t>
      </w:r>
      <w:r w:rsidR="008A0E4B">
        <w:rPr>
          <w:rFonts w:ascii="Museo Sans 300" w:hAnsi="Museo Sans 300"/>
          <w:sz w:val="20"/>
          <w:szCs w:val="20"/>
          <w:lang w:eastAsia="es-SV"/>
        </w:rPr>
        <w:t>0</w:t>
      </w:r>
      <w:r w:rsidR="003E2997">
        <w:rPr>
          <w:rFonts w:ascii="Museo Sans 300" w:hAnsi="Museo Sans 300"/>
          <w:sz w:val="20"/>
          <w:szCs w:val="20"/>
          <w:lang w:eastAsia="es-SV"/>
        </w:rPr>
        <w:t>571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E2997">
        <w:rPr>
          <w:rFonts w:ascii="Museo Sans 300" w:hAnsi="Museo Sans 300"/>
          <w:sz w:val="20"/>
          <w:szCs w:val="20"/>
          <w:lang w:eastAsia="es-SV"/>
        </w:rPr>
        <w:t>veintiuno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3E2997">
        <w:rPr>
          <w:rFonts w:ascii="Museo Sans 300" w:hAnsi="Museo Sans 300"/>
          <w:sz w:val="20"/>
          <w:szCs w:val="20"/>
          <w:lang w:eastAsia="es-SV"/>
        </w:rPr>
        <w:t>julio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3E2997">
        <w:rPr>
          <w:rFonts w:ascii="Museo Sans 300" w:hAnsi="Museo Sans 300"/>
          <w:sz w:val="20"/>
          <w:szCs w:val="20"/>
          <w:lang w:eastAsia="es-SV"/>
        </w:rPr>
        <w:t>l señor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90EC3">
        <w:rPr>
          <w:rFonts w:ascii="Museo Sans 300" w:hAnsi="Museo Sans 300"/>
          <w:sz w:val="20"/>
          <w:szCs w:val="20"/>
          <w:lang w:eastAsia="es-SV"/>
        </w:rPr>
        <w:t>xxx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D02F99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B7146F">
        <w:rPr>
          <w:rFonts w:ascii="Museo Sans 300" w:hAnsi="Museo Sans 300"/>
          <w:sz w:val="20"/>
          <w:szCs w:val="20"/>
          <w:lang w:eastAsia="es-SV"/>
        </w:rPr>
        <w:t>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 xml:space="preserve">ante esta Superintendencia de conformidad con lo establecido en el artículo 69 de la Ley de Procedimiento </w:t>
      </w:r>
      <w:r w:rsidR="00F17446">
        <w:rPr>
          <w:rFonts w:ascii="Museo Sans 300" w:hAnsi="Museo Sans 300"/>
          <w:sz w:val="20"/>
          <w:szCs w:val="20"/>
          <w:lang w:eastAsia="es-SV"/>
        </w:rPr>
        <w:t>A</w:t>
      </w:r>
      <w:r w:rsidR="00991E99">
        <w:rPr>
          <w:rFonts w:ascii="Museo Sans 300" w:hAnsi="Museo Sans 300"/>
          <w:sz w:val="20"/>
          <w:szCs w:val="20"/>
          <w:lang w:eastAsia="es-SV"/>
        </w:rPr>
        <w:t>dministrativos.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2234D4A1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l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 </w:t>
      </w:r>
      <w:r w:rsidR="00923DF5">
        <w:rPr>
          <w:rFonts w:ascii="Museo Sans 300" w:hAnsi="Museo Sans 300"/>
          <w:sz w:val="20"/>
          <w:szCs w:val="20"/>
          <w:lang w:val="es-MX" w:eastAsia="es-SV"/>
        </w:rPr>
        <w:t>xxx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veinticuatro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julio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catorce de agosto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 xml:space="preserve"> de este año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2A075348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923DF5">
        <w:rPr>
          <w:rFonts w:ascii="Museo Sans 300" w:hAnsi="Museo Sans 300"/>
          <w:sz w:val="20"/>
          <w:szCs w:val="20"/>
          <w:lang w:eastAsia="es-SV"/>
        </w:rPr>
        <w:t>xxx</w:t>
      </w:r>
      <w:r w:rsidR="00597383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991E99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6259AEE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45E59242" w:rsid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328BF34" w14:textId="77777777" w:rsidR="00991E99" w:rsidRPr="002F6F3C" w:rsidRDefault="00991E99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C55B869" w14:textId="7612B0EB" w:rsidR="00F072F2" w:rsidRDefault="00015480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461A1750" w14:textId="77777777" w:rsidR="00923DF5" w:rsidRDefault="00923DF5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lastRenderedPageBreak/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2529C568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F54E86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923DF5">
        <w:rPr>
          <w:rFonts w:ascii="Museo Sans 300" w:hAnsi="Museo Sans 300"/>
          <w:sz w:val="20"/>
          <w:szCs w:val="20"/>
          <w:lang w:eastAsia="es-SV"/>
        </w:rPr>
        <w:t>xxx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 xml:space="preserve"> 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ante esta Superintendencia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l señor </w:t>
      </w:r>
      <w:r w:rsidR="00923DF5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54E86">
        <w:rPr>
          <w:rFonts w:ascii="Museo Sans 300" w:hAnsi="Museo Sans 300"/>
          <w:sz w:val="20"/>
          <w:szCs w:val="20"/>
          <w:lang w:val="es-MX" w:eastAsia="es-SV"/>
        </w:rPr>
        <w:t>propietario del inmueble donde se ubica 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90EC3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6996A754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923DF5">
        <w:rPr>
          <w:rFonts w:ascii="Museo Sans 300" w:hAnsi="Museo Sans 300"/>
          <w:sz w:val="20"/>
          <w:szCs w:val="20"/>
          <w:lang w:eastAsia="es-SV"/>
        </w:rPr>
        <w:t>xxx</w:t>
      </w:r>
      <w:r w:rsidR="00597383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1021AE67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5435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923DF5">
        <w:rPr>
          <w:rFonts w:ascii="Museo Sans 300" w:hAnsi="Museo Sans 300"/>
          <w:sz w:val="20"/>
          <w:szCs w:val="20"/>
          <w:lang w:eastAsia="es-SV"/>
        </w:rPr>
        <w:t>xxx</w:t>
      </w:r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F54E86">
        <w:rPr>
          <w:rFonts w:ascii="Museo Sans 300" w:hAnsi="Museo Sans 300"/>
          <w:sz w:val="20"/>
          <w:szCs w:val="20"/>
          <w:lang w:val="es-ES" w:eastAsia="es-SV"/>
        </w:rPr>
        <w:t>l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F54E86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923DF5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D2B19">
        <w:rPr>
          <w:rFonts w:ascii="Museo Sans 300" w:hAnsi="Museo Sans 300"/>
          <w:sz w:val="20"/>
          <w:szCs w:val="20"/>
          <w:lang w:val="es-MX" w:eastAsia="es-SV"/>
        </w:rPr>
        <w:t>propietario del inmueble donde se encuentra ubicado 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7D2B1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90EC3">
        <w:rPr>
          <w:rFonts w:ascii="Museo Sans 300" w:hAnsi="Museo Sans 300"/>
          <w:sz w:val="20"/>
          <w:szCs w:val="20"/>
          <w:lang w:eastAsia="es-SV"/>
        </w:rPr>
        <w:t>xxx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7A80A4B0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7D2B19">
        <w:rPr>
          <w:rFonts w:ascii="Museo Sans 300" w:hAnsi="Museo Sans 300"/>
          <w:sz w:val="20"/>
          <w:szCs w:val="20"/>
          <w:lang w:eastAsia="es-SV"/>
        </w:rPr>
        <w:t>l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23DF5">
        <w:rPr>
          <w:rFonts w:ascii="Museo Sans 300" w:hAnsi="Museo Sans 300"/>
          <w:sz w:val="20"/>
          <w:szCs w:val="20"/>
          <w:lang w:eastAsia="es-SV"/>
        </w:rPr>
        <w:t>x</w:t>
      </w:r>
      <w:r w:rsidR="00D90EC3">
        <w:rPr>
          <w:rFonts w:ascii="Museo Sans 300" w:hAnsi="Museo Sans 300"/>
          <w:sz w:val="20"/>
          <w:szCs w:val="20"/>
          <w:lang w:eastAsia="es-SV"/>
        </w:rPr>
        <w:t>xx</w:t>
      </w:r>
      <w:r w:rsidR="00597383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6B40" w14:textId="77777777" w:rsidR="003150BC" w:rsidRDefault="003150BC">
      <w:pPr>
        <w:spacing w:after="0" w:line="240" w:lineRule="auto"/>
      </w:pPr>
      <w:r>
        <w:separator/>
      </w:r>
    </w:p>
  </w:endnote>
  <w:endnote w:type="continuationSeparator" w:id="0">
    <w:p w14:paraId="579EE0F5" w14:textId="77777777" w:rsidR="003150BC" w:rsidRDefault="003150BC">
      <w:pPr>
        <w:spacing w:after="0" w:line="240" w:lineRule="auto"/>
      </w:pPr>
      <w:r>
        <w:continuationSeparator/>
      </w:r>
    </w:p>
  </w:endnote>
  <w:endnote w:type="continuationNotice" w:id="1">
    <w:p w14:paraId="12DF6FC7" w14:textId="77777777" w:rsidR="003150BC" w:rsidRDefault="00315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sbt</w:t>
    </w:r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B391" w14:textId="77777777" w:rsidR="003150BC" w:rsidRDefault="003150BC">
      <w:pPr>
        <w:spacing w:after="0" w:line="240" w:lineRule="auto"/>
      </w:pPr>
      <w:r>
        <w:separator/>
      </w:r>
    </w:p>
  </w:footnote>
  <w:footnote w:type="continuationSeparator" w:id="0">
    <w:p w14:paraId="44869381" w14:textId="77777777" w:rsidR="003150BC" w:rsidRDefault="003150BC">
      <w:pPr>
        <w:spacing w:after="0" w:line="240" w:lineRule="auto"/>
      </w:pPr>
      <w:r>
        <w:continuationSeparator/>
      </w:r>
    </w:p>
  </w:footnote>
  <w:footnote w:type="continuationNotice" w:id="1">
    <w:p w14:paraId="12EDFFC8" w14:textId="77777777" w:rsidR="003150BC" w:rsidRDefault="00315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50BC"/>
    <w:rsid w:val="00316F26"/>
    <w:rsid w:val="00322ABF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E2997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6F1D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5F6913"/>
    <w:rsid w:val="006065C8"/>
    <w:rsid w:val="0061121F"/>
    <w:rsid w:val="00611FF2"/>
    <w:rsid w:val="00615938"/>
    <w:rsid w:val="00624D7C"/>
    <w:rsid w:val="006252AC"/>
    <w:rsid w:val="006358A1"/>
    <w:rsid w:val="00640ECB"/>
    <w:rsid w:val="006516EE"/>
    <w:rsid w:val="00651A5C"/>
    <w:rsid w:val="006560A1"/>
    <w:rsid w:val="0066080A"/>
    <w:rsid w:val="00664D78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543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B19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54BBE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0993"/>
    <w:rsid w:val="008D7D3A"/>
    <w:rsid w:val="008E1F1E"/>
    <w:rsid w:val="008E2B8F"/>
    <w:rsid w:val="008F0265"/>
    <w:rsid w:val="008F4FB0"/>
    <w:rsid w:val="008F6371"/>
    <w:rsid w:val="008F67AC"/>
    <w:rsid w:val="00901007"/>
    <w:rsid w:val="009065B2"/>
    <w:rsid w:val="0091121B"/>
    <w:rsid w:val="0092317E"/>
    <w:rsid w:val="00923DF5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91E99"/>
    <w:rsid w:val="009A530D"/>
    <w:rsid w:val="009A54AC"/>
    <w:rsid w:val="009B218F"/>
    <w:rsid w:val="009C6F13"/>
    <w:rsid w:val="009D1DC1"/>
    <w:rsid w:val="009D2CE8"/>
    <w:rsid w:val="009D353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37271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10E"/>
    <w:rsid w:val="00B45992"/>
    <w:rsid w:val="00B5454D"/>
    <w:rsid w:val="00B651FE"/>
    <w:rsid w:val="00B7146F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D09B2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2057"/>
    <w:rsid w:val="00D02F99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0EC3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17446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4E86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1" ma:contentTypeDescription="Crear nuevo documento." ma:contentTypeScope="" ma:versionID="39456f632445bff73846e5565518d408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57ccfff94a56586cd1d9fb992fb0de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17-8-23. Expediente EP-2067-23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E437-EF44-4B46-84CE-60D5E373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5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27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5</cp:revision>
  <cp:lastPrinted>2022-09-21T22:23:00Z</cp:lastPrinted>
  <dcterms:created xsi:type="dcterms:W3CDTF">2023-08-30T20:58:00Z</dcterms:created>
  <dcterms:modified xsi:type="dcterms:W3CDTF">2023-08-31T21:44:00Z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