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C4EA5E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00F47">
        <w:rPr>
          <w:rFonts w:ascii="Museo Sans 900" w:eastAsia="Times New Roman" w:hAnsi="Museo Sans 900" w:cs="Times New Roman"/>
          <w:b/>
          <w:bCs/>
          <w:sz w:val="20"/>
          <w:szCs w:val="20"/>
          <w:lang w:val="es-MX" w:eastAsia="es-ES"/>
        </w:rPr>
        <w:t>0073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00F4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00F47">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000F47">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0406D1E"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cuatro</w:t>
      </w:r>
      <w:r w:rsidR="00F97957">
        <w:rPr>
          <w:rFonts w:ascii="Museo Sans 300" w:hAnsi="Museo Sans 300"/>
          <w:sz w:val="20"/>
          <w:szCs w:val="20"/>
        </w:rPr>
        <w:t xml:space="preserve"> de </w:t>
      </w:r>
      <w:r w:rsidR="00936637">
        <w:rPr>
          <w:rFonts w:ascii="Museo Sans 300" w:hAnsi="Museo Sans 300"/>
          <w:sz w:val="20"/>
          <w:szCs w:val="20"/>
        </w:rPr>
        <w:t>ju</w:t>
      </w:r>
      <w:r>
        <w:rPr>
          <w:rFonts w:ascii="Museo Sans 300" w:hAnsi="Museo Sans 300"/>
          <w:sz w:val="20"/>
          <w:szCs w:val="20"/>
        </w:rPr>
        <w:t>lio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D93E40">
        <w:rPr>
          <w:rFonts w:ascii="Museo Sans 300" w:hAnsi="Museo Sans 300"/>
          <w:sz w:val="20"/>
          <w:szCs w:val="20"/>
        </w:rPr>
        <w:t>xxxx</w:t>
      </w:r>
      <w:proofErr w:type="spellEnd"/>
      <w:r w:rsidR="00D93E40">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CA5121">
        <w:rPr>
          <w:rFonts w:ascii="Museo Sans 300" w:hAnsi="Museo Sans 300"/>
          <w:sz w:val="20"/>
          <w:szCs w:val="20"/>
        </w:rPr>
        <w:t>MIL CUARENTA Y TRES</w:t>
      </w:r>
      <w:r w:rsidR="00F97957">
        <w:rPr>
          <w:rFonts w:ascii="Museo Sans 300" w:hAnsi="Museo Sans 300"/>
          <w:sz w:val="20"/>
          <w:szCs w:val="20"/>
        </w:rPr>
        <w:t xml:space="preserve"> </w:t>
      </w:r>
      <w:r w:rsidR="00CA5121">
        <w:rPr>
          <w:rFonts w:ascii="Museo Sans 300" w:hAnsi="Museo Sans 300"/>
          <w:sz w:val="20"/>
          <w:szCs w:val="20"/>
        </w:rPr>
        <w:t>65</w:t>
      </w:r>
      <w:r w:rsidR="00F97957">
        <w:rPr>
          <w:rFonts w:ascii="Museo Sans 300" w:hAnsi="Museo Sans 300"/>
          <w:sz w:val="20"/>
          <w:szCs w:val="20"/>
        </w:rPr>
        <w:t xml:space="preserve">/100 DÓLARES DE LOS ESTADOS UNIDOS DE AMÉRICA (USD </w:t>
      </w:r>
      <w:r>
        <w:rPr>
          <w:rFonts w:ascii="Museo Sans 300" w:hAnsi="Museo Sans 300"/>
          <w:sz w:val="20"/>
          <w:szCs w:val="20"/>
        </w:rPr>
        <w:t>1,043.65</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D93E40">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r w:rsidR="00D93E40">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A5F4B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CA5121">
        <w:rPr>
          <w:rFonts w:ascii="Museo Sans 300" w:hAnsi="Museo Sans 300"/>
          <w:sz w:val="20"/>
          <w:szCs w:val="20"/>
          <w:lang w:val="es-SV"/>
        </w:rPr>
        <w:t>418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A5121">
        <w:rPr>
          <w:rFonts w:ascii="Museo Sans 300" w:hAnsi="Museo Sans 300"/>
          <w:sz w:val="20"/>
          <w:szCs w:val="20"/>
          <w:lang w:val="es-SV"/>
        </w:rPr>
        <w:t>once</w:t>
      </w:r>
      <w:r w:rsidR="00453953">
        <w:rPr>
          <w:rFonts w:ascii="Museo Sans 300" w:hAnsi="Museo Sans 300"/>
          <w:sz w:val="20"/>
          <w:szCs w:val="20"/>
          <w:lang w:val="es-SV"/>
        </w:rPr>
        <w:t xml:space="preserve"> de </w:t>
      </w:r>
      <w:r w:rsidR="00B32255">
        <w:rPr>
          <w:rFonts w:ascii="Museo Sans 300" w:hAnsi="Museo Sans 300"/>
          <w:sz w:val="20"/>
          <w:szCs w:val="20"/>
          <w:lang w:val="es-SV"/>
        </w:rPr>
        <w:t>julio</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582547E"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32255">
        <w:rPr>
          <w:rFonts w:ascii="Museo Sans 300" w:hAnsi="Museo Sans 300"/>
          <w:sz w:val="20"/>
          <w:szCs w:val="20"/>
        </w:rPr>
        <w:t xml:space="preserve">s partes el día </w:t>
      </w:r>
      <w:r w:rsidR="00CA5121">
        <w:rPr>
          <w:rFonts w:ascii="Museo Sans 300" w:hAnsi="Museo Sans 300"/>
          <w:sz w:val="20"/>
          <w:szCs w:val="20"/>
        </w:rPr>
        <w:t>catorce</w:t>
      </w:r>
      <w:r w:rsidR="00B32255">
        <w:rPr>
          <w:rFonts w:ascii="Museo Sans 300" w:hAnsi="Museo Sans 300"/>
          <w:sz w:val="20"/>
          <w:szCs w:val="20"/>
        </w:rPr>
        <w:t xml:space="preserve"> de julio del mismo año,</w:t>
      </w:r>
      <w:r w:rsidRPr="70478C62">
        <w:rPr>
          <w:rFonts w:ascii="Museo Sans 300" w:hAnsi="Museo Sans 300"/>
          <w:sz w:val="20"/>
          <w:szCs w:val="20"/>
        </w:rPr>
        <w:t xml:space="preserve"> por lo que el plazo otorgado a la distribuidora finalizó el día </w:t>
      </w:r>
      <w:r w:rsidR="003217B0">
        <w:rPr>
          <w:rFonts w:ascii="Museo Sans 300" w:hAnsi="Museo Sans 300"/>
          <w:sz w:val="20"/>
          <w:szCs w:val="20"/>
        </w:rPr>
        <w:t>veinti</w:t>
      </w:r>
      <w:r w:rsidR="006B2389">
        <w:rPr>
          <w:rFonts w:ascii="Museo Sans 300" w:hAnsi="Museo Sans 300"/>
          <w:sz w:val="20"/>
          <w:szCs w:val="20"/>
        </w:rPr>
        <w:t>ocho</w:t>
      </w:r>
      <w:r w:rsidR="00B32255">
        <w:rPr>
          <w:rFonts w:ascii="Museo Sans 300" w:hAnsi="Museo Sans 300"/>
          <w:sz w:val="20"/>
          <w:szCs w:val="20"/>
        </w:rPr>
        <w:t xml:space="preserve"> de julio de dicho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25F462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E68F0">
        <w:rPr>
          <w:rFonts w:ascii="Museo Sans 300" w:hAnsi="Museo Sans 300"/>
          <w:sz w:val="20"/>
          <w:szCs w:val="20"/>
        </w:rPr>
        <w:t>veintiocho</w:t>
      </w:r>
      <w:r>
        <w:rPr>
          <w:rFonts w:ascii="Museo Sans 300" w:hAnsi="Museo Sans 300"/>
          <w:sz w:val="20"/>
          <w:szCs w:val="20"/>
        </w:rPr>
        <w:t xml:space="preserve"> de </w:t>
      </w:r>
      <w:r w:rsidR="008A66E5">
        <w:rPr>
          <w:rFonts w:ascii="Museo Sans 300" w:hAnsi="Museo Sans 300"/>
          <w:sz w:val="20"/>
          <w:szCs w:val="20"/>
        </w:rPr>
        <w:t>julio</w:t>
      </w:r>
      <w:r w:rsidR="000C30D0">
        <w:rPr>
          <w:rFonts w:ascii="Museo Sans 300" w:hAnsi="Museo Sans 300"/>
          <w:sz w:val="20"/>
          <w:szCs w:val="20"/>
        </w:rPr>
        <w:t xml:space="preserve"> de</w:t>
      </w:r>
      <w:r w:rsidR="002E63F8">
        <w:rPr>
          <w:rFonts w:ascii="Museo Sans 300" w:hAnsi="Museo Sans 300"/>
          <w:sz w:val="20"/>
          <w:szCs w:val="20"/>
        </w:rPr>
        <w:t>l año</w:t>
      </w:r>
      <w:r w:rsidR="008A66E5">
        <w:rPr>
          <w:rFonts w:ascii="Museo Sans 300" w:hAnsi="Museo Sans 300"/>
          <w:sz w:val="20"/>
          <w:szCs w:val="20"/>
        </w:rPr>
        <w:t xml:space="preserve"> pasado</w:t>
      </w:r>
      <w:r w:rsidRPr="70478C62">
        <w:rPr>
          <w:rFonts w:ascii="Museo Sans 300" w:hAnsi="Museo Sans 300"/>
          <w:sz w:val="20"/>
          <w:szCs w:val="20"/>
        </w:rPr>
        <w:t xml:space="preserve">, el ingeniero </w:t>
      </w:r>
      <w:proofErr w:type="spellStart"/>
      <w:r w:rsidR="00D93E40">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4931AF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D93E40">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25B96F9F"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5E68F0">
        <w:rPr>
          <w:rFonts w:ascii="Museo Sans 300" w:eastAsia="Arial" w:hAnsi="Museo Sans 300"/>
          <w:sz w:val="20"/>
          <w:szCs w:val="20"/>
          <w:lang w:eastAsia="es-SV"/>
        </w:rPr>
        <w:t xml:space="preserve"> </w:t>
      </w:r>
      <w:proofErr w:type="spellStart"/>
      <w:r w:rsidR="00D93E40">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5847480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D93E40">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C87C00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704418">
        <w:rPr>
          <w:rFonts w:ascii="Museo Sans 300" w:hAnsi="Museo Sans 300"/>
          <w:sz w:val="20"/>
          <w:szCs w:val="20"/>
          <w:lang w:val="es-ES_tradnl" w:eastAsia="es-SV"/>
        </w:rPr>
        <w:t>7</w:t>
      </w:r>
      <w:r w:rsidR="00D070FC">
        <w:rPr>
          <w:rFonts w:ascii="Museo Sans 300" w:hAnsi="Museo Sans 300"/>
          <w:sz w:val="20"/>
          <w:szCs w:val="20"/>
          <w:lang w:val="es-ES_tradnl" w:eastAsia="es-SV"/>
        </w:rPr>
        <w:t>80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217B0">
        <w:rPr>
          <w:rFonts w:ascii="Museo Sans 300" w:hAnsi="Museo Sans 300"/>
          <w:sz w:val="20"/>
          <w:szCs w:val="20"/>
          <w:lang w:val="es-ES_tradnl" w:eastAsia="es-SV"/>
        </w:rPr>
        <w:t>veint</w:t>
      </w:r>
      <w:r w:rsidR="00D070FC">
        <w:rPr>
          <w:rFonts w:ascii="Museo Sans 300" w:hAnsi="Museo Sans 300"/>
          <w:sz w:val="20"/>
          <w:szCs w:val="20"/>
          <w:lang w:val="es-ES_tradnl" w:eastAsia="es-SV"/>
        </w:rPr>
        <w:t>iocho</w:t>
      </w:r>
      <w:r w:rsidR="000A288A">
        <w:rPr>
          <w:rFonts w:ascii="Museo Sans 300" w:hAnsi="Museo Sans 300"/>
          <w:sz w:val="20"/>
          <w:szCs w:val="20"/>
          <w:lang w:val="es-ES_tradnl" w:eastAsia="es-SV"/>
        </w:rPr>
        <w:t xml:space="preserve"> de </w:t>
      </w:r>
      <w:r w:rsidR="00704418">
        <w:rPr>
          <w:rFonts w:ascii="Museo Sans 300" w:hAnsi="Museo Sans 300"/>
          <w:sz w:val="20"/>
          <w:szCs w:val="20"/>
          <w:lang w:val="es-ES_tradnl" w:eastAsia="es-SV"/>
        </w:rPr>
        <w:t>julio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704418">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7EB1649"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Pr>
          <w:rFonts w:ascii="Museo Sans 300" w:hAnsi="Museo Sans 300"/>
          <w:sz w:val="20"/>
          <w:szCs w:val="20"/>
        </w:rPr>
        <w:t>1</w:t>
      </w:r>
      <w:r w:rsidR="00D070FC">
        <w:rPr>
          <w:rFonts w:ascii="Museo Sans 300" w:hAnsi="Museo Sans 300"/>
          <w:sz w:val="20"/>
          <w:szCs w:val="20"/>
        </w:rPr>
        <w:t>629</w:t>
      </w:r>
      <w:r w:rsidRPr="00981D41">
        <w:rPr>
          <w:rFonts w:ascii="Museo Sans 300" w:hAnsi="Museo Sans 300"/>
          <w:sz w:val="20"/>
          <w:szCs w:val="20"/>
        </w:rPr>
        <w:t xml:space="preserve">-2022-CAU, de fecha </w:t>
      </w:r>
      <w:r w:rsidR="00D070FC">
        <w:rPr>
          <w:rFonts w:ascii="Museo Sans 300" w:hAnsi="Museo Sans 300"/>
          <w:sz w:val="20"/>
          <w:szCs w:val="20"/>
        </w:rPr>
        <w:t>diecinueve</w:t>
      </w:r>
      <w:r>
        <w:rPr>
          <w:rFonts w:ascii="Museo Sans 300" w:hAnsi="Museo Sans 300"/>
          <w:sz w:val="20"/>
          <w:szCs w:val="20"/>
        </w:rPr>
        <w:t xml:space="preserve"> de agosto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49BAD3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D93E40">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B623EEE"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637FA5">
        <w:rPr>
          <w:rFonts w:ascii="Museo Sans 300" w:hAnsi="Museo Sans 300"/>
          <w:sz w:val="20"/>
          <w:szCs w:val="20"/>
        </w:rPr>
        <w:t>veinticuatro</w:t>
      </w:r>
      <w:r>
        <w:rPr>
          <w:rFonts w:ascii="Museo Sans 300" w:hAnsi="Museo Sans 300"/>
          <w:sz w:val="20"/>
          <w:szCs w:val="20"/>
        </w:rPr>
        <w:t xml:space="preserve"> y </w:t>
      </w:r>
      <w:r w:rsidR="00637FA5">
        <w:rPr>
          <w:rFonts w:ascii="Museo Sans 300" w:hAnsi="Museo Sans 300"/>
          <w:sz w:val="20"/>
          <w:szCs w:val="20"/>
        </w:rPr>
        <w:t>veinticinco</w:t>
      </w:r>
      <w:r>
        <w:rPr>
          <w:rFonts w:ascii="Museo Sans 300" w:hAnsi="Museo Sans 300"/>
          <w:sz w:val="20"/>
          <w:szCs w:val="20"/>
        </w:rPr>
        <w:t xml:space="preserve"> de agosto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37FA5">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y </w:t>
      </w:r>
      <w:r w:rsidR="00637FA5">
        <w:rPr>
          <w:rStyle w:val="normaltextrun"/>
          <w:rFonts w:ascii="Museo Sans 300" w:eastAsia="Museo Sans" w:hAnsi="Museo Sans 300" w:cs="Segoe UI"/>
          <w:sz w:val="20"/>
          <w:szCs w:val="20"/>
        </w:rPr>
        <w:t>veintiséis</w:t>
      </w:r>
      <w:r>
        <w:rPr>
          <w:rStyle w:val="normaltextrun"/>
          <w:rFonts w:ascii="Museo Sans 300" w:eastAsia="Museo Sans" w:hAnsi="Museo Sans 300" w:cs="Segoe UI"/>
          <w:sz w:val="20"/>
          <w:szCs w:val="20"/>
        </w:rPr>
        <w:t xml:space="preserve"> de septiembre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19812223"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y uno de agosto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34788684" w14:textId="2EF1319A" w:rsidR="00AA1BD9" w:rsidRDefault="00AA1BD9" w:rsidP="00AA1BD9">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veinticinco</w:t>
      </w:r>
      <w:r w:rsidRPr="00A56CC4">
        <w:rPr>
          <w:rFonts w:ascii="Museo Sans 300" w:hAnsi="Museo Sans 300"/>
          <w:sz w:val="20"/>
          <w:szCs w:val="20"/>
        </w:rPr>
        <w:t xml:space="preserve"> de </w:t>
      </w:r>
      <w:r>
        <w:rPr>
          <w:rFonts w:ascii="Museo Sans 300" w:hAnsi="Museo Sans 300"/>
          <w:sz w:val="20"/>
          <w:szCs w:val="20"/>
        </w:rPr>
        <w:t>octubre del año pasado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Pr>
          <w:rFonts w:ascii="Museo Sans 300" w:eastAsia="Arial" w:hAnsi="Museo Sans 300"/>
          <w:sz w:val="20"/>
          <w:szCs w:val="20"/>
          <w:lang w:eastAsia="es-SV"/>
        </w:rPr>
        <w:t xml:space="preserve"> M-1021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Pr>
          <w:rFonts w:ascii="Museo Sans 300" w:eastAsia="Arial" w:hAnsi="Museo Sans 300"/>
          <w:sz w:val="20"/>
          <w:szCs w:val="20"/>
          <w:lang w:eastAsia="es-SV"/>
        </w:rPr>
        <w:t>1629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ECD4621" w14:textId="77777777" w:rsidR="00AA1BD9" w:rsidRDefault="00AA1BD9" w:rsidP="00AA1BD9">
      <w:pPr>
        <w:pStyle w:val="Prrafodelista"/>
        <w:tabs>
          <w:tab w:val="left" w:pos="426"/>
        </w:tabs>
        <w:ind w:left="426"/>
        <w:jc w:val="both"/>
        <w:rPr>
          <w:rFonts w:ascii="Museo Sans 300" w:eastAsia="Arial" w:hAnsi="Museo Sans 300"/>
          <w:sz w:val="20"/>
          <w:szCs w:val="20"/>
          <w:lang w:eastAsia="es-SV"/>
        </w:rPr>
      </w:pPr>
    </w:p>
    <w:p w14:paraId="74082119" w14:textId="175AA5B2" w:rsidR="00AA1BD9" w:rsidRPr="00F11392"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2021-2022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tres de noviembre del dos mil veintidós</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se prorrogó el plazo al CAU para que rindiera el informe técnico requerido en el acuerdo N.° E-</w:t>
      </w:r>
      <w:r>
        <w:rPr>
          <w:rFonts w:ascii="Museo Sans 300" w:hAnsi="Museo Sans 300"/>
          <w:sz w:val="20"/>
          <w:szCs w:val="20"/>
        </w:rPr>
        <w:t>1629</w:t>
      </w:r>
      <w:r w:rsidRPr="00F11392">
        <w:rPr>
          <w:rFonts w:ascii="Museo Sans 300" w:hAnsi="Museo Sans 300"/>
          <w:sz w:val="20"/>
          <w:szCs w:val="20"/>
        </w:rPr>
        <w:t>-2022-CAU.</w:t>
      </w:r>
    </w:p>
    <w:p w14:paraId="76EAB65D" w14:textId="77777777" w:rsidR="00AA1BD9" w:rsidRDefault="00AA1BD9" w:rsidP="00AA1BD9">
      <w:pPr>
        <w:pStyle w:val="Prrafodelista"/>
        <w:tabs>
          <w:tab w:val="left" w:pos="426"/>
        </w:tabs>
        <w:ind w:left="426"/>
        <w:jc w:val="both"/>
        <w:rPr>
          <w:rFonts w:ascii="Museo Sans 300" w:hAnsi="Museo Sans 300"/>
          <w:sz w:val="20"/>
          <w:szCs w:val="20"/>
        </w:rPr>
      </w:pPr>
    </w:p>
    <w:p w14:paraId="2562F869" w14:textId="78C28B3F" w:rsidR="00AA1BD9"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las partes el día ocho de noviembre del mismo año.</w:t>
      </w:r>
    </w:p>
    <w:p w14:paraId="3850E5D9" w14:textId="128E831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26478A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A1BD9">
        <w:rPr>
          <w:rFonts w:ascii="Museo Sans 300" w:hAnsi="Museo Sans 300"/>
          <w:sz w:val="20"/>
          <w:szCs w:val="20"/>
        </w:rPr>
        <w:t>quince</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el CAU rindió el informe técnico N.° IT-</w:t>
      </w:r>
      <w:r w:rsidR="00AA1BD9">
        <w:rPr>
          <w:rFonts w:ascii="Museo Sans 300" w:hAnsi="Museo Sans 300"/>
          <w:sz w:val="20"/>
          <w:szCs w:val="20"/>
          <w:lang w:val="es-SV"/>
        </w:rPr>
        <w:t>0477</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1A37615" w:rsidR="00567F65" w:rsidRDefault="00567F65" w:rsidP="00567F65">
      <w:pPr>
        <w:spacing w:after="0" w:line="240" w:lineRule="auto"/>
        <w:ind w:left="426"/>
        <w:jc w:val="center"/>
        <w:rPr>
          <w:rFonts w:ascii="Museo Sans 300" w:hAnsi="Museo Sans 300"/>
          <w:sz w:val="20"/>
          <w:szCs w:val="20"/>
          <w:u w:val="single"/>
        </w:rPr>
      </w:pPr>
    </w:p>
    <w:p w14:paraId="7FF462D6" w14:textId="77777777" w:rsidR="009D1122" w:rsidRDefault="009D1122" w:rsidP="007D65C8">
      <w:pPr>
        <w:spacing w:after="0" w:line="240" w:lineRule="auto"/>
        <w:ind w:left="426"/>
        <w:jc w:val="both"/>
        <w:rPr>
          <w:rFonts w:ascii="Museo Sans 300" w:hAnsi="Museo Sans 300"/>
          <w:sz w:val="20"/>
          <w:szCs w:val="20"/>
          <w:u w:val="single"/>
        </w:rPr>
      </w:pPr>
      <w:bookmarkStart w:id="1"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3A25307" w14:textId="5E08B81F" w:rsidR="000C114E" w:rsidRPr="000C114E" w:rsidRDefault="008B7A00" w:rsidP="000C114E">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C114E">
        <w:rPr>
          <w:rFonts w:ascii="Museo 300" w:hAnsi="Museo 300"/>
          <w:sz w:val="16"/>
          <w:szCs w:val="16"/>
          <w:lang w:val="es-ES"/>
        </w:rPr>
        <w:t xml:space="preserve"> </w:t>
      </w:r>
      <w:r w:rsidR="000C114E" w:rsidRPr="000C114E">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23 de abril de 2022 con evidencias de una supuesta condición irregular que afectaba el correcto registro de consumo en el equipo de medición </w:t>
      </w:r>
      <w:proofErr w:type="spellStart"/>
      <w:r w:rsidR="000C114E" w:rsidRPr="000C114E">
        <w:rPr>
          <w:rFonts w:ascii="Museo 300" w:hAnsi="Museo 300"/>
          <w:sz w:val="16"/>
          <w:szCs w:val="16"/>
        </w:rPr>
        <w:t>n.°</w:t>
      </w:r>
      <w:proofErr w:type="spellEnd"/>
      <w:r w:rsidR="000C114E" w:rsidRPr="000C114E">
        <w:rPr>
          <w:rFonts w:ascii="Museo 300" w:hAnsi="Museo 300"/>
          <w:sz w:val="16"/>
          <w:szCs w:val="16"/>
        </w:rPr>
        <w:t xml:space="preserve"> </w:t>
      </w:r>
      <w:proofErr w:type="spellStart"/>
      <w:r w:rsidR="00D93E40">
        <w:rPr>
          <w:rFonts w:ascii="Museo 300" w:hAnsi="Museo 300"/>
          <w:sz w:val="16"/>
          <w:szCs w:val="16"/>
        </w:rPr>
        <w:t>xxxx</w:t>
      </w:r>
      <w:proofErr w:type="spellEnd"/>
      <w:r w:rsidR="000C114E" w:rsidRPr="000C114E">
        <w:rPr>
          <w:rFonts w:ascii="Museo 300" w:hAnsi="Museo 300"/>
          <w:sz w:val="16"/>
          <w:szCs w:val="16"/>
        </w:rPr>
        <w:t xml:space="preserve">.     </w:t>
      </w:r>
    </w:p>
    <w:p w14:paraId="49CA4186" w14:textId="77777777" w:rsidR="000C114E" w:rsidRPr="000C114E" w:rsidRDefault="000C114E" w:rsidP="000C114E">
      <w:pPr>
        <w:ind w:left="709" w:right="709"/>
        <w:jc w:val="both"/>
        <w:rPr>
          <w:rFonts w:ascii="Museo 300" w:hAnsi="Museo 300"/>
          <w:color w:val="000000" w:themeColor="text1"/>
          <w:sz w:val="16"/>
          <w:szCs w:val="16"/>
        </w:rPr>
      </w:pPr>
      <w:r w:rsidRPr="000C114E">
        <w:rPr>
          <w:rFonts w:ascii="Museo 300" w:hAnsi="Museo 300"/>
          <w:sz w:val="16"/>
          <w:szCs w:val="16"/>
        </w:rPr>
        <w:lastRenderedPageBreak/>
        <w:t>De las pruebas presentadas relacionadas a la condición detectada por EEO, el CAU ha determinado lo siguiente:</w:t>
      </w:r>
    </w:p>
    <w:p w14:paraId="6F40860C" w14:textId="77777777" w:rsidR="000C114E" w:rsidRPr="000C114E" w:rsidRDefault="000C114E" w:rsidP="000C114E">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0C114E">
        <w:rPr>
          <w:rFonts w:ascii="Museo 300" w:hAnsi="Museo 300"/>
          <w:color w:val="000000" w:themeColor="text1"/>
          <w:sz w:val="16"/>
          <w:szCs w:val="16"/>
        </w:rPr>
        <w:t>Se ha comprobado que en el suministro existió una conexión de una línea directa, intercalada o en derivación, la cual era para un nivel de tensión a 120 voltios y que estaba empalmada desde la acometida de la distribuidora la cual ingresaba a la vivienda, con la finalidad de que el medidor no registrara el total de la energía demandada por los equipos eléctricos.</w:t>
      </w:r>
    </w:p>
    <w:p w14:paraId="15AA175C" w14:textId="77777777" w:rsidR="000C114E" w:rsidRPr="000C114E" w:rsidRDefault="000C114E" w:rsidP="000C114E">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0C114E">
        <w:rPr>
          <w:rFonts w:ascii="Museo 300" w:hAnsi="Museo 300"/>
          <w:color w:val="000000" w:themeColor="text1"/>
          <w:sz w:val="16"/>
          <w:szCs w:val="16"/>
        </w:rPr>
        <w:t>Personal de la distribuidora registró una corriente instantánea en la acometida, antes del punto de conexión de la línea directa, aparentemente por un valor de 14.71 amperios. También se muestra la corriente instantánea medida a la entrada del medidor y que estaba siendo registrada por este esquipo, como se muestra en la fotografía # 3.</w:t>
      </w:r>
    </w:p>
    <w:p w14:paraId="21B1B93C" w14:textId="77777777" w:rsidR="000C114E" w:rsidRPr="000C114E" w:rsidRDefault="000C114E" w:rsidP="000C114E">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0C114E">
        <w:rPr>
          <w:rFonts w:ascii="Museo 300" w:hAnsi="Museo 300"/>
          <w:color w:val="000000" w:themeColor="text1"/>
          <w:sz w:val="16"/>
          <w:szCs w:val="16"/>
        </w:rPr>
        <w:t>Cabe señalar que la empresa distribuidora, no pudo determinar la cantidad y características de los equipos eléctricos que eran alimentados desde la línea directa, sin embargo, por las evidencias presentadas, se determina que en el suministro existió una condición irregular.</w:t>
      </w:r>
    </w:p>
    <w:p w14:paraId="48246855" w14:textId="0637FF78" w:rsidR="00D77F9D" w:rsidRPr="00AF7ED9" w:rsidRDefault="000C114E" w:rsidP="000C114E">
      <w:pPr>
        <w:ind w:left="709" w:right="709"/>
        <w:jc w:val="both"/>
        <w:rPr>
          <w:rFonts w:ascii="Museo 300" w:hAnsi="Museo 300"/>
          <w:sz w:val="16"/>
          <w:szCs w:val="16"/>
        </w:rPr>
      </w:pPr>
      <w:r w:rsidRPr="000C114E">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9719D81" w14:textId="77777777" w:rsidR="00965413" w:rsidRDefault="00965413" w:rsidP="00965413">
      <w:pPr>
        <w:ind w:left="709" w:right="709"/>
        <w:jc w:val="both"/>
        <w:rPr>
          <w:rFonts w:ascii="Museo Sans 300" w:hAnsi="Museo Sans 300"/>
          <w:color w:val="000000" w:themeColor="text1"/>
        </w:rPr>
      </w:pPr>
      <w:r w:rsidRPr="00965413">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r w:rsidRPr="00FE49AC">
        <w:rPr>
          <w:rFonts w:ascii="Museo Sans 300" w:hAnsi="Museo Sans 300"/>
          <w:color w:val="000000" w:themeColor="text1"/>
        </w:rPr>
        <w:t>.</w:t>
      </w:r>
    </w:p>
    <w:p w14:paraId="3454F06D" w14:textId="77777777" w:rsidR="00965413" w:rsidRPr="00965413" w:rsidRDefault="00965413" w:rsidP="00965413">
      <w:pPr>
        <w:ind w:left="709" w:right="709"/>
        <w:jc w:val="both"/>
        <w:rPr>
          <w:rFonts w:ascii="Museo 300" w:hAnsi="Museo 300"/>
          <w:color w:val="000000" w:themeColor="text1"/>
          <w:sz w:val="16"/>
          <w:szCs w:val="16"/>
        </w:rPr>
      </w:pPr>
      <w:r w:rsidRPr="00965413">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42ACD87" w14:textId="5F5AD18F" w:rsidR="00965413" w:rsidRDefault="00965413" w:rsidP="00965413">
      <w:pPr>
        <w:ind w:left="709" w:right="709"/>
        <w:jc w:val="both"/>
        <w:rPr>
          <w:rFonts w:ascii="Museo 300" w:hAnsi="Museo 300"/>
          <w:color w:val="000000" w:themeColor="text1"/>
          <w:sz w:val="16"/>
          <w:szCs w:val="16"/>
        </w:rPr>
      </w:pPr>
      <w:r w:rsidRPr="00A703D4">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3A2655FB" w14:textId="0FEF8D36" w:rsidR="00A703D4" w:rsidRPr="00A703D4" w:rsidRDefault="00A703D4" w:rsidP="00965413">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09B3E464" w14:textId="77777777" w:rsidR="00965413" w:rsidRPr="00353CB4" w:rsidRDefault="00965413" w:rsidP="00A703D4">
      <w:pPr>
        <w:numPr>
          <w:ilvl w:val="0"/>
          <w:numId w:val="8"/>
        </w:numPr>
        <w:spacing w:line="240" w:lineRule="auto"/>
        <w:ind w:right="709"/>
        <w:jc w:val="both"/>
        <w:rPr>
          <w:rStyle w:val="normaltextrun"/>
          <w:rFonts w:ascii="Museo 300" w:hAnsi="Museo 300"/>
          <w:color w:val="000000" w:themeColor="text1"/>
          <w:sz w:val="16"/>
          <w:szCs w:val="16"/>
        </w:rPr>
      </w:pPr>
      <w:r w:rsidRPr="00353CB4">
        <w:rPr>
          <w:rStyle w:val="normaltextrun"/>
          <w:rFonts w:ascii="Museo 300" w:hAnsi="Museo 300"/>
          <w:color w:val="000000"/>
          <w:sz w:val="16"/>
          <w:szCs w:val="16"/>
          <w:shd w:val="clear" w:color="auto" w:fill="FFFFFF"/>
        </w:rPr>
        <w:t>Debido que se cuenta con un registro histórico de consumo representativo de la carga utilizada fuera de medición, el método por utilizar será el establecido en el artículo 5.2 literal a) del Procedimiento para Investigar la Existencia de Condiciones Irregulares, de tal manera que se utilizará como promedio mensual, el consumo registrado en el mes de diciembre de 2021 y enero de 2022, resultando de 443 kWh, como base de la energía a recuperar</w:t>
      </w:r>
    </w:p>
    <w:p w14:paraId="0FF91523" w14:textId="36FC7879" w:rsidR="00965413" w:rsidRPr="00A703D4" w:rsidRDefault="00965413" w:rsidP="00965413">
      <w:pPr>
        <w:numPr>
          <w:ilvl w:val="0"/>
          <w:numId w:val="8"/>
        </w:numPr>
        <w:spacing w:line="240" w:lineRule="auto"/>
        <w:ind w:right="709"/>
        <w:jc w:val="both"/>
        <w:rPr>
          <w:rFonts w:ascii="Museo 300" w:hAnsi="Museo 300"/>
          <w:color w:val="000000" w:themeColor="text1"/>
          <w:sz w:val="16"/>
          <w:szCs w:val="16"/>
        </w:rPr>
      </w:pPr>
      <w:r w:rsidRPr="00A703D4">
        <w:rPr>
          <w:rFonts w:ascii="Museo 300" w:hAnsi="Museo 300"/>
          <w:color w:val="000000" w:themeColor="text1"/>
          <w:sz w:val="16"/>
          <w:szCs w:val="16"/>
        </w:rPr>
        <w:t>Por otra parte, en el caso ventilado previamente en esta superintendencia por la misma causa en este mismo inmueble, se estableció que el consumo registrado en los meses de diciembre 2021 y enero de 2022 eran correctos, ya que estos reflejaban el consumo de la carga fuera de medición y dado que estos meses fueron incluidos por la distribuidora en el periodo a recuperar, es procedente modificar el periodo retroactivo de recuperación a 107 días, comprendidos desde el 6 de enero hasta el 23 de abril de 2022,</w:t>
      </w:r>
      <w:r w:rsidRPr="00A703D4">
        <w:rPr>
          <w:rFonts w:ascii="Museo 300" w:eastAsia="Times New Roman" w:hAnsi="Museo 300"/>
          <w:color w:val="000000"/>
          <w:sz w:val="16"/>
          <w:szCs w:val="16"/>
          <w:shd w:val="clear" w:color="auto" w:fill="FFFFFF"/>
          <w:lang w:eastAsia="es-SV"/>
        </w:rPr>
        <w:t xml:space="preserve"> fecha en que EEO normalizó el suministro por segunda ocasión.</w:t>
      </w:r>
    </w:p>
    <w:p w14:paraId="515811D3" w14:textId="0C4B0FD1" w:rsidR="008F626E" w:rsidRPr="00A703D4" w:rsidRDefault="00965413" w:rsidP="00A703D4">
      <w:pPr>
        <w:ind w:left="709" w:right="709"/>
        <w:jc w:val="both"/>
        <w:rPr>
          <w:rStyle w:val="normaltextrun"/>
          <w:rFonts w:ascii="Museo 300" w:hAnsi="Museo 300"/>
          <w:color w:val="000000" w:themeColor="text1"/>
          <w:sz w:val="16"/>
          <w:szCs w:val="16"/>
        </w:rPr>
      </w:pPr>
      <w:r w:rsidRPr="00A703D4">
        <w:rPr>
          <w:rFonts w:ascii="Museo 300" w:hAnsi="Museo 300"/>
          <w:sz w:val="16"/>
          <w:szCs w:val="16"/>
        </w:rPr>
        <w:t>Con base en l</w:t>
      </w:r>
      <w:r w:rsidRPr="00A703D4">
        <w:rPr>
          <w:rFonts w:ascii="Museo 300" w:hAnsi="Museo 300"/>
          <w:color w:val="000000" w:themeColor="text1"/>
          <w:sz w:val="16"/>
          <w:szCs w:val="16"/>
        </w:rPr>
        <w:t xml:space="preserve">os parámetros antes mencionados y los criterios utilizados por el CAU de acuerdo con la normativa vigente, se estableció que el monto de la ENR máximo al que tiene derecho EEO a recuperar corresponde a 1016 kWh, equivalente a la cantidad de </w:t>
      </w:r>
      <w:bookmarkStart w:id="2" w:name="_Hlk121934283"/>
      <w:r w:rsidRPr="00A703D4">
        <w:rPr>
          <w:rFonts w:ascii="Museo 300" w:hAnsi="Museo 300"/>
          <w:color w:val="000000" w:themeColor="text1"/>
          <w:sz w:val="16"/>
          <w:szCs w:val="16"/>
        </w:rPr>
        <w:t>doscientos setenta y dos73/100 dólares de los Estados Unidos de América (USD 272.73)</w:t>
      </w:r>
      <w:bookmarkEnd w:id="2"/>
      <w:r w:rsidRPr="00A703D4">
        <w:rPr>
          <w:rFonts w:ascii="Museo 300" w:hAnsi="Museo 300"/>
          <w:b/>
          <w:bCs/>
          <w:color w:val="000000" w:themeColor="text1"/>
          <w:sz w:val="16"/>
          <w:szCs w:val="16"/>
        </w:rPr>
        <w:t xml:space="preserve"> </w:t>
      </w:r>
      <w:r w:rsidRPr="00A703D4">
        <w:rPr>
          <w:rFonts w:ascii="Museo 300" w:hAnsi="Museo 300"/>
          <w:color w:val="000000" w:themeColor="text1"/>
          <w:sz w:val="16"/>
          <w:szCs w:val="16"/>
        </w:rPr>
        <w:t>IVA incluido c</w:t>
      </w:r>
      <w:r w:rsidRPr="00A703D4">
        <w:rPr>
          <w:rFonts w:ascii="Museo 300" w:hAnsi="Museo 300"/>
          <w:sz w:val="16"/>
          <w:szCs w:val="16"/>
        </w:rPr>
        <w:t>omo</w:t>
      </w:r>
      <w:r w:rsidRPr="00A703D4">
        <w:rPr>
          <w:rFonts w:ascii="Museo 300" w:hAnsi="Museo 300"/>
          <w:color w:val="000000" w:themeColor="text1"/>
          <w:sz w:val="16"/>
          <w:szCs w:val="16"/>
        </w:rPr>
        <w:t xml:space="preserve"> se detalla a continuación</w:t>
      </w:r>
      <w:r w:rsidR="008F626E" w:rsidRPr="008F626E">
        <w:rPr>
          <w:rStyle w:val="normaltextrun"/>
          <w:rFonts w:ascii="Museo 300" w:hAnsi="Museo 300"/>
          <w:color w:val="000000"/>
          <w:sz w:val="16"/>
          <w:szCs w:val="16"/>
        </w:rPr>
        <w:t>.</w:t>
      </w:r>
      <w:r w:rsidR="008F626E">
        <w:rPr>
          <w:rStyle w:val="normaltextrun"/>
          <w:rFonts w:ascii="Museo 300" w:hAnsi="Museo 300"/>
          <w:color w:val="000000"/>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F14178C" w14:textId="2560D174" w:rsidR="004A5DC7" w:rsidRPr="004A5DC7" w:rsidRDefault="00B649AE" w:rsidP="004A5DC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A5DC7">
        <w:rPr>
          <w:rFonts w:ascii="Museo 300" w:hAnsi="Museo 300"/>
          <w:sz w:val="16"/>
          <w:szCs w:val="16"/>
        </w:rPr>
        <w:t xml:space="preserve"> </w:t>
      </w:r>
      <w:r w:rsidR="004A5DC7" w:rsidRPr="004A5DC7">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D93E40">
        <w:rPr>
          <w:rFonts w:ascii="Museo 300" w:hAnsi="Museo 300"/>
          <w:sz w:val="16"/>
          <w:szCs w:val="16"/>
        </w:rPr>
        <w:t>xxxx</w:t>
      </w:r>
      <w:proofErr w:type="spellEnd"/>
      <w:r w:rsidR="004A5DC7" w:rsidRPr="004A5DC7">
        <w:rPr>
          <w:rFonts w:ascii="Museo 300" w:hAnsi="Museo 300"/>
          <w:sz w:val="16"/>
          <w:szCs w:val="16"/>
        </w:rPr>
        <w:t>, consistente</w:t>
      </w:r>
      <w:r w:rsidR="004A5DC7" w:rsidRPr="004A5DC7">
        <w:rPr>
          <w:rFonts w:ascii="Museo 300" w:hAnsi="Museo 300"/>
          <w:color w:val="000000" w:themeColor="text1"/>
          <w:sz w:val="16"/>
          <w:szCs w:val="16"/>
        </w:rPr>
        <w:t xml:space="preserve"> en una línea directa, intercalada o en derivación, por lo que el equipo de medición dejó de registrar el total de la energía </w:t>
      </w:r>
      <w:r w:rsidR="004A5DC7" w:rsidRPr="004A5DC7">
        <w:rPr>
          <w:rFonts w:ascii="Museo 300" w:hAnsi="Museo 300"/>
          <w:color w:val="000000" w:themeColor="text1"/>
          <w:sz w:val="16"/>
          <w:szCs w:val="16"/>
        </w:rPr>
        <w:lastRenderedPageBreak/>
        <w:t xml:space="preserve">demandada en el inmueble; </w:t>
      </w:r>
      <w:r w:rsidR="004A5DC7" w:rsidRPr="004A5DC7">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36074DB0" w14:textId="77777777" w:rsidR="00063938" w:rsidRPr="00063938" w:rsidRDefault="00063938" w:rsidP="00063938">
      <w:pPr>
        <w:pStyle w:val="Prrafodelista"/>
        <w:numPr>
          <w:ilvl w:val="0"/>
          <w:numId w:val="9"/>
        </w:numPr>
        <w:spacing w:after="200"/>
        <w:ind w:left="1418" w:right="708"/>
        <w:jc w:val="both"/>
        <w:textAlignment w:val="auto"/>
        <w:rPr>
          <w:rFonts w:ascii="Museo 300" w:hAnsi="Museo 300" w:cs="Arial"/>
          <w:sz w:val="16"/>
          <w:szCs w:val="16"/>
        </w:rPr>
      </w:pPr>
      <w:r w:rsidRPr="00063938">
        <w:rPr>
          <w:rFonts w:ascii="Museo 300" w:hAnsi="Museo 300" w:cs="Arial"/>
          <w:sz w:val="16"/>
          <w:szCs w:val="16"/>
        </w:rPr>
        <w:t>Conforme con el análisis efectuado en el presente informe, se establece que la cantidad de 3,813 equivalentes a mil cuarenta y tres 65/100 dólares de los Estados Unidos de América (USD 1043.65) IVA incluido, cobrados por la distribuidora EEO en concepto de ENR deben de rectificarse.</w:t>
      </w:r>
    </w:p>
    <w:p w14:paraId="4BAB16C4" w14:textId="2E531B16" w:rsidR="00562498" w:rsidRPr="00353CB4" w:rsidRDefault="00063938" w:rsidP="00063938">
      <w:pPr>
        <w:pStyle w:val="Prrafodelista"/>
        <w:numPr>
          <w:ilvl w:val="0"/>
          <w:numId w:val="9"/>
        </w:numPr>
        <w:spacing w:after="200"/>
        <w:ind w:left="1418" w:right="708"/>
        <w:jc w:val="both"/>
        <w:textAlignment w:val="auto"/>
        <w:rPr>
          <w:rFonts w:ascii="Museo 300" w:hAnsi="Museo 300" w:cs="Arial"/>
          <w:sz w:val="16"/>
          <w:szCs w:val="16"/>
        </w:rPr>
      </w:pPr>
      <w:r w:rsidRPr="00063938">
        <w:rPr>
          <w:rFonts w:ascii="Museo 300" w:hAnsi="Museo 300" w:cs="Arial"/>
          <w:sz w:val="16"/>
          <w:szCs w:val="16"/>
        </w:rPr>
        <w:t xml:space="preserve">Se establece que el monto a recuperar por parte de EEO en concepto de energía no registrada, asciende a 1,016 kWh, equivalentes a la </w:t>
      </w:r>
      <w:r w:rsidRPr="00063938">
        <w:rPr>
          <w:rFonts w:ascii="Museo 300" w:hAnsi="Museo 300" w:cs="Arial"/>
          <w:color w:val="000000" w:themeColor="text1"/>
          <w:sz w:val="16"/>
          <w:szCs w:val="16"/>
        </w:rPr>
        <w:t>cantidad de doscientos setenta y dos 73/100 dólares de los Estados Unidos de América (USD 272.73)</w:t>
      </w:r>
      <w:r w:rsidRPr="00063938">
        <w:rPr>
          <w:rFonts w:ascii="Museo 300" w:hAnsi="Museo 300" w:cs="Arial"/>
          <w:b/>
          <w:bCs/>
          <w:color w:val="000000" w:themeColor="text1"/>
          <w:sz w:val="16"/>
          <w:szCs w:val="16"/>
        </w:rPr>
        <w:t xml:space="preserve"> </w:t>
      </w:r>
      <w:r w:rsidRPr="00063938">
        <w:rPr>
          <w:rFonts w:ascii="Museo 300" w:hAnsi="Museo 300" w:cs="Arial"/>
          <w:color w:val="000000" w:themeColor="text1"/>
          <w:sz w:val="16"/>
          <w:szCs w:val="16"/>
        </w:rPr>
        <w:t>IVA incluido</w:t>
      </w:r>
      <w:r w:rsidRPr="00063938">
        <w:rPr>
          <w:rFonts w:ascii="Museo 300" w:hAnsi="Museo 300" w:cs="Arial"/>
          <w:sz w:val="16"/>
          <w:szCs w:val="16"/>
        </w:rPr>
        <w:t xml:space="preserve">. </w:t>
      </w:r>
      <w:r w:rsidRPr="00063938">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00CD4DE4" w:rsidRPr="00063938">
        <w:rPr>
          <w:rFonts w:ascii="Museo 300" w:hAnsi="Museo 300" w:cs="Arial"/>
          <w:sz w:val="16"/>
          <w:szCs w:val="16"/>
        </w:rPr>
        <w:t>.</w:t>
      </w:r>
      <w:r w:rsidR="008479DB" w:rsidRPr="00063938">
        <w:rPr>
          <w:rFonts w:ascii="Museo 300" w:hAnsi="Museo 300" w:cs="Arial"/>
          <w:sz w:val="16"/>
          <w:szCs w:val="16"/>
        </w:rPr>
        <w:t xml:space="preserve"> </w:t>
      </w:r>
      <w:r w:rsidR="00562498" w:rsidRPr="00063938">
        <w:rPr>
          <w:rFonts w:ascii="Museo 300" w:eastAsia="Arial" w:hAnsi="Museo 300"/>
          <w:color w:val="000000" w:themeColor="text1"/>
          <w:sz w:val="16"/>
          <w:szCs w:val="16"/>
        </w:rPr>
        <w:t>[…]</w:t>
      </w:r>
      <w:r w:rsidR="00914F6D" w:rsidRPr="0006393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8A8315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Pr>
          <w:rFonts w:ascii="Museo Sans 300" w:hAnsi="Museo Sans 300"/>
          <w:sz w:val="20"/>
          <w:szCs w:val="20"/>
        </w:rPr>
        <w:t>1</w:t>
      </w:r>
      <w:r w:rsidR="003E17FF">
        <w:rPr>
          <w:rFonts w:ascii="Museo Sans 300" w:hAnsi="Museo Sans 300"/>
          <w:sz w:val="20"/>
          <w:szCs w:val="20"/>
        </w:rPr>
        <w:t>629</w:t>
      </w:r>
      <w:r w:rsidRPr="00ED0C0B">
        <w:rPr>
          <w:rFonts w:ascii="Museo Sans 300" w:hAnsi="Museo Sans 300"/>
          <w:sz w:val="20"/>
          <w:szCs w:val="20"/>
        </w:rPr>
        <w:t>-2022-CAU, se remitió a las partes copia del informe técnico N.° IT-</w:t>
      </w:r>
      <w:r w:rsidR="00AA1BD9">
        <w:rPr>
          <w:rFonts w:ascii="Museo Sans 300" w:hAnsi="Museo Sans 300"/>
          <w:sz w:val="20"/>
          <w:szCs w:val="20"/>
        </w:rPr>
        <w:t>0477</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011370D0"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3E17FF">
        <w:rPr>
          <w:rFonts w:ascii="Museo Sans 300" w:hAnsi="Museo Sans 300" w:cs="Segoe UI"/>
          <w:sz w:val="20"/>
          <w:szCs w:val="20"/>
        </w:rPr>
        <w:t>veintidós</w:t>
      </w:r>
      <w:r>
        <w:rPr>
          <w:rFonts w:ascii="Museo Sans 300" w:hAnsi="Museo Sans 300" w:cs="Segoe UI"/>
          <w:sz w:val="20"/>
          <w:szCs w:val="20"/>
        </w:rPr>
        <w:t xml:space="preserve"> de diciembre del año pasado,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3E17FF">
        <w:rPr>
          <w:rFonts w:ascii="Museo Sans 300" w:hAnsi="Museo Sans 300" w:cs="Segoe UI"/>
          <w:sz w:val="20"/>
          <w:szCs w:val="20"/>
        </w:rPr>
        <w:t>trece</w:t>
      </w:r>
      <w:r>
        <w:rPr>
          <w:rFonts w:ascii="Museo Sans 300" w:hAnsi="Museo Sans 300" w:cs="Segoe UI"/>
          <w:sz w:val="20"/>
          <w:szCs w:val="20"/>
        </w:rPr>
        <w:t xml:space="preserve"> de enero del presente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AE8EFB0" w14:textId="094149A0"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607C4">
        <w:rPr>
          <w:rFonts w:ascii="Museo Sans 300" w:hAnsi="Museo Sans 300"/>
          <w:sz w:val="20"/>
          <w:szCs w:val="20"/>
          <w:lang w:val="es-SV"/>
        </w:rPr>
        <w:t>diez</w:t>
      </w:r>
      <w:r>
        <w:rPr>
          <w:rFonts w:ascii="Museo Sans 300" w:hAnsi="Museo Sans 300"/>
          <w:sz w:val="20"/>
          <w:szCs w:val="20"/>
          <w:lang w:val="es-SV"/>
        </w:rPr>
        <w:t xml:space="preserve"> de </w:t>
      </w:r>
      <w:r w:rsidR="006607C4">
        <w:rPr>
          <w:rFonts w:ascii="Museo Sans 300" w:hAnsi="Museo Sans 300"/>
          <w:sz w:val="20"/>
          <w:szCs w:val="20"/>
          <w:lang w:val="es-SV"/>
        </w:rPr>
        <w:t>enero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01E1C48"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1E2F9A33" w14:textId="77777777" w:rsidR="00C06FD5" w:rsidRDefault="00C06FD5"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03BE52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93E40">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F08EEE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A1BD9">
        <w:rPr>
          <w:rFonts w:ascii="Museo Sans 300" w:hAnsi="Museo Sans 300" w:cs="Times New Roman"/>
          <w:sz w:val="20"/>
          <w:szCs w:val="20"/>
        </w:rPr>
        <w:t>0477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063D506" w14:textId="751D4842" w:rsidR="00AA0B12" w:rsidRPr="00AA0B12" w:rsidRDefault="00C34300" w:rsidP="00AA0B1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AA0B12">
        <w:rPr>
          <w:rFonts w:ascii="Museo 300" w:hAnsi="Museo 300"/>
          <w:sz w:val="16"/>
          <w:szCs w:val="16"/>
          <w:lang w:val="es-ES"/>
        </w:rPr>
        <w:t xml:space="preserve"> </w:t>
      </w:r>
      <w:r w:rsidR="00AA0B12" w:rsidRPr="00AA0B12">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23 de abril de 2022 con evidencias de una supuesta condición irregular que afectaba el correcto registro de consumo en el equipo de medición </w:t>
      </w:r>
      <w:proofErr w:type="spellStart"/>
      <w:r w:rsidR="00AA0B12" w:rsidRPr="00AA0B12">
        <w:rPr>
          <w:rFonts w:ascii="Museo 300" w:hAnsi="Museo 300"/>
          <w:sz w:val="16"/>
          <w:szCs w:val="16"/>
        </w:rPr>
        <w:t>n.°</w:t>
      </w:r>
      <w:proofErr w:type="spellEnd"/>
      <w:r w:rsidR="00AA0B12" w:rsidRPr="00AA0B12">
        <w:rPr>
          <w:rFonts w:ascii="Museo 300" w:hAnsi="Museo 300"/>
          <w:sz w:val="16"/>
          <w:szCs w:val="16"/>
        </w:rPr>
        <w:t xml:space="preserve"> </w:t>
      </w:r>
      <w:proofErr w:type="spellStart"/>
      <w:r w:rsidR="00C06FD5">
        <w:rPr>
          <w:rFonts w:ascii="Museo 300" w:hAnsi="Museo 300"/>
          <w:sz w:val="16"/>
          <w:szCs w:val="16"/>
        </w:rPr>
        <w:t>xxxx</w:t>
      </w:r>
      <w:proofErr w:type="spellEnd"/>
      <w:r w:rsidR="00AA0B12" w:rsidRPr="00AA0B12">
        <w:rPr>
          <w:rFonts w:ascii="Museo 300" w:hAnsi="Museo 300"/>
          <w:sz w:val="16"/>
          <w:szCs w:val="16"/>
        </w:rPr>
        <w:t xml:space="preserve">. </w:t>
      </w:r>
      <w:r w:rsidR="00AA0B12">
        <w:rPr>
          <w:rFonts w:ascii="Museo 300" w:hAnsi="Museo 300"/>
          <w:sz w:val="16"/>
          <w:szCs w:val="16"/>
        </w:rPr>
        <w:t>(…)</w:t>
      </w:r>
      <w:r w:rsidR="00AA0B12" w:rsidRPr="00AA0B12">
        <w:rPr>
          <w:rFonts w:ascii="Museo 300" w:hAnsi="Museo 300"/>
          <w:sz w:val="16"/>
          <w:szCs w:val="16"/>
        </w:rPr>
        <w:t xml:space="preserve">    </w:t>
      </w:r>
    </w:p>
    <w:p w14:paraId="4DC82805" w14:textId="47FF3922" w:rsidR="00C34300" w:rsidRPr="001007A8" w:rsidRDefault="000B4D37" w:rsidP="000B4D37">
      <w:pPr>
        <w:tabs>
          <w:tab w:val="left" w:pos="993"/>
          <w:tab w:val="left" w:pos="9072"/>
        </w:tabs>
        <w:spacing w:line="240" w:lineRule="auto"/>
        <w:ind w:left="993" w:right="709"/>
        <w:jc w:val="both"/>
        <w:rPr>
          <w:rFonts w:ascii="Museo 300" w:hAnsi="Museo 300"/>
          <w:sz w:val="16"/>
          <w:szCs w:val="16"/>
        </w:rPr>
      </w:pPr>
      <w:r w:rsidRPr="000B4D37">
        <w:rPr>
          <w:rFonts w:ascii="Museo 300" w:hAnsi="Museo 300"/>
          <w:sz w:val="16"/>
          <w:szCs w:val="16"/>
        </w:rPr>
        <w:t xml:space="preserve">Con base en las pruebas analizadas, el CAU determina que la sociedad EEO cuenta con la evidencia fehaciente que demuestra que en el suministro en referencia existió una condición irregular que afectó el registro correcto </w:t>
      </w:r>
      <w:r w:rsidRPr="000B4D37">
        <w:rPr>
          <w:rFonts w:ascii="Museo 300" w:hAnsi="Museo 300"/>
          <w:sz w:val="16"/>
          <w:szCs w:val="16"/>
        </w:rPr>
        <w:lastRenderedPageBreak/>
        <w:t>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9B5DF0" w:rsidRPr="009B5DF0">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736C0B25"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C06FD5">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E1DB708" w14:textId="070400B6" w:rsidR="00212241" w:rsidRPr="005E1609" w:rsidRDefault="00CC62A8"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4" w:name="_Hlk105830074"/>
      <w:r w:rsidRPr="00F17972">
        <w:rPr>
          <w:rFonts w:ascii="Museo Sans 300" w:hAnsi="Museo Sans 300"/>
          <w:sz w:val="20"/>
          <w:szCs w:val="20"/>
        </w:rPr>
        <w:t>Conforme lo anterior, el CAU concluyó en el informe técnico N.° IT-</w:t>
      </w:r>
      <w:r w:rsidR="00AA1BD9">
        <w:rPr>
          <w:rFonts w:ascii="Museo Sans 300" w:hAnsi="Museo Sans 300"/>
          <w:sz w:val="20"/>
          <w:szCs w:val="20"/>
        </w:rPr>
        <w:t>0477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212241">
        <w:rPr>
          <w:rStyle w:val="normaltextrun"/>
          <w:rFonts w:ascii="Cambria Math" w:hAnsi="Cambria Math" w:cs="Cambria Math"/>
          <w:color w:val="000000"/>
          <w:sz w:val="20"/>
          <w:szCs w:val="20"/>
          <w:shd w:val="clear" w:color="auto" w:fill="FFFFFF"/>
        </w:rPr>
        <w:t> </w:t>
      </w:r>
      <w:r w:rsidR="00212241">
        <w:rPr>
          <w:rStyle w:val="eop"/>
          <w:rFonts w:ascii="Museo Sans 300" w:hAnsi="Museo Sans 300"/>
          <w:sz w:val="20"/>
          <w:szCs w:val="20"/>
          <w:shd w:val="clear" w:color="auto" w:fill="FFFFFF"/>
        </w:rPr>
        <w:t> </w:t>
      </w:r>
    </w:p>
    <w:p w14:paraId="08F85843" w14:textId="77777777" w:rsidR="00212241" w:rsidRDefault="00212241"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AA7FB4" w14:textId="3F8C00AE" w:rsidR="000129AB" w:rsidRPr="00450679" w:rsidRDefault="000129AB" w:rsidP="000129AB">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 corriente instantánea medida en la línea directa, por las razones siguientes:</w:t>
      </w:r>
    </w:p>
    <w:p w14:paraId="79F22668" w14:textId="77777777" w:rsidR="000129AB" w:rsidRDefault="000129AB" w:rsidP="000129AB">
      <w:pPr>
        <w:autoSpaceDE w:val="0"/>
        <w:spacing w:after="0" w:line="240" w:lineRule="auto"/>
        <w:ind w:left="426"/>
        <w:jc w:val="both"/>
        <w:rPr>
          <w:rFonts w:ascii="Museo Sans 300" w:hAnsi="Museo Sans 300"/>
          <w:sz w:val="20"/>
          <w:szCs w:val="20"/>
        </w:rPr>
      </w:pPr>
    </w:p>
    <w:p w14:paraId="5E22AA8B" w14:textId="77777777" w:rsidR="000129AB" w:rsidRDefault="000129AB" w:rsidP="000129AB">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0F7F27B7" w14:textId="77777777" w:rsidR="000129AB" w:rsidRDefault="000129AB"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1C2348C9" w14:textId="77777777" w:rsidR="000129AB" w:rsidRDefault="000129AB" w:rsidP="000129AB">
      <w:pPr>
        <w:autoSpaceDE w:val="0"/>
        <w:spacing w:after="0" w:line="240" w:lineRule="auto"/>
        <w:ind w:left="993"/>
        <w:jc w:val="both"/>
        <w:rPr>
          <w:rStyle w:val="normaltextrun"/>
          <w:rFonts w:ascii="Museo Sans 300" w:hAnsi="Museo Sans 300"/>
          <w:color w:val="000000"/>
          <w:sz w:val="20"/>
          <w:szCs w:val="20"/>
          <w:shd w:val="clear" w:color="auto" w:fill="FFFFFF"/>
        </w:rPr>
      </w:pPr>
    </w:p>
    <w:p w14:paraId="376592EF" w14:textId="77777777" w:rsidR="000129AB" w:rsidRDefault="000129AB" w:rsidP="000129A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4EC2A035" w14:textId="77777777" w:rsidR="000129AB" w:rsidRDefault="000129AB" w:rsidP="000129AB">
      <w:pPr>
        <w:suppressAutoHyphens w:val="0"/>
        <w:autoSpaceDN/>
        <w:spacing w:after="0" w:line="240" w:lineRule="auto"/>
        <w:ind w:left="420"/>
        <w:jc w:val="both"/>
        <w:rPr>
          <w:rFonts w:ascii="Museo Sans 300" w:eastAsia="Times New Roman" w:hAnsi="Museo Sans 300" w:cs="Times New Roman"/>
          <w:sz w:val="20"/>
          <w:szCs w:val="20"/>
        </w:rPr>
      </w:pPr>
    </w:p>
    <w:p w14:paraId="1B88F2BD" w14:textId="1CB9B5E2" w:rsidR="000129AB" w:rsidRPr="006D47A6" w:rsidRDefault="000129AB" w:rsidP="000129A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diciembre del dos mil veintiuno y enero del dos mil veintidós.</w:t>
      </w:r>
    </w:p>
    <w:p w14:paraId="1F0E9120" w14:textId="515D3D84" w:rsidR="00353CB4" w:rsidRDefault="00353CB4" w:rsidP="00353CB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3B2A58">
        <w:rPr>
          <w:rFonts w:ascii="Museo Sans 300" w:eastAsia="Times New Roman" w:hAnsi="Museo Sans 300" w:cs="Times New Roman"/>
          <w:sz w:val="20"/>
          <w:szCs w:val="20"/>
          <w:lang w:val="es-ES"/>
        </w:rPr>
        <w:t>seis</w:t>
      </w:r>
      <w:r w:rsidRPr="00A30F51">
        <w:rPr>
          <w:rFonts w:ascii="Museo Sans 300" w:eastAsia="Times New Roman" w:hAnsi="Museo Sans 300" w:cs="Times New Roman"/>
          <w:sz w:val="20"/>
          <w:szCs w:val="20"/>
          <w:lang w:val="es-ES"/>
        </w:rPr>
        <w:t xml:space="preserve"> de </w:t>
      </w:r>
      <w:r w:rsidR="003B2A58">
        <w:rPr>
          <w:rFonts w:ascii="Museo Sans 300" w:eastAsia="Times New Roman" w:hAnsi="Museo Sans 300" w:cs="Times New Roman"/>
          <w:sz w:val="20"/>
          <w:szCs w:val="20"/>
          <w:lang w:val="es-ES"/>
        </w:rPr>
        <w:t>ene</w:t>
      </w:r>
      <w:r w:rsidR="00EF1DB2">
        <w:rPr>
          <w:rFonts w:ascii="Museo Sans 300" w:eastAsia="Times New Roman" w:hAnsi="Museo Sans 300" w:cs="Times New Roman"/>
          <w:sz w:val="20"/>
          <w:szCs w:val="20"/>
          <w:lang w:val="es-ES"/>
        </w:rPr>
        <w:t>r</w:t>
      </w:r>
      <w:r w:rsidR="003B2A58">
        <w:rPr>
          <w:rFonts w:ascii="Museo Sans 300" w:eastAsia="Times New Roman" w:hAnsi="Museo Sans 300" w:cs="Times New Roman"/>
          <w:sz w:val="20"/>
          <w:szCs w:val="20"/>
          <w:lang w:val="es-ES"/>
        </w:rPr>
        <w:t>o</w:t>
      </w:r>
      <w:r w:rsidRPr="00A30F51">
        <w:rPr>
          <w:rFonts w:ascii="Museo Sans 300" w:eastAsia="Times New Roman" w:hAnsi="Museo Sans 300" w:cs="Times New Roman"/>
          <w:sz w:val="20"/>
          <w:szCs w:val="20"/>
          <w:lang w:val="es-ES"/>
        </w:rPr>
        <w:t xml:space="preserve"> al </w:t>
      </w:r>
      <w:r w:rsidR="003B2A58">
        <w:rPr>
          <w:rFonts w:ascii="Museo Sans 300" w:eastAsia="Times New Roman" w:hAnsi="Museo Sans 300" w:cs="Times New Roman"/>
          <w:sz w:val="20"/>
          <w:szCs w:val="20"/>
          <w:lang w:val="es-ES"/>
        </w:rPr>
        <w:t>veintitrés</w:t>
      </w:r>
      <w:r w:rsidRPr="00A30F51">
        <w:rPr>
          <w:rFonts w:ascii="Museo Sans 300" w:eastAsia="Times New Roman" w:hAnsi="Museo Sans 300" w:cs="Times New Roman"/>
          <w:sz w:val="20"/>
          <w:szCs w:val="20"/>
          <w:lang w:val="es-ES"/>
        </w:rPr>
        <w:t xml:space="preserve"> de </w:t>
      </w:r>
      <w:r w:rsidR="003B2A58">
        <w:rPr>
          <w:rFonts w:ascii="Museo Sans 300" w:eastAsia="Times New Roman" w:hAnsi="Museo Sans 300" w:cs="Times New Roman"/>
          <w:sz w:val="20"/>
          <w:szCs w:val="20"/>
          <w:lang w:val="es-ES"/>
        </w:rPr>
        <w:t>abril</w:t>
      </w:r>
      <w:r w:rsidRPr="00A30F51">
        <w:rPr>
          <w:rFonts w:ascii="Museo Sans 300" w:eastAsia="Times New Roman" w:hAnsi="Museo Sans 300" w:cs="Times New Roman"/>
          <w:sz w:val="20"/>
          <w:szCs w:val="20"/>
          <w:lang w:val="es-ES"/>
        </w:rPr>
        <w:t xml:space="preserve"> del año dos mil vein</w:t>
      </w:r>
      <w:r w:rsidR="003B2A58">
        <w:rPr>
          <w:rFonts w:ascii="Museo Sans 300" w:eastAsia="Times New Roman" w:hAnsi="Museo Sans 300" w:cs="Times New Roman"/>
          <w:sz w:val="20"/>
          <w:szCs w:val="20"/>
          <w:lang w:val="es-ES"/>
        </w:rPr>
        <w:t>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0CE228BB" w14:textId="1C6E5FC8" w:rsidR="00353CB4" w:rsidRPr="00431856" w:rsidRDefault="00353CB4" w:rsidP="00353CB4">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EF1DB2">
        <w:rPr>
          <w:rFonts w:ascii="Museo Sans 300" w:hAnsi="Museo Sans 300"/>
          <w:color w:val="000000"/>
          <w:sz w:val="20"/>
          <w:szCs w:val="20"/>
          <w:shd w:val="clear" w:color="auto" w:fill="FFFFFF"/>
        </w:rPr>
        <w:t>ciento siete</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003B2A58">
        <w:rPr>
          <w:rFonts w:ascii="Museo Sans 300" w:hAnsi="Museo Sans 300"/>
          <w:color w:val="000000"/>
          <w:sz w:val="20"/>
          <w:szCs w:val="20"/>
          <w:shd w:val="clear" w:color="auto" w:fill="FFFFFF"/>
          <w:lang w:val="es-ES"/>
        </w:rPr>
        <w:t>que</w:t>
      </w:r>
      <w:r w:rsidR="00EF1DB2">
        <w:rPr>
          <w:rFonts w:ascii="Museo Sans 300" w:hAnsi="Museo Sans 300"/>
          <w:color w:val="000000"/>
          <w:sz w:val="20"/>
          <w:szCs w:val="20"/>
          <w:shd w:val="clear" w:color="auto" w:fill="FFFFFF"/>
          <w:lang w:val="es-ES"/>
        </w:rPr>
        <w:t xml:space="preserve"> esta Superintendencia</w:t>
      </w:r>
      <w:r w:rsidR="003B2A58">
        <w:rPr>
          <w:rFonts w:ascii="Museo Sans 300" w:hAnsi="Museo Sans 300"/>
          <w:color w:val="000000"/>
          <w:sz w:val="20"/>
          <w:szCs w:val="20"/>
          <w:shd w:val="clear" w:color="auto" w:fill="FFFFFF"/>
          <w:lang w:val="es-ES"/>
        </w:rPr>
        <w:t xml:space="preserve"> previamente</w:t>
      </w:r>
      <w:r w:rsidR="00EF1DB2">
        <w:rPr>
          <w:rFonts w:ascii="Museo Sans 300" w:hAnsi="Museo Sans 300"/>
          <w:color w:val="000000"/>
          <w:sz w:val="20"/>
          <w:szCs w:val="20"/>
          <w:shd w:val="clear" w:color="auto" w:fill="FFFFFF"/>
          <w:lang w:val="es-ES"/>
        </w:rPr>
        <w:t xml:space="preserve"> en un caso similar por condición irregular en el suministro, determinó que el consumo registrado en los meses de diciembre del dos mil veintiuno y enero del año pasado eran correctos.</w:t>
      </w:r>
      <w:r>
        <w:rPr>
          <w:rFonts w:ascii="Museo Sans 300" w:hAnsi="Museo Sans 300"/>
          <w:color w:val="000000"/>
          <w:sz w:val="20"/>
          <w:szCs w:val="20"/>
          <w:shd w:val="clear" w:color="auto" w:fill="FFFFFF"/>
          <w:lang w:val="es-ES"/>
        </w:rPr>
        <w:t xml:space="preserve"> </w:t>
      </w:r>
    </w:p>
    <w:p w14:paraId="6F25E770" w14:textId="77777777" w:rsidR="000129AB" w:rsidRPr="000129AB" w:rsidRDefault="000129AB" w:rsidP="000129AB">
      <w:pPr>
        <w:autoSpaceDE w:val="0"/>
        <w:spacing w:after="0" w:line="240" w:lineRule="auto"/>
        <w:ind w:left="993"/>
        <w:jc w:val="both"/>
        <w:rPr>
          <w:rFonts w:ascii="Museo Sans 300" w:eastAsia="Times New Roman" w:hAnsi="Museo Sans 300" w:cs="Times New Roman"/>
          <w:sz w:val="20"/>
          <w:szCs w:val="20"/>
        </w:rPr>
      </w:pPr>
    </w:p>
    <w:p w14:paraId="541BA5B1" w14:textId="10ACAEBC"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DOSCIENTOS </w:t>
      </w:r>
      <w:r w:rsidR="001E418B">
        <w:rPr>
          <w:rFonts w:ascii="Museo Sans 300" w:hAnsi="Museo Sans 300"/>
          <w:sz w:val="20"/>
          <w:szCs w:val="20"/>
        </w:rPr>
        <w:t>SETENTA Y DOS</w:t>
      </w:r>
      <w:r w:rsidRPr="00AC7FFE">
        <w:rPr>
          <w:rFonts w:ascii="Museo Sans 300" w:hAnsi="Museo Sans 300"/>
          <w:sz w:val="20"/>
          <w:szCs w:val="20"/>
        </w:rPr>
        <w:t xml:space="preserve"> </w:t>
      </w:r>
      <w:r w:rsidR="001E418B">
        <w:rPr>
          <w:rFonts w:ascii="Museo Sans 300" w:hAnsi="Museo Sans 300"/>
          <w:sz w:val="20"/>
          <w:szCs w:val="20"/>
        </w:rPr>
        <w:t>73</w:t>
      </w:r>
      <w:r w:rsidRPr="00AC7FFE">
        <w:rPr>
          <w:rFonts w:ascii="Museo Sans 300" w:hAnsi="Museo Sans 300"/>
          <w:sz w:val="20"/>
          <w:szCs w:val="20"/>
        </w:rPr>
        <w:t xml:space="preserve">/100 DÓLARES DE LOS ESTADOS UNIDOS DE AMÉRICA (USD </w:t>
      </w:r>
      <w:r>
        <w:rPr>
          <w:rFonts w:ascii="Museo Sans 300" w:hAnsi="Museo Sans 300"/>
          <w:sz w:val="20"/>
          <w:szCs w:val="20"/>
        </w:rPr>
        <w:t>2</w:t>
      </w:r>
      <w:r w:rsidR="001E418B">
        <w:rPr>
          <w:rFonts w:ascii="Museo Sans 300" w:hAnsi="Museo Sans 300"/>
          <w:sz w:val="20"/>
          <w:szCs w:val="20"/>
        </w:rPr>
        <w:t>72.73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77777777"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BEAF7E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93E40">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2F7369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0F53630" w14:textId="77777777" w:rsidR="001F16B3" w:rsidRDefault="001F16B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6F7EE7" w14:textId="5242A8DF" w:rsidR="001E418B" w:rsidRDefault="0089025D"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AA1BD9">
        <w:rPr>
          <w:rFonts w:ascii="Museo Sans 300" w:hAnsi="Museo Sans 300"/>
          <w:sz w:val="20"/>
          <w:szCs w:val="20"/>
        </w:rPr>
        <w:t>0477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D93E40">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1E418B">
        <w:rPr>
          <w:rFonts w:ascii="Cambria Math" w:eastAsia="Times New Roman" w:hAnsi="Cambria Math" w:cs="Cambria Math"/>
          <w:sz w:val="20"/>
          <w:szCs w:val="20"/>
          <w:shd w:val="clear" w:color="auto" w:fill="FFFFFF"/>
        </w:rPr>
        <w:t xml:space="preserve"> </w:t>
      </w:r>
    </w:p>
    <w:p w14:paraId="246451FB" w14:textId="77777777" w:rsidR="001E418B" w:rsidRPr="00EE0092" w:rsidRDefault="001E418B" w:rsidP="001E418B">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37A9CE38" w14:textId="271DFEFB"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DOSCIENTOS</w:t>
      </w:r>
      <w:r w:rsidR="005F32B9">
        <w:rPr>
          <w:rFonts w:ascii="Museo Sans 300" w:eastAsia="Times New Roman" w:hAnsi="Museo Sans 300" w:cs="Times New Roman"/>
          <w:sz w:val="20"/>
          <w:szCs w:val="20"/>
          <w:lang w:eastAsia="es-ES"/>
        </w:rPr>
        <w:t xml:space="preserve"> SETENTA </w:t>
      </w:r>
      <w:r w:rsidR="00231E85">
        <w:rPr>
          <w:rFonts w:ascii="Museo Sans 300" w:eastAsia="Times New Roman" w:hAnsi="Museo Sans 300" w:cs="Times New Roman"/>
          <w:sz w:val="20"/>
          <w:szCs w:val="20"/>
          <w:lang w:eastAsia="es-ES"/>
        </w:rPr>
        <w:t>Y</w:t>
      </w:r>
      <w:r w:rsidR="005F32B9">
        <w:rPr>
          <w:rFonts w:ascii="Museo Sans 300" w:eastAsia="Times New Roman" w:hAnsi="Museo Sans 300" w:cs="Times New Roman"/>
          <w:sz w:val="20"/>
          <w:szCs w:val="20"/>
          <w:lang w:eastAsia="es-ES"/>
        </w:rPr>
        <w:t xml:space="preserve"> DOS</w:t>
      </w:r>
      <w:r>
        <w:rPr>
          <w:rFonts w:ascii="Museo Sans 300" w:hAnsi="Museo Sans 300"/>
          <w:sz w:val="20"/>
          <w:szCs w:val="20"/>
        </w:rPr>
        <w:t xml:space="preserve"> </w:t>
      </w:r>
      <w:r w:rsidR="005F32B9">
        <w:rPr>
          <w:rFonts w:ascii="Museo Sans 300" w:hAnsi="Museo Sans 300"/>
          <w:sz w:val="20"/>
          <w:szCs w:val="20"/>
        </w:rPr>
        <w:t>73</w:t>
      </w:r>
      <w:r>
        <w:rPr>
          <w:rFonts w:ascii="Museo Sans 300" w:hAnsi="Museo Sans 300"/>
          <w:sz w:val="20"/>
          <w:szCs w:val="20"/>
        </w:rPr>
        <w:t>/100 DÓLARES DE LOS ESTADOS UNIDOS DE AMÉRICA (USD 2</w:t>
      </w:r>
      <w:r w:rsidR="005F32B9">
        <w:rPr>
          <w:rFonts w:ascii="Museo Sans 300" w:hAnsi="Museo Sans 300"/>
          <w:sz w:val="20"/>
          <w:szCs w:val="20"/>
        </w:rPr>
        <w:t>72.73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2061A8" w14:textId="77777777" w:rsidR="001E418B" w:rsidRDefault="001E418B" w:rsidP="008E44C3">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1B6712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A1BD9">
        <w:rPr>
          <w:rFonts w:ascii="Museo Sans 300" w:eastAsia="Arial" w:hAnsi="Museo Sans 300" w:cs="Times New Roman"/>
          <w:sz w:val="20"/>
          <w:szCs w:val="20"/>
        </w:rPr>
        <w:t>0477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7FE29F" w14:textId="7BBD2C85" w:rsidR="005F32B9" w:rsidRPr="005F32B9" w:rsidRDefault="00B306DC" w:rsidP="005F32B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D93E40">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F32B9" w:rsidRPr="005F32B9">
        <w:rPr>
          <w:rStyle w:val="normaltextrun"/>
          <w:rFonts w:ascii="Museo Sans 300" w:hAnsi="Museo Sans 300"/>
          <w:color w:val="000000"/>
          <w:sz w:val="20"/>
          <w:szCs w:val="20"/>
          <w:shd w:val="clear" w:color="auto" w:fill="FFFFFF"/>
        </w:rPr>
        <w:t xml:space="preserve"> en</w:t>
      </w:r>
      <w:r w:rsidR="005F32B9" w:rsidRPr="005F32B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5F32B9" w:rsidRPr="005F32B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5F32B9" w:rsidRPr="005F32B9">
        <w:rPr>
          <w:rStyle w:val="normaltextrun"/>
          <w:rFonts w:ascii="Cambria Math" w:hAnsi="Cambria Math" w:cs="Cambria Math"/>
          <w:color w:val="000000"/>
          <w:sz w:val="20"/>
          <w:szCs w:val="20"/>
          <w:shd w:val="clear" w:color="auto" w:fill="FFFFFF"/>
        </w:rPr>
        <w:t xml:space="preserve">  </w:t>
      </w:r>
    </w:p>
    <w:p w14:paraId="0D6D798D" w14:textId="77777777" w:rsidR="005F32B9" w:rsidRDefault="005F32B9" w:rsidP="005F32B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1DC5F20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35C78">
        <w:rPr>
          <w:rFonts w:ascii="Museo Sans 300" w:eastAsia="Arial" w:hAnsi="Museo Sans 300"/>
          <w:sz w:val="20"/>
          <w:szCs w:val="20"/>
          <w:lang w:eastAsia="es-SV"/>
        </w:rPr>
        <w:t>DOSCIENTOS SETENTA Y DOS</w:t>
      </w:r>
      <w:r w:rsidR="006662C8">
        <w:rPr>
          <w:rFonts w:ascii="Museo Sans 300" w:hAnsi="Museo Sans 300"/>
          <w:sz w:val="20"/>
          <w:szCs w:val="20"/>
        </w:rPr>
        <w:t xml:space="preserve"> </w:t>
      </w:r>
      <w:r w:rsidR="00235C78">
        <w:rPr>
          <w:rFonts w:ascii="Museo Sans 300" w:hAnsi="Museo Sans 300"/>
          <w:sz w:val="20"/>
          <w:szCs w:val="20"/>
        </w:rPr>
        <w:t>73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35C78">
        <w:rPr>
          <w:rFonts w:ascii="Museo Sans 300" w:hAnsi="Museo Sans 300"/>
          <w:sz w:val="20"/>
          <w:szCs w:val="20"/>
        </w:rPr>
        <w:t>272.73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BFBAEE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AA1BD9">
        <w:rPr>
          <w:rFonts w:ascii="Museo Sans 300" w:eastAsia="Arial" w:hAnsi="Museo Sans 300" w:cs="Times New Roman"/>
          <w:sz w:val="20"/>
          <w:szCs w:val="20"/>
        </w:rPr>
        <w:t>0477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1EE18B"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ED5B21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1F16B3">
        <w:rPr>
          <w:rFonts w:ascii="Museo Sans 300" w:eastAsia="Arial" w:hAnsi="Museo Sans 300"/>
          <w:sz w:val="20"/>
          <w:szCs w:val="20"/>
          <w:lang w:eastAsia="es-SV"/>
        </w:rPr>
        <w:t>x</w:t>
      </w:r>
      <w:r w:rsidR="00D93E40">
        <w:rPr>
          <w:rFonts w:ascii="Museo Sans 300" w:eastAsia="Arial" w:hAnsi="Museo Sans 300"/>
          <w:sz w:val="20"/>
          <w:szCs w:val="20"/>
          <w:lang w:eastAsia="es-SV"/>
        </w:rPr>
        <w:t>xxx</w:t>
      </w:r>
      <w:proofErr w:type="spellEnd"/>
      <w:r w:rsidR="001F16B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53CB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536A" w14:textId="77777777" w:rsidR="00D0323F" w:rsidRDefault="00D0323F">
      <w:pPr>
        <w:spacing w:after="0" w:line="240" w:lineRule="auto"/>
      </w:pPr>
      <w:r>
        <w:separator/>
      </w:r>
    </w:p>
  </w:endnote>
  <w:endnote w:type="continuationSeparator" w:id="0">
    <w:p w14:paraId="750AE99B" w14:textId="77777777" w:rsidR="00D0323F" w:rsidRDefault="00D0323F">
      <w:pPr>
        <w:spacing w:after="0" w:line="240" w:lineRule="auto"/>
      </w:pPr>
      <w:r>
        <w:continuationSeparator/>
      </w:r>
    </w:p>
  </w:endnote>
  <w:endnote w:type="continuationNotice" w:id="1">
    <w:p w14:paraId="215083CA" w14:textId="77777777" w:rsidR="00D0323F" w:rsidRDefault="00D0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E4E0" w14:textId="77777777" w:rsidR="00D0323F" w:rsidRDefault="00D0323F">
      <w:pPr>
        <w:spacing w:after="0" w:line="240" w:lineRule="auto"/>
      </w:pPr>
      <w:r>
        <w:rPr>
          <w:color w:val="000000"/>
        </w:rPr>
        <w:separator/>
      </w:r>
    </w:p>
  </w:footnote>
  <w:footnote w:type="continuationSeparator" w:id="0">
    <w:p w14:paraId="049FF8DD" w14:textId="77777777" w:rsidR="00D0323F" w:rsidRDefault="00D0323F">
      <w:pPr>
        <w:spacing w:after="0" w:line="240" w:lineRule="auto"/>
      </w:pPr>
      <w:r>
        <w:continuationSeparator/>
      </w:r>
    </w:p>
  </w:footnote>
  <w:footnote w:type="continuationNotice" w:id="1">
    <w:p w14:paraId="0C5B65F2" w14:textId="77777777" w:rsidR="00D0323F" w:rsidRDefault="00D0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4"/>
  </w:num>
  <w:num w:numId="2" w16cid:durableId="459879968">
    <w:abstractNumId w:val="10"/>
  </w:num>
  <w:num w:numId="3" w16cid:durableId="23750049">
    <w:abstractNumId w:val="16"/>
  </w:num>
  <w:num w:numId="4" w16cid:durableId="2012873170">
    <w:abstractNumId w:val="9"/>
  </w:num>
  <w:num w:numId="5" w16cid:durableId="1833788101">
    <w:abstractNumId w:val="0"/>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5"/>
  </w:num>
  <w:num w:numId="9" w16cid:durableId="663125927">
    <w:abstractNumId w:val="23"/>
  </w:num>
  <w:num w:numId="10" w16cid:durableId="2029942764">
    <w:abstractNumId w:val="13"/>
  </w:num>
  <w:num w:numId="11" w16cid:durableId="878593074">
    <w:abstractNumId w:val="5"/>
  </w:num>
  <w:num w:numId="12" w16cid:durableId="1514608230">
    <w:abstractNumId w:val="3"/>
  </w:num>
  <w:num w:numId="13" w16cid:durableId="1155410108">
    <w:abstractNumId w:val="21"/>
  </w:num>
  <w:num w:numId="14" w16cid:durableId="2018342891">
    <w:abstractNumId w:val="14"/>
  </w:num>
  <w:num w:numId="15" w16cid:durableId="262307169">
    <w:abstractNumId w:val="11"/>
  </w:num>
  <w:num w:numId="16" w16cid:durableId="2068259172">
    <w:abstractNumId w:val="27"/>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6"/>
  </w:num>
  <w:num w:numId="20" w16cid:durableId="130490031">
    <w:abstractNumId w:val="2"/>
  </w:num>
  <w:num w:numId="21" w16cid:durableId="1583561930">
    <w:abstractNumId w:val="6"/>
  </w:num>
  <w:num w:numId="22" w16cid:durableId="1502357413">
    <w:abstractNumId w:val="17"/>
  </w:num>
  <w:num w:numId="23" w16cid:durableId="553583620">
    <w:abstractNumId w:val="7"/>
  </w:num>
  <w:num w:numId="24" w16cid:durableId="1132089836">
    <w:abstractNumId w:val="22"/>
  </w:num>
  <w:num w:numId="25" w16cid:durableId="909537719">
    <w:abstractNumId w:val="20"/>
  </w:num>
  <w:num w:numId="26" w16cid:durableId="2011253808">
    <w:abstractNumId w:val="18"/>
  </w:num>
  <w:num w:numId="27" w16cid:durableId="1876040930">
    <w:abstractNumId w:val="15"/>
  </w:num>
  <w:num w:numId="28" w16cid:durableId="2052260702">
    <w:abstractNumId w:val="19"/>
  </w:num>
  <w:num w:numId="29" w16cid:durableId="15061709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6B3"/>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0DC"/>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2C55"/>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754C9"/>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06FD5"/>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323F"/>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E40"/>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2D80"/>
    <w:rsid w:val="00E033C8"/>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47D"/>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16-1-23. Expediente EP-1504-22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726DAA5-342C-4144-9425-01F86D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8</Pages>
  <Words>4150</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2021-09-21T00:49:00Z</cp:lastPrinted>
  <dcterms:created xsi:type="dcterms:W3CDTF">2023-02-07T14:58:00Z</dcterms:created>
  <dcterms:modified xsi:type="dcterms:W3CDTF">2023-02-09T20:59:00Z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