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70A31CB5" w:rsidR="00152423" w:rsidRDefault="00152423" w:rsidP="00723871">
      <w:pPr>
        <w:pStyle w:val="Sinespaciado"/>
        <w:rPr>
          <w:lang w:val="es-MX" w:eastAsia="es-ES"/>
        </w:rPr>
      </w:pPr>
    </w:p>
    <w:p w14:paraId="3C914AAF" w14:textId="2CEAEA07" w:rsidR="006F6B44" w:rsidRDefault="006F6B44" w:rsidP="00723871">
      <w:pPr>
        <w:pStyle w:val="Sinespaciado"/>
        <w:rPr>
          <w:lang w:val="es-MX" w:eastAsia="es-ES"/>
        </w:rPr>
      </w:pPr>
    </w:p>
    <w:p w14:paraId="4B20C8D6" w14:textId="77777777" w:rsidR="006F6B44" w:rsidRDefault="006F6B44" w:rsidP="00723871">
      <w:pPr>
        <w:pStyle w:val="Sinespaciado"/>
        <w:rPr>
          <w:lang w:val="es-MX" w:eastAsia="es-ES"/>
        </w:rPr>
      </w:pPr>
    </w:p>
    <w:p w14:paraId="3BC16A7D" w14:textId="211B6EB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FD599B">
        <w:rPr>
          <w:rFonts w:ascii="Museo Sans 900" w:eastAsia="Times New Roman" w:hAnsi="Museo Sans 900" w:cs="Times New Roman"/>
          <w:b/>
          <w:bCs/>
          <w:sz w:val="20"/>
          <w:szCs w:val="20"/>
          <w:lang w:val="es-MX" w:eastAsia="es-ES"/>
        </w:rPr>
        <w:t>0063</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FD599B">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FD599B">
        <w:rPr>
          <w:rFonts w:ascii="Museo Sans 300" w:eastAsia="Times New Roman" w:hAnsi="Museo Sans 300" w:cs="Times New Roman"/>
          <w:sz w:val="20"/>
          <w:szCs w:val="20"/>
          <w:lang w:val="es-MX" w:eastAsia="es-ES"/>
        </w:rPr>
        <w:t xml:space="preserve">treinta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FD599B">
        <w:rPr>
          <w:rFonts w:ascii="Museo Sans 300" w:eastAsia="Times New Roman" w:hAnsi="Museo Sans 300" w:cs="Times New Roman"/>
          <w:sz w:val="20"/>
          <w:szCs w:val="20"/>
          <w:lang w:val="es-MX" w:eastAsia="es-ES"/>
        </w:rPr>
        <w:t xml:space="preserve">diecinueve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E3A00">
        <w:rPr>
          <w:rFonts w:ascii="Museo Sans 300" w:eastAsia="Times New Roman" w:hAnsi="Museo Sans 300" w:cs="Times New Roman"/>
          <w:sz w:val="20"/>
          <w:szCs w:val="20"/>
          <w:lang w:val="es-MX" w:eastAsia="es-ES"/>
        </w:rPr>
        <w:t xml:space="preserve">enero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89345CB"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FC0357">
        <w:rPr>
          <w:rFonts w:ascii="Museo Sans 300" w:hAnsi="Museo Sans 300"/>
          <w:sz w:val="20"/>
          <w:szCs w:val="20"/>
        </w:rPr>
        <w:t>siete de juni</w:t>
      </w:r>
      <w:r w:rsidR="00D9215E">
        <w:rPr>
          <w:rFonts w:ascii="Museo Sans 300" w:hAnsi="Museo Sans 300"/>
          <w:sz w:val="20"/>
          <w:szCs w:val="20"/>
        </w:rPr>
        <w:t>o</w:t>
      </w:r>
      <w:r w:rsidR="00961C4C">
        <w:rPr>
          <w:rFonts w:ascii="Museo Sans 300" w:hAnsi="Museo Sans 300"/>
          <w:sz w:val="20"/>
          <w:szCs w:val="20"/>
        </w:rPr>
        <w:t xml:space="preserve"> del </w:t>
      </w:r>
      <w:r w:rsidR="007F5D0A">
        <w:rPr>
          <w:rFonts w:ascii="Museo Sans 300" w:hAnsi="Museo Sans 300"/>
          <w:sz w:val="20"/>
          <w:szCs w:val="20"/>
        </w:rPr>
        <w:t>año pasado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proofErr w:type="spellStart"/>
      <w:r w:rsidR="00617E5C">
        <w:rPr>
          <w:rFonts w:ascii="Museo Sans 300" w:hAnsi="Museo Sans 300"/>
          <w:sz w:val="20"/>
          <w:szCs w:val="20"/>
        </w:rPr>
        <w:t>xxxx</w:t>
      </w:r>
      <w:proofErr w:type="spellEnd"/>
      <w:r w:rsidR="00617E5C">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C0357">
        <w:rPr>
          <w:rFonts w:ascii="Museo Sans 300" w:hAnsi="Museo Sans 300"/>
          <w:sz w:val="20"/>
          <w:szCs w:val="20"/>
        </w:rPr>
        <w:t>EEO, S.A.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FC0357">
        <w:rPr>
          <w:rFonts w:ascii="Museo Sans 300" w:hAnsi="Museo Sans 300"/>
          <w:sz w:val="20"/>
          <w:szCs w:val="20"/>
        </w:rPr>
        <w:t>MIL SEISCIENTOS VEINTISIETE 56/100 DÓLARES DE LOS ESTADOS UNIDOS DE AMÉRICA (USD 1,627.56)</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el NIC </w:t>
      </w:r>
      <w:proofErr w:type="spellStart"/>
      <w:r w:rsidR="00617E5C">
        <w:rPr>
          <w:rStyle w:val="normaltextrun"/>
          <w:rFonts w:ascii="Museo Sans 300" w:hAnsi="Museo Sans 300"/>
          <w:color w:val="000000"/>
          <w:sz w:val="20"/>
          <w:szCs w:val="20"/>
          <w:shd w:val="clear" w:color="auto" w:fill="FFFFFF"/>
        </w:rPr>
        <w:t>xxxx</w:t>
      </w:r>
      <w:proofErr w:type="spellEnd"/>
      <w:r w:rsidR="000C4AD8">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D76C3D0"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w:t>
      </w:r>
      <w:r w:rsidR="00772E3E">
        <w:rPr>
          <w:rFonts w:ascii="Museo Sans 300" w:hAnsi="Museo Sans 300"/>
          <w:sz w:val="20"/>
          <w:szCs w:val="20"/>
          <w:lang w:val="es-SV"/>
        </w:rPr>
        <w:t>398</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72E3E">
        <w:rPr>
          <w:rFonts w:ascii="Museo Sans 300" w:hAnsi="Museo Sans 300"/>
          <w:sz w:val="20"/>
          <w:szCs w:val="20"/>
          <w:lang w:val="es-SV"/>
        </w:rPr>
        <w:t>ocho de julio</w:t>
      </w:r>
      <w:r w:rsidR="00961C4C">
        <w:rPr>
          <w:rFonts w:ascii="Museo Sans 300" w:hAnsi="Museo Sans 300"/>
          <w:sz w:val="20"/>
          <w:szCs w:val="20"/>
          <w:lang w:val="es-SV"/>
        </w:rPr>
        <w:t xml:space="preserve"> </w:t>
      </w:r>
      <w:r w:rsidR="007F5D0A">
        <w:rPr>
          <w:rFonts w:ascii="Museo Sans 300" w:hAnsi="Museo Sans 300"/>
          <w:sz w:val="20"/>
          <w:szCs w:val="20"/>
          <w:lang w:val="es-SV"/>
        </w:rPr>
        <w:t>del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C0357">
        <w:rPr>
          <w:rFonts w:ascii="Museo Sans 300" w:hAnsi="Museo Sans 300"/>
          <w:sz w:val="20"/>
          <w:szCs w:val="20"/>
          <w:lang w:val="es-SV"/>
        </w:rPr>
        <w:t>EEO, S.A.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013D542E"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doce de julio </w:t>
      </w:r>
      <w:r w:rsidR="00854BBE">
        <w:rPr>
          <w:rFonts w:ascii="Museo Sans 300" w:hAnsi="Museo Sans 300"/>
          <w:sz w:val="20"/>
          <w:szCs w:val="20"/>
        </w:rPr>
        <w:t xml:space="preserve">del </w:t>
      </w:r>
      <w:r w:rsidR="007F5D0A">
        <w:rPr>
          <w:rFonts w:ascii="Museo Sans 300" w:hAnsi="Museo Sans 300"/>
          <w:sz w:val="20"/>
          <w:szCs w:val="20"/>
        </w:rPr>
        <w:t>año pasado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D435BD">
        <w:rPr>
          <w:rFonts w:ascii="Museo Sans 300" w:hAnsi="Museo Sans 300"/>
          <w:sz w:val="20"/>
          <w:szCs w:val="20"/>
        </w:rPr>
        <w:t xml:space="preserve">veintiséis </w:t>
      </w:r>
      <w:r w:rsidR="00F96E6C">
        <w:rPr>
          <w:rFonts w:ascii="Museo Sans 300" w:hAnsi="Museo Sans 300"/>
          <w:sz w:val="20"/>
          <w:szCs w:val="20"/>
        </w:rPr>
        <w:t>del mismo</w:t>
      </w:r>
      <w:r w:rsidR="00D435BD">
        <w:rPr>
          <w:rFonts w:ascii="Museo Sans 300" w:hAnsi="Museo Sans 300"/>
          <w:sz w:val="20"/>
          <w:szCs w:val="20"/>
        </w:rPr>
        <w:t xml:space="preserve"> mes y</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7CBB5732"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442163">
        <w:rPr>
          <w:rFonts w:ascii="Museo Sans 300" w:hAnsi="Museo Sans 300"/>
          <w:sz w:val="20"/>
          <w:szCs w:val="20"/>
          <w:lang w:val="es-SV"/>
        </w:rPr>
        <w:t>veintiséis de julio</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 xml:space="preserve">l </w:t>
      </w:r>
      <w:r w:rsidR="007F5D0A">
        <w:rPr>
          <w:rFonts w:ascii="Museo Sans 300" w:hAnsi="Museo Sans 300"/>
          <w:sz w:val="20"/>
          <w:szCs w:val="20"/>
          <w:lang w:val="es-SV"/>
        </w:rPr>
        <w:t>año pasado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ingeniero </w:t>
      </w:r>
      <w:proofErr w:type="spellStart"/>
      <w:r w:rsidR="00617E5C">
        <w:rPr>
          <w:rFonts w:ascii="Museo Sans 300" w:hAnsi="Museo Sans 300"/>
          <w:sz w:val="20"/>
          <w:szCs w:val="20"/>
          <w:lang w:val="es-SV"/>
        </w:rPr>
        <w:t>xxxx</w:t>
      </w:r>
      <w:proofErr w:type="spellEnd"/>
      <w:r w:rsidRPr="00AB1307">
        <w:rPr>
          <w:rFonts w:ascii="Museo Sans 300" w:hAnsi="Museo Sans 300"/>
          <w:sz w:val="20"/>
          <w:szCs w:val="20"/>
          <w:lang w:val="es-SV"/>
        </w:rPr>
        <w:t xml:space="preserve">, apoderado especial de la sociedad </w:t>
      </w:r>
      <w:r w:rsidR="00FC0357">
        <w:rPr>
          <w:rFonts w:ascii="Museo Sans 300" w:hAnsi="Museo Sans 300"/>
          <w:sz w:val="20"/>
          <w:szCs w:val="20"/>
          <w:lang w:val="es-SV"/>
        </w:rPr>
        <w:t>EEO, S.A.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1215410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Históricos de lecturas y consumos de los últimos dos años a la fecha. </w:t>
      </w:r>
    </w:p>
    <w:p w14:paraId="546BF252"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 de incidencias. </w:t>
      </w:r>
    </w:p>
    <w:p w14:paraId="4C3C12A6" w14:textId="56C0056C"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Registros de sellos instalados en el medidor </w:t>
      </w:r>
      <w:proofErr w:type="spellStart"/>
      <w:r w:rsidR="00617E5C">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37A4427F" w14:textId="48F9026F"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Órdenes de servicio con número </w:t>
      </w:r>
      <w:proofErr w:type="spellStart"/>
      <w:r w:rsidR="00617E5C">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3397D3F6" w14:textId="64093BEA"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Acta de inspección de condiciones irregulares bajo la orden </w:t>
      </w:r>
      <w:proofErr w:type="spellStart"/>
      <w:r w:rsidR="00617E5C">
        <w:rPr>
          <w:rFonts w:ascii="Museo Sans 300" w:hAnsi="Museo Sans 300"/>
          <w:sz w:val="20"/>
          <w:szCs w:val="20"/>
          <w:lang w:eastAsia="es-SV"/>
        </w:rPr>
        <w:t>xxxx</w:t>
      </w:r>
      <w:proofErr w:type="spellEnd"/>
      <w:r w:rsidRPr="00C1710A">
        <w:rPr>
          <w:rFonts w:ascii="Museo Sans 300" w:hAnsi="Museo Sans 300"/>
          <w:sz w:val="20"/>
          <w:szCs w:val="20"/>
          <w:lang w:eastAsia="es-SV"/>
        </w:rPr>
        <w:t xml:space="preserve">. </w:t>
      </w:r>
    </w:p>
    <w:p w14:paraId="62AB4554"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Memoria de cálculo del cobro de energía no registrada. </w:t>
      </w:r>
    </w:p>
    <w:p w14:paraId="5F8F93DC"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Acuse de notificación de expediente a la usuaria; y, </w:t>
      </w:r>
    </w:p>
    <w:p w14:paraId="222851CA" w14:textId="77777777" w:rsidR="00C1710A" w:rsidRPr="00C1710A" w:rsidRDefault="00C1710A" w:rsidP="00C1710A">
      <w:pPr>
        <w:pStyle w:val="Prrafodelista"/>
        <w:numPr>
          <w:ilvl w:val="0"/>
          <w:numId w:val="26"/>
        </w:numPr>
        <w:tabs>
          <w:tab w:val="left" w:pos="426"/>
        </w:tabs>
        <w:jc w:val="both"/>
        <w:rPr>
          <w:rFonts w:ascii="Museo Sans 300" w:hAnsi="Museo Sans 300"/>
          <w:sz w:val="20"/>
          <w:szCs w:val="20"/>
          <w:lang w:eastAsia="es-SV"/>
        </w:rPr>
      </w:pPr>
      <w:r w:rsidRPr="00C1710A">
        <w:rPr>
          <w:rFonts w:ascii="Museo Sans 300" w:hAnsi="Museo Sans 300"/>
          <w:sz w:val="20"/>
          <w:szCs w:val="20"/>
          <w:lang w:eastAsia="es-SV"/>
        </w:rPr>
        <w:t xml:space="preserve">Fotografías en forma magnética vinculadas a la condición irregular encontrada. </w:t>
      </w:r>
    </w:p>
    <w:p w14:paraId="056BD1EB" w14:textId="514C5C3E" w:rsidR="0073510A" w:rsidRDefault="0073510A" w:rsidP="0026486D">
      <w:pPr>
        <w:pStyle w:val="Prrafodelista"/>
        <w:tabs>
          <w:tab w:val="left" w:pos="426"/>
        </w:tabs>
        <w:ind w:left="426"/>
        <w:jc w:val="both"/>
        <w:rPr>
          <w:rFonts w:ascii="Museo Sans 300" w:hAnsi="Museo Sans 300"/>
          <w:sz w:val="20"/>
          <w:szCs w:val="20"/>
          <w:lang w:eastAsia="es-SV"/>
        </w:rPr>
      </w:pPr>
    </w:p>
    <w:p w14:paraId="04B53E0E" w14:textId="44A223B9"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C1710A">
        <w:rPr>
          <w:rFonts w:ascii="Museo Sans 300" w:eastAsia="Museo Sans 300" w:hAnsi="Museo Sans 300" w:cs="Museo Sans 300"/>
          <w:sz w:val="20"/>
          <w:szCs w:val="20"/>
          <w:lang w:val="es-ES"/>
        </w:rPr>
        <w:t>771</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A702C8">
        <w:rPr>
          <w:rFonts w:ascii="Museo Sans 300" w:eastAsia="Museo Sans 300" w:hAnsi="Museo Sans 300" w:cs="Museo Sans 300"/>
          <w:sz w:val="20"/>
          <w:szCs w:val="20"/>
          <w:lang w:val="es-ES"/>
        </w:rPr>
        <w:t>veint</w:t>
      </w:r>
      <w:r w:rsidR="00C1710A">
        <w:rPr>
          <w:rFonts w:ascii="Museo Sans 300" w:eastAsia="Museo Sans 300" w:hAnsi="Museo Sans 300" w:cs="Museo Sans 300"/>
          <w:sz w:val="20"/>
          <w:szCs w:val="20"/>
          <w:lang w:val="es-ES"/>
        </w:rPr>
        <w:t>isiete de julio</w:t>
      </w:r>
      <w:r w:rsidR="00256589">
        <w:rPr>
          <w:rFonts w:ascii="Museo Sans 300" w:eastAsia="Museo Sans 300" w:hAnsi="Museo Sans 300" w:cs="Museo Sans 300"/>
          <w:sz w:val="20"/>
          <w:szCs w:val="20"/>
          <w:lang w:val="es-ES"/>
        </w:rPr>
        <w:t xml:space="preserve"> del </w:t>
      </w:r>
      <w:r w:rsidR="007F5D0A">
        <w:rPr>
          <w:rFonts w:ascii="Museo Sans 300" w:eastAsia="Museo Sans 300" w:hAnsi="Museo Sans 300" w:cs="Museo Sans 300"/>
          <w:sz w:val="20"/>
          <w:szCs w:val="20"/>
          <w:lang w:val="es-ES"/>
        </w:rPr>
        <w:t>año pasado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lastRenderedPageBreak/>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7C70E134"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C1710A">
        <w:rPr>
          <w:rFonts w:ascii="Museo Sans 300" w:hAnsi="Museo Sans 300"/>
          <w:sz w:val="20"/>
          <w:szCs w:val="20"/>
        </w:rPr>
        <w:t>E-1605</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C1710A">
        <w:rPr>
          <w:rFonts w:ascii="Museo Sans 300" w:hAnsi="Museo Sans 300"/>
          <w:sz w:val="20"/>
          <w:szCs w:val="20"/>
        </w:rPr>
        <w:t>diecisiete de agosto</w:t>
      </w:r>
      <w:r w:rsidR="00256589">
        <w:rPr>
          <w:rFonts w:ascii="Museo Sans 300" w:hAnsi="Museo Sans 300"/>
          <w:sz w:val="20"/>
          <w:szCs w:val="20"/>
        </w:rPr>
        <w:t xml:space="preserve"> </w:t>
      </w:r>
      <w:r w:rsidR="007F5D0A">
        <w:rPr>
          <w:rFonts w:ascii="Museo Sans 300" w:hAnsi="Museo Sans 300"/>
          <w:sz w:val="20"/>
          <w:szCs w:val="20"/>
        </w:rPr>
        <w:t>del año dos mil veintidós</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2B03F81E"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que una vez vencido el plazo otorgado a las partes, en un plazo máximo de veinte días, rindiera un informe técnico en el cual estableciera si existió o no la condición irregular que afectó el suministro identificado con el NIC </w:t>
      </w:r>
      <w:bookmarkEnd w:id="2"/>
      <w:proofErr w:type="spellStart"/>
      <w:r w:rsidR="00617E5C">
        <w:rPr>
          <w:rStyle w:val="normaltextrun"/>
          <w:rFonts w:ascii="Museo Sans 300" w:hAnsi="Museo Sans 300"/>
          <w:color w:val="000000"/>
          <w:sz w:val="20"/>
          <w:szCs w:val="20"/>
          <w:shd w:val="clear" w:color="auto" w:fill="FFFFFF"/>
        </w:rPr>
        <w:t>xxxx</w:t>
      </w:r>
      <w:proofErr w:type="spellEnd"/>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Una vez rendido el informe técnico por parte del CAU, debía remitir copia a las partes, para que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9CE4F07" w14:textId="6D934A7E" w:rsidR="00C1710A" w:rsidRDefault="00FB3D61" w:rsidP="00C1710A">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 distribuidora y a la usuari</w:t>
      </w:r>
      <w:r w:rsidR="00C1710A">
        <w:rPr>
          <w:rFonts w:ascii="Museo Sans 300" w:eastAsia="Times New Roman" w:hAnsi="Museo Sans 300" w:cs="Segoe UI"/>
          <w:sz w:val="20"/>
          <w:szCs w:val="20"/>
          <w:lang w:val="es-ES" w:eastAsia="es-ES"/>
        </w:rPr>
        <w:t>a</w:t>
      </w:r>
      <w:r w:rsidR="00C1710A" w:rsidRPr="00872F0D">
        <w:rPr>
          <w:rFonts w:ascii="Museo Sans 300" w:eastAsia="Times New Roman" w:hAnsi="Museo Sans 300" w:cs="Segoe UI"/>
          <w:sz w:val="20"/>
          <w:szCs w:val="20"/>
          <w:lang w:val="es-ES" w:eastAsia="es-ES"/>
        </w:rPr>
        <w:t xml:space="preserve"> los días </w:t>
      </w:r>
      <w:r w:rsidR="00C1710A">
        <w:rPr>
          <w:rFonts w:ascii="Museo Sans 300" w:eastAsia="Times New Roman" w:hAnsi="Museo Sans 300" w:cs="Segoe UI"/>
          <w:sz w:val="20"/>
          <w:szCs w:val="20"/>
          <w:lang w:val="es-ES" w:eastAsia="es-ES"/>
        </w:rPr>
        <w:t>veintidós y veintitrés de agosto del año dos mil veintidós</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 xml:space="preserve">respectivamente, por lo que el plazo finalizó, en el mismo orden, los días </w:t>
      </w:r>
      <w:r w:rsidR="00C1710A">
        <w:rPr>
          <w:rFonts w:ascii="Museo Sans 300" w:eastAsia="Times New Roman" w:hAnsi="Museo Sans 300" w:cs="Segoe UI"/>
          <w:sz w:val="20"/>
          <w:szCs w:val="20"/>
          <w:lang w:val="es-ES" w:eastAsia="es-ES"/>
        </w:rPr>
        <w:t>veintiuno y veintidós de septiembre</w:t>
      </w:r>
      <w:r w:rsidR="00C1710A" w:rsidRPr="000E6E84">
        <w:rPr>
          <w:rFonts w:ascii="Museo Sans 300" w:eastAsia="Times New Roman" w:hAnsi="Museo Sans 300" w:cs="Segoe UI"/>
          <w:sz w:val="20"/>
          <w:szCs w:val="20"/>
          <w:lang w:val="es-ES" w:eastAsia="es-ES"/>
        </w:rPr>
        <w:t xml:space="preserve"> del mismo año.</w:t>
      </w:r>
    </w:p>
    <w:p w14:paraId="6E6F8D59" w14:textId="77777777" w:rsidR="00C1710A" w:rsidRDefault="00C1710A" w:rsidP="00C1710A">
      <w:pPr>
        <w:tabs>
          <w:tab w:val="left" w:pos="426"/>
        </w:tabs>
        <w:spacing w:after="0" w:line="240" w:lineRule="auto"/>
        <w:ind w:left="426"/>
        <w:jc w:val="both"/>
        <w:rPr>
          <w:rFonts w:ascii="Museo Sans 300" w:hAnsi="Museo Sans 300"/>
          <w:sz w:val="20"/>
          <w:szCs w:val="20"/>
          <w:lang w:val="es-ES_tradnl"/>
        </w:rPr>
      </w:pPr>
    </w:p>
    <w:p w14:paraId="49FDD8D1" w14:textId="67594ECA" w:rsidR="00C1710A" w:rsidRPr="00C1710A" w:rsidRDefault="00C1710A" w:rsidP="00C1710A">
      <w:pPr>
        <w:tabs>
          <w:tab w:val="left" w:pos="426"/>
        </w:tabs>
        <w:spacing w:after="0" w:line="240" w:lineRule="auto"/>
        <w:ind w:left="426"/>
        <w:jc w:val="both"/>
        <w:rPr>
          <w:rFonts w:ascii="Museo Sans 300" w:hAnsi="Museo Sans 300"/>
          <w:sz w:val="20"/>
          <w:szCs w:val="20"/>
        </w:rPr>
      </w:pPr>
      <w:r w:rsidRPr="00C1710A">
        <w:rPr>
          <w:rFonts w:ascii="Museo Sans 300" w:hAnsi="Museo Sans 300"/>
          <w:sz w:val="20"/>
          <w:szCs w:val="20"/>
        </w:rPr>
        <w:t>El día veinti</w:t>
      </w:r>
      <w:r w:rsidR="00A42B8D">
        <w:rPr>
          <w:rFonts w:ascii="Museo Sans 300" w:hAnsi="Museo Sans 300"/>
          <w:sz w:val="20"/>
          <w:szCs w:val="20"/>
        </w:rPr>
        <w:t>ocho</w:t>
      </w:r>
      <w:r w:rsidRPr="00C1710A">
        <w:rPr>
          <w:rFonts w:ascii="Museo Sans 300" w:hAnsi="Museo Sans 300"/>
          <w:sz w:val="20"/>
          <w:szCs w:val="20"/>
        </w:rPr>
        <w:t xml:space="preserve"> de agosto</w:t>
      </w:r>
      <w:r w:rsidR="006F6B44">
        <w:rPr>
          <w:rFonts w:ascii="Museo Sans 300" w:hAnsi="Museo Sans 300"/>
          <w:sz w:val="20"/>
          <w:szCs w:val="20"/>
        </w:rPr>
        <w:t xml:space="preserve"> del año pasado</w:t>
      </w:r>
      <w:r w:rsidRPr="00C1710A">
        <w:rPr>
          <w:rFonts w:ascii="Museo Sans 300" w:hAnsi="Museo Sans 300"/>
          <w:sz w:val="20"/>
          <w:szCs w:val="20"/>
        </w:rPr>
        <w:t>, la usuaria presentó un escrito indicando que acepta la existencia de una condición irregular en el suministro</w:t>
      </w:r>
      <w:r w:rsidR="003E4619">
        <w:rPr>
          <w:rFonts w:ascii="Museo Sans 300" w:hAnsi="Museo Sans 300"/>
          <w:sz w:val="20"/>
          <w:szCs w:val="20"/>
        </w:rPr>
        <w:t xml:space="preserve">; sin embargo, </w:t>
      </w:r>
      <w:r w:rsidRPr="00C1710A">
        <w:rPr>
          <w:rFonts w:ascii="Museo Sans 300" w:hAnsi="Museo Sans 300"/>
          <w:sz w:val="20"/>
          <w:szCs w:val="20"/>
        </w:rPr>
        <w:t>expone su desacuerdo con el monto en concepto de energía no registrada, en razón que la distribuidora no realizó una inspección al interior del inmueble</w:t>
      </w:r>
      <w:r w:rsidR="006F6B44">
        <w:rPr>
          <w:rFonts w:ascii="Museo Sans 300" w:hAnsi="Museo Sans 300"/>
          <w:sz w:val="20"/>
          <w:szCs w:val="20"/>
        </w:rPr>
        <w:t xml:space="preserve"> y solicitó</w:t>
      </w:r>
      <w:r w:rsidRPr="00C1710A">
        <w:rPr>
          <w:rFonts w:ascii="Museo Sans 300" w:hAnsi="Museo Sans 300"/>
          <w:sz w:val="20"/>
          <w:szCs w:val="20"/>
        </w:rPr>
        <w:t xml:space="preserve"> una inspección técnica en la vivienda. </w:t>
      </w:r>
    </w:p>
    <w:p w14:paraId="31A4871C" w14:textId="4A5D74A0" w:rsidR="00C1710A" w:rsidRPr="00C1710A" w:rsidRDefault="00C1710A" w:rsidP="00C1710A">
      <w:pPr>
        <w:pStyle w:val="paragraph"/>
        <w:spacing w:after="0"/>
        <w:ind w:left="426"/>
        <w:jc w:val="both"/>
        <w:rPr>
          <w:rFonts w:ascii="Museo Sans 300" w:hAnsi="Museo Sans 300"/>
          <w:sz w:val="20"/>
          <w:szCs w:val="20"/>
        </w:rPr>
      </w:pPr>
      <w:r w:rsidRPr="00C1710A">
        <w:rPr>
          <w:rFonts w:ascii="Museo Sans 300" w:hAnsi="Museo Sans 300"/>
          <w:sz w:val="20"/>
          <w:szCs w:val="20"/>
        </w:rPr>
        <w:t>El día treinta y uno de</w:t>
      </w:r>
      <w:r w:rsidR="006F6B44">
        <w:rPr>
          <w:rFonts w:ascii="Museo Sans 300" w:hAnsi="Museo Sans 300"/>
          <w:sz w:val="20"/>
          <w:szCs w:val="20"/>
        </w:rPr>
        <w:t>l mismo mes y</w:t>
      </w:r>
      <w:r w:rsidRPr="00C1710A">
        <w:rPr>
          <w:rFonts w:ascii="Museo Sans 300" w:hAnsi="Museo Sans 300"/>
          <w:sz w:val="20"/>
          <w:szCs w:val="20"/>
        </w:rPr>
        <w:t xml:space="preserve"> año, la distribuidora presentó un escrito en el cual manifestó que mantenía los argumentos y pruebas remitidos con anterioridad. </w:t>
      </w:r>
    </w:p>
    <w:p w14:paraId="2F905208" w14:textId="77777777" w:rsidR="00C1710A" w:rsidRPr="002F1716" w:rsidRDefault="00C1710A" w:rsidP="00C1710A">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E56B212" w14:textId="6D8ADC5C" w:rsidR="006F6B44" w:rsidRDefault="00303378" w:rsidP="006F6B44">
      <w:pPr>
        <w:pStyle w:val="paragraph"/>
        <w:spacing w:before="0" w:after="0"/>
        <w:ind w:left="426"/>
        <w:jc w:val="both"/>
        <w:rPr>
          <w:rFonts w:ascii="Museo Sans 300" w:hAnsi="Museo Sans 300"/>
          <w:sz w:val="20"/>
          <w:szCs w:val="20"/>
        </w:rPr>
      </w:pPr>
      <w:r w:rsidRPr="00185A42">
        <w:rPr>
          <w:rFonts w:ascii="Museo Sans 300" w:hAnsi="Museo Sans 300"/>
          <w:sz w:val="20"/>
          <w:szCs w:val="20"/>
        </w:rPr>
        <w:t xml:space="preserve">El día </w:t>
      </w:r>
      <w:r w:rsidR="006F6B44">
        <w:rPr>
          <w:rFonts w:ascii="Museo Sans 300" w:hAnsi="Museo Sans 300"/>
          <w:sz w:val="20"/>
          <w:szCs w:val="20"/>
        </w:rPr>
        <w:t>seis de octu</w:t>
      </w:r>
      <w:r>
        <w:rPr>
          <w:rFonts w:ascii="Museo Sans 300" w:hAnsi="Museo Sans 300"/>
          <w:sz w:val="20"/>
          <w:szCs w:val="20"/>
        </w:rPr>
        <w:t>bre</w:t>
      </w:r>
      <w:r w:rsidRPr="00185A42">
        <w:rPr>
          <w:rFonts w:ascii="Museo Sans 300" w:hAnsi="Museo Sans 300"/>
          <w:sz w:val="20"/>
          <w:szCs w:val="20"/>
        </w:rPr>
        <w:t xml:space="preserve"> del </w:t>
      </w:r>
      <w:r>
        <w:rPr>
          <w:rFonts w:ascii="Museo Sans 300" w:hAnsi="Museo Sans 300"/>
          <w:sz w:val="20"/>
          <w:szCs w:val="20"/>
        </w:rPr>
        <w:t>dos mil veintidós</w:t>
      </w:r>
      <w:r w:rsidRPr="00185A42">
        <w:rPr>
          <w:rFonts w:ascii="Museo Sans 300" w:hAnsi="Museo Sans 300"/>
          <w:sz w:val="20"/>
          <w:szCs w:val="20"/>
        </w:rPr>
        <w:t xml:space="preserve">, </w:t>
      </w:r>
      <w:r w:rsidR="006F6B44" w:rsidRPr="00C1710A">
        <w:rPr>
          <w:rFonts w:ascii="Museo Sans 300" w:hAnsi="Museo Sans 300"/>
          <w:sz w:val="20"/>
          <w:szCs w:val="20"/>
        </w:rPr>
        <w:t>el CAU remitió el memorando N.° M-0965-CAU-22, en el cual solicitó que se le conceda prórroga para rendir el informe técnico requerido en el acuerdo N.° E-1605-2022-CAU</w:t>
      </w:r>
      <w:r w:rsidR="006F6B44">
        <w:rPr>
          <w:rFonts w:ascii="Museo Sans 300" w:hAnsi="Museo Sans 300"/>
          <w:sz w:val="20"/>
          <w:szCs w:val="20"/>
        </w:rPr>
        <w:t>.</w:t>
      </w:r>
    </w:p>
    <w:p w14:paraId="3C95CBDC" w14:textId="77777777" w:rsidR="00303378" w:rsidRDefault="00303378" w:rsidP="00303378">
      <w:pPr>
        <w:pStyle w:val="Prrafodelista"/>
        <w:tabs>
          <w:tab w:val="left" w:pos="426"/>
        </w:tabs>
        <w:ind w:left="426"/>
        <w:jc w:val="both"/>
        <w:rPr>
          <w:rFonts w:ascii="Museo Sans 300" w:hAnsi="Museo Sans 300"/>
          <w:sz w:val="20"/>
          <w:szCs w:val="20"/>
          <w:lang w:val="es-SV"/>
        </w:rPr>
      </w:pPr>
    </w:p>
    <w:p w14:paraId="59BA9AE0" w14:textId="1B46B6CA" w:rsidR="00303378" w:rsidRPr="00185A42" w:rsidRDefault="00303378" w:rsidP="00303378">
      <w:pPr>
        <w:pStyle w:val="Prrafodelista"/>
        <w:tabs>
          <w:tab w:val="left" w:pos="426"/>
        </w:tabs>
        <w:ind w:left="426"/>
        <w:jc w:val="both"/>
        <w:rPr>
          <w:rFonts w:ascii="Museo Sans 300" w:hAnsi="Museo Sans 300"/>
          <w:sz w:val="20"/>
          <w:szCs w:val="20"/>
          <w:lang w:val="es-SV"/>
        </w:rPr>
      </w:pPr>
      <w:r w:rsidRPr="00185A42">
        <w:rPr>
          <w:rFonts w:ascii="Museo Sans 300" w:hAnsi="Museo Sans 300"/>
          <w:sz w:val="20"/>
          <w:szCs w:val="20"/>
          <w:lang w:val="es-SV"/>
        </w:rPr>
        <w:t>Por medio del acuerdo N.° E-1</w:t>
      </w:r>
      <w:r w:rsidR="006F6B44">
        <w:rPr>
          <w:rFonts w:ascii="Museo Sans 300" w:hAnsi="Museo Sans 300"/>
          <w:sz w:val="20"/>
          <w:szCs w:val="20"/>
          <w:lang w:val="es-SV"/>
        </w:rPr>
        <w:t>939</w:t>
      </w:r>
      <w:r w:rsidRPr="00185A42">
        <w:rPr>
          <w:rFonts w:ascii="Museo Sans 300" w:hAnsi="Museo Sans 300"/>
          <w:sz w:val="20"/>
          <w:szCs w:val="20"/>
          <w:lang w:val="es-SV"/>
        </w:rPr>
        <w:t>-2022-CAU</w:t>
      </w:r>
      <w:r>
        <w:rPr>
          <w:rFonts w:ascii="Museo Sans 300" w:hAnsi="Museo Sans 300"/>
          <w:sz w:val="20"/>
          <w:szCs w:val="20"/>
          <w:lang w:val="es-SV"/>
        </w:rPr>
        <w:t>,</w:t>
      </w:r>
      <w:r w:rsidRPr="00185A42">
        <w:rPr>
          <w:rFonts w:ascii="Museo Sans 300" w:hAnsi="Museo Sans 300"/>
          <w:sz w:val="20"/>
          <w:szCs w:val="20"/>
          <w:lang w:val="es-SV"/>
        </w:rPr>
        <w:t xml:space="preserve"> de fecha </w:t>
      </w:r>
      <w:r w:rsidR="006F6B44">
        <w:rPr>
          <w:rFonts w:ascii="Museo Sans 300" w:hAnsi="Museo Sans 300"/>
          <w:sz w:val="20"/>
          <w:szCs w:val="20"/>
          <w:lang w:val="es-SV"/>
        </w:rPr>
        <w:t>dieciocho de octu</w:t>
      </w:r>
      <w:r>
        <w:rPr>
          <w:rFonts w:ascii="Museo Sans 300" w:hAnsi="Museo Sans 300"/>
          <w:sz w:val="20"/>
          <w:szCs w:val="20"/>
          <w:lang w:val="es-SV"/>
        </w:rPr>
        <w:t>bre</w:t>
      </w:r>
      <w:r w:rsidRPr="00185A42">
        <w:rPr>
          <w:rFonts w:ascii="Museo Sans 300" w:hAnsi="Museo Sans 300"/>
          <w:sz w:val="20"/>
          <w:szCs w:val="20"/>
          <w:lang w:val="es-SV"/>
        </w:rPr>
        <w:t xml:space="preserve"> </w:t>
      </w:r>
      <w:r>
        <w:rPr>
          <w:rFonts w:ascii="Museo Sans 300" w:hAnsi="Museo Sans 300"/>
          <w:sz w:val="20"/>
          <w:szCs w:val="20"/>
          <w:lang w:val="es-SV"/>
        </w:rPr>
        <w:t>del año pasado</w:t>
      </w:r>
      <w:r w:rsidRPr="00185A42">
        <w:rPr>
          <w:rFonts w:ascii="Museo Sans 300" w:hAnsi="Museo Sans 300"/>
          <w:sz w:val="20"/>
          <w:szCs w:val="20"/>
          <w:lang w:val="es-SV"/>
        </w:rPr>
        <w:t xml:space="preserve">, se prorrogó el plazo para que el CAU rindiera el informe técnico requerido en el acuerdo N.° </w:t>
      </w:r>
      <w:r w:rsidR="00C1710A">
        <w:rPr>
          <w:rFonts w:ascii="Museo Sans 300" w:hAnsi="Museo Sans 300"/>
          <w:sz w:val="20"/>
          <w:szCs w:val="20"/>
        </w:rPr>
        <w:t>E-1605</w:t>
      </w:r>
      <w:r w:rsidRPr="00185A42">
        <w:rPr>
          <w:rFonts w:ascii="Museo Sans 300" w:hAnsi="Museo Sans 300"/>
          <w:sz w:val="20"/>
          <w:szCs w:val="20"/>
          <w:lang w:val="es-SV"/>
        </w:rPr>
        <w:t>-2022-CAU. </w:t>
      </w:r>
    </w:p>
    <w:p w14:paraId="66D4690D" w14:textId="77777777" w:rsidR="00303378" w:rsidRPr="00185A42" w:rsidRDefault="00303378" w:rsidP="00303378">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eastAsia="es-SV"/>
        </w:rPr>
        <w:t> </w:t>
      </w:r>
    </w:p>
    <w:p w14:paraId="7DCF0437" w14:textId="257ECBCF" w:rsidR="00303378" w:rsidRPr="00185A42" w:rsidRDefault="00303378" w:rsidP="00303378">
      <w:pPr>
        <w:suppressAutoHyphens w:val="0"/>
        <w:autoSpaceDN/>
        <w:spacing w:after="0" w:line="240" w:lineRule="auto"/>
        <w:ind w:left="420" w:right="135"/>
        <w:jc w:val="both"/>
        <w:rPr>
          <w:rFonts w:ascii="Segoe UI" w:eastAsia="Times New Roman" w:hAnsi="Segoe UI" w:cs="Segoe UI"/>
          <w:sz w:val="18"/>
          <w:szCs w:val="18"/>
          <w:lang w:eastAsia="es-SV"/>
        </w:rPr>
      </w:pPr>
      <w:r w:rsidRPr="00185A42">
        <w:rPr>
          <w:rFonts w:ascii="Museo Sans 300" w:eastAsia="Times New Roman" w:hAnsi="Museo Sans 300" w:cs="Segoe UI"/>
          <w:sz w:val="20"/>
          <w:szCs w:val="20"/>
          <w:lang w:val="es-ES" w:eastAsia="es-SV"/>
        </w:rPr>
        <w:t xml:space="preserve">Dicho acuerdo fue notificado a </w:t>
      </w:r>
      <w:r w:rsidRPr="00185A42">
        <w:rPr>
          <w:rFonts w:ascii="Museo Sans 300" w:eastAsia="Times New Roman" w:hAnsi="Museo Sans 300" w:cs="Segoe UI"/>
          <w:color w:val="000000"/>
          <w:sz w:val="20"/>
          <w:szCs w:val="20"/>
          <w:shd w:val="clear" w:color="auto" w:fill="FFFFFF"/>
          <w:lang w:val="es-ES" w:eastAsia="es-SV"/>
        </w:rPr>
        <w:t>la</w:t>
      </w:r>
      <w:r>
        <w:rPr>
          <w:rFonts w:ascii="Museo Sans 300" w:eastAsia="Times New Roman" w:hAnsi="Museo Sans 300" w:cs="Segoe UI"/>
          <w:color w:val="000000"/>
          <w:sz w:val="20"/>
          <w:szCs w:val="20"/>
          <w:shd w:val="clear" w:color="auto" w:fill="FFFFFF"/>
          <w:lang w:val="es-ES" w:eastAsia="es-SV"/>
        </w:rPr>
        <w:t xml:space="preserve">s partes el día </w:t>
      </w:r>
      <w:r w:rsidR="006F6B44">
        <w:rPr>
          <w:rFonts w:ascii="Museo Sans 300" w:eastAsia="Times New Roman" w:hAnsi="Museo Sans 300" w:cs="Segoe UI"/>
          <w:color w:val="000000"/>
          <w:sz w:val="20"/>
          <w:szCs w:val="20"/>
          <w:shd w:val="clear" w:color="auto" w:fill="FFFFFF"/>
          <w:lang w:val="es-ES" w:eastAsia="es-SV"/>
        </w:rPr>
        <w:t>veintiocho</w:t>
      </w:r>
      <w:r>
        <w:rPr>
          <w:rFonts w:ascii="Museo Sans 300" w:eastAsia="Times New Roman" w:hAnsi="Museo Sans 300" w:cs="Segoe UI"/>
          <w:color w:val="000000"/>
          <w:sz w:val="20"/>
          <w:szCs w:val="20"/>
          <w:shd w:val="clear" w:color="auto" w:fill="FFFFFF"/>
          <w:lang w:val="es-ES" w:eastAsia="es-SV"/>
        </w:rPr>
        <w:t xml:space="preserve"> de octubre</w:t>
      </w:r>
      <w:r w:rsidRPr="00185A42">
        <w:rPr>
          <w:rFonts w:ascii="Museo Sans 300" w:eastAsia="Times New Roman" w:hAnsi="Museo Sans 300" w:cs="Segoe UI"/>
          <w:color w:val="000000"/>
          <w:sz w:val="20"/>
          <w:szCs w:val="20"/>
          <w:shd w:val="clear" w:color="auto" w:fill="FFFFFF"/>
          <w:lang w:val="es-ES" w:eastAsia="es-SV"/>
        </w:rPr>
        <w:t xml:space="preserve"> del mismo año</w:t>
      </w:r>
      <w:r>
        <w:rPr>
          <w:rFonts w:ascii="Museo Sans 300" w:eastAsia="Times New Roman" w:hAnsi="Museo Sans 300" w:cs="Segoe UI"/>
          <w:color w:val="000000"/>
          <w:sz w:val="20"/>
          <w:szCs w:val="20"/>
          <w:shd w:val="clear" w:color="auto" w:fill="FFFFFF"/>
          <w:lang w:val="es-ES" w:eastAsia="es-SV"/>
        </w:rPr>
        <w:t>.</w:t>
      </w:r>
    </w:p>
    <w:p w14:paraId="7E9B641C" w14:textId="77777777" w:rsidR="00303378" w:rsidRDefault="00303378" w:rsidP="00C453AE">
      <w:pPr>
        <w:pStyle w:val="Prrafodelista"/>
        <w:tabs>
          <w:tab w:val="left" w:pos="426"/>
        </w:tabs>
        <w:ind w:left="426"/>
        <w:jc w:val="both"/>
        <w:rPr>
          <w:rFonts w:ascii="Museo Sans 300" w:hAnsi="Museo Sans 300"/>
          <w:sz w:val="20"/>
          <w:szCs w:val="20"/>
          <w:lang w:val="es-ES_tradnl"/>
        </w:rPr>
      </w:pPr>
    </w:p>
    <w:p w14:paraId="7067EC89" w14:textId="448DA0E3"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6F6B44">
        <w:rPr>
          <w:rFonts w:ascii="Museo Sans 300" w:hAnsi="Museo Sans 300"/>
          <w:sz w:val="20"/>
          <w:szCs w:val="20"/>
          <w:lang w:val="es-ES_tradnl"/>
        </w:rPr>
        <w:t>nueve</w:t>
      </w:r>
      <w:r w:rsidR="003F16CC">
        <w:rPr>
          <w:rFonts w:ascii="Museo Sans 300" w:hAnsi="Museo Sans 300"/>
          <w:sz w:val="20"/>
          <w:szCs w:val="20"/>
          <w:lang w:val="es-ES_tradnl"/>
        </w:rPr>
        <w:t xml:space="preserve"> de dic</w:t>
      </w:r>
      <w:r w:rsidR="008E5D18">
        <w:rPr>
          <w:rFonts w:ascii="Museo Sans 300" w:hAnsi="Museo Sans 300"/>
          <w:sz w:val="20"/>
          <w:szCs w:val="20"/>
          <w:lang w:val="es-ES_tradnl"/>
        </w:rPr>
        <w:t>iem</w:t>
      </w:r>
      <w:r w:rsidR="00386280">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 xml:space="preserve">l </w:t>
      </w:r>
      <w:r w:rsidR="007F5D0A">
        <w:rPr>
          <w:rFonts w:ascii="Museo Sans 300" w:hAnsi="Museo Sans 300"/>
          <w:sz w:val="20"/>
          <w:szCs w:val="20"/>
          <w:lang w:val="es-ES_tradnl"/>
        </w:rPr>
        <w:t>año pasado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6F6B44">
        <w:rPr>
          <w:rFonts w:ascii="Museo Sans 300" w:hAnsi="Museo Sans 300"/>
          <w:sz w:val="20"/>
          <w:szCs w:val="20"/>
          <w:lang w:val="es-SV"/>
        </w:rPr>
        <w:t>IT-0469</w:t>
      </w:r>
      <w:r w:rsidR="0036385F">
        <w:rPr>
          <w:rFonts w:ascii="Museo Sans 300" w:hAnsi="Museo Sans 300"/>
          <w:sz w:val="20"/>
          <w:szCs w:val="20"/>
          <w:lang w:val="es-SV"/>
        </w:rPr>
        <w:t>-CAU-22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74A259B"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1665A" w14:textId="5F1069A1" w:rsidR="006F6B44" w:rsidRDefault="006F6B44" w:rsidP="004A1699">
      <w:pPr>
        <w:pStyle w:val="Prrafodelista"/>
        <w:tabs>
          <w:tab w:val="left" w:pos="426"/>
        </w:tabs>
        <w:ind w:left="426"/>
        <w:jc w:val="both"/>
        <w:rPr>
          <w:rFonts w:ascii="Museo Sans 300" w:hAnsi="Museo Sans 300"/>
          <w:sz w:val="20"/>
          <w:szCs w:val="20"/>
          <w:lang w:val="es-SV"/>
        </w:rPr>
      </w:pPr>
    </w:p>
    <w:p w14:paraId="13B124A6" w14:textId="0DD7C202" w:rsidR="006F6B44" w:rsidRDefault="006F6B44" w:rsidP="004A1699">
      <w:pPr>
        <w:pStyle w:val="Prrafodelista"/>
        <w:tabs>
          <w:tab w:val="left" w:pos="426"/>
        </w:tabs>
        <w:ind w:left="426"/>
        <w:jc w:val="both"/>
        <w:rPr>
          <w:rFonts w:ascii="Museo Sans 300" w:hAnsi="Museo Sans 300"/>
          <w:sz w:val="20"/>
          <w:szCs w:val="20"/>
          <w:lang w:val="es-SV"/>
        </w:rPr>
      </w:pPr>
    </w:p>
    <w:p w14:paraId="293A8811" w14:textId="4582B6A3" w:rsidR="006F6B44" w:rsidRDefault="006F6B44" w:rsidP="004A1699">
      <w:pPr>
        <w:pStyle w:val="Prrafodelista"/>
        <w:tabs>
          <w:tab w:val="left" w:pos="426"/>
        </w:tabs>
        <w:ind w:left="426"/>
        <w:jc w:val="both"/>
        <w:rPr>
          <w:rFonts w:ascii="Museo Sans 300" w:hAnsi="Museo Sans 300"/>
          <w:sz w:val="20"/>
          <w:szCs w:val="20"/>
          <w:lang w:val="es-SV"/>
        </w:rPr>
      </w:pPr>
    </w:p>
    <w:p w14:paraId="42A5697A" w14:textId="5ECC3420" w:rsidR="006F6B44" w:rsidRDefault="006F6B44" w:rsidP="004A1699">
      <w:pPr>
        <w:pStyle w:val="Prrafodelista"/>
        <w:tabs>
          <w:tab w:val="left" w:pos="426"/>
        </w:tabs>
        <w:ind w:left="426"/>
        <w:jc w:val="both"/>
        <w:rPr>
          <w:rFonts w:ascii="Museo Sans 300" w:hAnsi="Museo Sans 300"/>
          <w:sz w:val="20"/>
          <w:szCs w:val="20"/>
          <w:lang w:val="es-SV"/>
        </w:rPr>
      </w:pPr>
    </w:p>
    <w:p w14:paraId="5AF8A26A" w14:textId="0F7BA0D7" w:rsidR="006F6B44" w:rsidRDefault="006F6B44" w:rsidP="004A1699">
      <w:pPr>
        <w:pStyle w:val="Prrafodelista"/>
        <w:tabs>
          <w:tab w:val="left" w:pos="426"/>
        </w:tabs>
        <w:ind w:left="426"/>
        <w:jc w:val="both"/>
        <w:rPr>
          <w:rFonts w:ascii="Museo Sans 300" w:hAnsi="Museo Sans 300"/>
          <w:sz w:val="20"/>
          <w:szCs w:val="20"/>
          <w:lang w:val="es-SV"/>
        </w:rPr>
      </w:pP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04074353" w:rsidR="004F237D" w:rsidRDefault="004F237D" w:rsidP="004F237D">
      <w:pPr>
        <w:spacing w:after="0" w:line="240" w:lineRule="auto"/>
        <w:ind w:left="426"/>
        <w:jc w:val="center"/>
        <w:rPr>
          <w:rFonts w:ascii="Museo Sans 300" w:hAnsi="Museo Sans 300"/>
          <w:sz w:val="20"/>
          <w:szCs w:val="20"/>
          <w:u w:val="single"/>
        </w:rPr>
      </w:pP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8EB91D3" w14:textId="5AE0F0FC" w:rsidR="00595D7A" w:rsidRPr="00595D7A" w:rsidRDefault="008B7A00" w:rsidP="00595D7A">
      <w:pPr>
        <w:ind w:left="709" w:right="709"/>
        <w:jc w:val="both"/>
        <w:rPr>
          <w:rFonts w:ascii="Museo 300" w:hAnsi="Museo 300"/>
          <w:sz w:val="16"/>
          <w:szCs w:val="16"/>
          <w:lang w:val="es-ES"/>
        </w:rPr>
      </w:pPr>
      <w:r w:rsidRPr="008E5D18">
        <w:rPr>
          <w:rFonts w:ascii="Museo 300" w:hAnsi="Museo 300"/>
          <w:sz w:val="16"/>
          <w:szCs w:val="16"/>
        </w:rPr>
        <w:t>[…]</w:t>
      </w:r>
      <w:r w:rsidR="008908E4" w:rsidRPr="008E5D18">
        <w:rPr>
          <w:rFonts w:ascii="Museo 300" w:hAnsi="Museo 300"/>
          <w:sz w:val="16"/>
          <w:szCs w:val="16"/>
        </w:rPr>
        <w:t xml:space="preserve"> </w:t>
      </w:r>
      <w:r w:rsidR="00595D7A">
        <w:rPr>
          <w:rFonts w:ascii="Museo 300" w:hAnsi="Museo 300"/>
          <w:sz w:val="16"/>
          <w:szCs w:val="16"/>
        </w:rPr>
        <w:t>C</w:t>
      </w:r>
      <w:r w:rsidR="00595D7A" w:rsidRPr="00595D7A">
        <w:rPr>
          <w:rFonts w:ascii="Museo 300" w:hAnsi="Museo 300"/>
          <w:sz w:val="16"/>
          <w:szCs w:val="16"/>
          <w:lang w:val="es-ES"/>
        </w:rPr>
        <w:t>onforme con la información que fue provista por la sociedad EEO se han extraído las siguientes fotografías mediante las cuales se observa la condición encontrada en el suministro en fecha 11 de mayo de 2022, detallando una supuesta condición irregular, consistente en una línea directa para un nivel de tensión de 240 voltios conectada desde las líneas de alumbrado público, la cual estaba oculta entre el follaje, cuya trayectoria se dirigía hacia un tablero eléctrico ubicado en la segunda planta del inmueble, esto con la finalidad de impedir el correcto registro de la totalidad de la energía consumida en el suministro.</w:t>
      </w:r>
    </w:p>
    <w:p w14:paraId="444B2BA0" w14:textId="77777777" w:rsidR="00595D7A" w:rsidRPr="00595D7A" w:rsidRDefault="00595D7A" w:rsidP="00595D7A">
      <w:pPr>
        <w:ind w:left="709" w:right="709"/>
        <w:jc w:val="both"/>
        <w:rPr>
          <w:rFonts w:ascii="Museo 300" w:eastAsia="SimSun" w:hAnsi="Museo 300"/>
          <w:color w:val="000000" w:themeColor="text1"/>
          <w:spacing w:val="-5"/>
          <w:sz w:val="16"/>
          <w:szCs w:val="16"/>
          <w:lang w:val="es-ES"/>
        </w:rPr>
      </w:pPr>
      <w:r w:rsidRPr="00595D7A">
        <w:rPr>
          <w:rFonts w:ascii="Museo 300" w:eastAsia="SimSun" w:hAnsi="Museo 300"/>
          <w:color w:val="000000" w:themeColor="text1"/>
          <w:spacing w:val="-5"/>
          <w:sz w:val="16"/>
          <w:szCs w:val="16"/>
          <w:lang w:val="es-ES"/>
        </w:rPr>
        <w:t>Al respecto, es de hacer notar que, el personal técnico de la distribuidora EEO no determinó cuales eran los equipos eléctricos en el interior de la vivienda que estaban demandando las corrientes mostradas; y de esa forma, aportar más evidencia que contribuyera a comprobar contundentemente la condición encontrada y las cargas que alimentaba.</w:t>
      </w:r>
    </w:p>
    <w:p w14:paraId="12D566AE" w14:textId="77777777" w:rsidR="00595D7A" w:rsidRPr="00595D7A" w:rsidRDefault="00595D7A" w:rsidP="00595D7A">
      <w:pPr>
        <w:ind w:left="709" w:right="709"/>
        <w:jc w:val="both"/>
        <w:rPr>
          <w:rFonts w:ascii="Museo 300" w:eastAsia="SimSun" w:hAnsi="Museo 300"/>
          <w:color w:val="000000" w:themeColor="text1"/>
          <w:spacing w:val="-5"/>
          <w:sz w:val="16"/>
          <w:szCs w:val="16"/>
          <w:lang w:val="es-ES"/>
        </w:rPr>
      </w:pPr>
      <w:r w:rsidRPr="00595D7A">
        <w:rPr>
          <w:rFonts w:ascii="Museo 300" w:eastAsia="SimSun" w:hAnsi="Museo 300"/>
          <w:color w:val="000000" w:themeColor="text1"/>
          <w:spacing w:val="-5"/>
          <w:sz w:val="16"/>
          <w:szCs w:val="16"/>
          <w:lang w:val="es-ES"/>
        </w:rPr>
        <w:t>De las pruebas presentadas relacionadas a la condición detectada por EEO en fecha 11 de mayo de 2022, se puede determinar lo siguiente:</w:t>
      </w:r>
    </w:p>
    <w:p w14:paraId="1FD0D49D" w14:textId="77777777" w:rsidR="00595D7A" w:rsidRPr="00595D7A" w:rsidRDefault="00595D7A" w:rsidP="00595D7A">
      <w:pPr>
        <w:numPr>
          <w:ilvl w:val="0"/>
          <w:numId w:val="27"/>
        </w:numPr>
        <w:ind w:left="1276" w:right="709"/>
        <w:jc w:val="both"/>
        <w:rPr>
          <w:rFonts w:ascii="Museo 300" w:eastAsia="SimSun" w:hAnsi="Museo 300"/>
          <w:color w:val="000000" w:themeColor="text1"/>
          <w:spacing w:val="-5"/>
          <w:sz w:val="16"/>
          <w:szCs w:val="16"/>
          <w:lang w:val="es-ES"/>
        </w:rPr>
      </w:pPr>
      <w:r w:rsidRPr="00595D7A">
        <w:rPr>
          <w:rFonts w:ascii="Museo 300" w:eastAsia="SimSun" w:hAnsi="Museo 300"/>
          <w:color w:val="000000" w:themeColor="text1"/>
          <w:spacing w:val="-5"/>
          <w:sz w:val="16"/>
          <w:szCs w:val="16"/>
          <w:lang w:val="es-ES"/>
        </w:rPr>
        <w:t>La distribuidora ha mostrado fotografías con las que se demuestran que existió una conexión irregular, consistente en una línea directa a 240 voltios conectada desde los cables alimentadores de una luminaria de alumbrado público y fuera de medición, la cual se dirigía hacia un tablero eléctrico ubicado en la segunda planta de la vivienda, esto con la finalidad de impedir el correcto registro de la energía consumida en el suministro.</w:t>
      </w:r>
    </w:p>
    <w:p w14:paraId="2EDB112C" w14:textId="77777777" w:rsidR="00595D7A" w:rsidRPr="00595D7A" w:rsidRDefault="00595D7A" w:rsidP="00595D7A">
      <w:pPr>
        <w:numPr>
          <w:ilvl w:val="0"/>
          <w:numId w:val="27"/>
        </w:numPr>
        <w:ind w:left="1276" w:right="709"/>
        <w:jc w:val="both"/>
        <w:rPr>
          <w:rFonts w:ascii="Museo 300" w:eastAsia="SimSun" w:hAnsi="Museo 300"/>
          <w:color w:val="000000" w:themeColor="text1"/>
          <w:spacing w:val="-5"/>
          <w:sz w:val="16"/>
          <w:szCs w:val="16"/>
          <w:lang w:val="es-ES"/>
        </w:rPr>
      </w:pPr>
      <w:r w:rsidRPr="00595D7A">
        <w:rPr>
          <w:rFonts w:ascii="Museo 300" w:eastAsia="SimSun" w:hAnsi="Museo 300"/>
          <w:color w:val="000000" w:themeColor="text1"/>
          <w:spacing w:val="-5"/>
          <w:sz w:val="16"/>
          <w:szCs w:val="16"/>
          <w:lang w:val="es-ES"/>
        </w:rPr>
        <w:t>Se observo “costra” formada en la conexión de la línea directa y los alimentadores de la lampara del alumbrado público mostrado en las fotografías 5-D y 5-E, esto debido a la unión bimetálica entre el cobre y el aluminio, lo cual es un indicio de que la conexión no era reciente.</w:t>
      </w:r>
    </w:p>
    <w:p w14:paraId="06C3EB05" w14:textId="77777777" w:rsidR="00595D7A" w:rsidRPr="00595D7A" w:rsidRDefault="00595D7A" w:rsidP="00595D7A">
      <w:pPr>
        <w:numPr>
          <w:ilvl w:val="0"/>
          <w:numId w:val="27"/>
        </w:numPr>
        <w:ind w:left="1276" w:right="709"/>
        <w:jc w:val="both"/>
        <w:rPr>
          <w:rFonts w:ascii="Museo 300" w:eastAsia="SimSun" w:hAnsi="Museo 300"/>
          <w:color w:val="000000" w:themeColor="text1"/>
          <w:spacing w:val="-5"/>
          <w:sz w:val="16"/>
          <w:szCs w:val="16"/>
          <w:lang w:val="es-ES"/>
        </w:rPr>
      </w:pPr>
      <w:r w:rsidRPr="00595D7A">
        <w:rPr>
          <w:rFonts w:ascii="Museo 300" w:eastAsia="SimSun" w:hAnsi="Museo 300"/>
          <w:color w:val="000000" w:themeColor="text1"/>
          <w:spacing w:val="-5"/>
          <w:sz w:val="16"/>
          <w:szCs w:val="16"/>
          <w:lang w:val="es-ES"/>
        </w:rPr>
        <w:t>El personal de EEO procedió a tomar registro de las corrientes instantáneas que circulaban en la línea fuera de medición, obteniendo valores de 13.73 amperios en la fase “A” y 9.01 amperios en la fase “B”; tal y como se muestra en la fotografía # 6.</w:t>
      </w:r>
    </w:p>
    <w:p w14:paraId="48246855" w14:textId="5D4A7CCB" w:rsidR="00D77F9D" w:rsidRPr="007C27AB" w:rsidRDefault="00595D7A" w:rsidP="00595D7A">
      <w:pPr>
        <w:ind w:left="709" w:right="709"/>
        <w:jc w:val="both"/>
        <w:rPr>
          <w:rFonts w:ascii="Museo 300" w:hAnsi="Museo 300"/>
          <w:sz w:val="16"/>
          <w:szCs w:val="16"/>
        </w:rPr>
      </w:pPr>
      <w:r w:rsidRPr="00595D7A">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existió una condición irregular consistente en una línea directa a 240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2022.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1BD30165" w14:textId="1109262C" w:rsidR="0093035D" w:rsidRDefault="0093035D"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Argumentos de la usuaria</w:t>
      </w:r>
    </w:p>
    <w:p w14:paraId="270A1CC2" w14:textId="33462B0D" w:rsidR="0093035D" w:rsidRDefault="0093035D" w:rsidP="00595D7A">
      <w:pPr>
        <w:spacing w:after="0" w:line="240" w:lineRule="auto"/>
        <w:ind w:left="426"/>
        <w:jc w:val="both"/>
        <w:rPr>
          <w:rFonts w:ascii="Museo Sans 300" w:hAnsi="Museo Sans 300"/>
          <w:sz w:val="20"/>
          <w:szCs w:val="20"/>
          <w:u w:val="single"/>
        </w:rPr>
      </w:pPr>
    </w:p>
    <w:p w14:paraId="6E261FAC" w14:textId="77777777" w:rsidR="0093035D" w:rsidRPr="0093035D" w:rsidRDefault="0093035D" w:rsidP="0093035D">
      <w:pPr>
        <w:ind w:left="709" w:right="709"/>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Como se indicó previamente, la usuaria en presentó un escrito el 29 de agosto de 2022, con el fin de justificar su inconformidad referente al cobro facturado por la distribuidora EEO, con base en los argumentos siguientes:</w:t>
      </w:r>
    </w:p>
    <w:p w14:paraId="4188CF34" w14:textId="013C6B28" w:rsidR="0093035D" w:rsidRPr="0093035D" w:rsidRDefault="0093035D" w:rsidP="0093035D">
      <w:pPr>
        <w:tabs>
          <w:tab w:val="left" w:pos="8789"/>
        </w:tabs>
        <w:ind w:left="1418" w:right="1134"/>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 xml:space="preserve">(…) El motivo de la presente. (sic) Es hacer referencia al reclamo. (sic) 1467-WA-2022 a nombre de mi persona. (sic) </w:t>
      </w:r>
      <w:proofErr w:type="spellStart"/>
      <w:r w:rsidR="00E12E86">
        <w:rPr>
          <w:rFonts w:ascii="Museo 300" w:eastAsia="SimSun" w:hAnsi="Museo 300"/>
          <w:color w:val="000000" w:themeColor="text1"/>
          <w:spacing w:val="-5"/>
          <w:sz w:val="16"/>
          <w:szCs w:val="16"/>
          <w:lang w:val="es-ES"/>
        </w:rPr>
        <w:t>xxxx</w:t>
      </w:r>
      <w:proofErr w:type="spellEnd"/>
      <w:r w:rsidRPr="0093035D">
        <w:rPr>
          <w:rFonts w:ascii="Museo 300" w:eastAsia="SimSun" w:hAnsi="Museo 300"/>
          <w:color w:val="000000" w:themeColor="text1"/>
          <w:spacing w:val="-5"/>
          <w:sz w:val="16"/>
          <w:szCs w:val="16"/>
          <w:lang w:val="es-ES"/>
        </w:rPr>
        <w:t xml:space="preserve"> con NIC </w:t>
      </w:r>
      <w:proofErr w:type="spellStart"/>
      <w:r w:rsidR="00E12E86">
        <w:rPr>
          <w:rFonts w:ascii="Museo 300" w:eastAsia="SimSun" w:hAnsi="Museo 300"/>
          <w:color w:val="000000" w:themeColor="text1"/>
          <w:spacing w:val="-5"/>
          <w:sz w:val="16"/>
          <w:szCs w:val="16"/>
          <w:lang w:val="es-ES"/>
        </w:rPr>
        <w:t>xxxx</w:t>
      </w:r>
      <w:proofErr w:type="spellEnd"/>
      <w:r w:rsidRPr="0093035D">
        <w:rPr>
          <w:rFonts w:ascii="Museo 300" w:eastAsia="SimSun" w:hAnsi="Museo 300"/>
          <w:color w:val="000000" w:themeColor="text1"/>
          <w:spacing w:val="-5"/>
          <w:sz w:val="16"/>
          <w:szCs w:val="16"/>
          <w:lang w:val="es-ES"/>
        </w:rPr>
        <w:t xml:space="preserve"> con respecto a una conexión irregular la cual aceptó (sic) que existió.</w:t>
      </w:r>
    </w:p>
    <w:p w14:paraId="653015C8" w14:textId="77777777" w:rsidR="0093035D" w:rsidRPr="0093035D" w:rsidRDefault="0093035D" w:rsidP="0093035D">
      <w:pPr>
        <w:tabs>
          <w:tab w:val="left" w:pos="8789"/>
        </w:tabs>
        <w:ind w:left="1418" w:right="1134"/>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Mi inconformidad es que los señores de la EEO SA (sic) de CV. (sic) Primero vinieron a mi casa sin estar nadie presente por lo cual no pueden argumentar que existen dos aires acondicionados conectados a esa conexión irregular y también alegan que la segunda planta de mi casa estaba conectada a esa línea lo cual no es así.</w:t>
      </w:r>
    </w:p>
    <w:p w14:paraId="734C5319" w14:textId="77777777" w:rsidR="0093035D" w:rsidRPr="0093035D" w:rsidRDefault="0093035D" w:rsidP="0093035D">
      <w:pPr>
        <w:tabs>
          <w:tab w:val="left" w:pos="8789"/>
        </w:tabs>
        <w:ind w:left="1418" w:right="1134"/>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Como pudieron argumentar eso si no había nadie en mi casa.</w:t>
      </w:r>
    </w:p>
    <w:p w14:paraId="3770F630" w14:textId="77777777" w:rsidR="0093035D" w:rsidRPr="0093035D" w:rsidRDefault="0093035D" w:rsidP="0093035D">
      <w:pPr>
        <w:tabs>
          <w:tab w:val="left" w:pos="8789"/>
        </w:tabs>
        <w:ind w:left="1418" w:right="1134"/>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De eso tenemos pruebas por lo cual pido una inspección de verificación (…)</w:t>
      </w:r>
    </w:p>
    <w:p w14:paraId="7BBDD7DD" w14:textId="77777777" w:rsidR="0093035D" w:rsidRPr="0093035D" w:rsidRDefault="0093035D" w:rsidP="0093035D">
      <w:pPr>
        <w:ind w:left="709" w:right="709"/>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Sintetizando los argumentos presentados por la usuaria, se expone el siguiente punto:</w:t>
      </w:r>
    </w:p>
    <w:p w14:paraId="3D0F385D" w14:textId="77777777" w:rsidR="0093035D" w:rsidRPr="0093035D" w:rsidRDefault="0093035D" w:rsidP="0093035D">
      <w:pPr>
        <w:ind w:left="709" w:right="709"/>
        <w:jc w:val="both"/>
        <w:rPr>
          <w:rFonts w:ascii="Museo 300" w:eastAsia="SimSun" w:hAnsi="Museo 300"/>
          <w:b/>
          <w:bCs/>
          <w:color w:val="000000" w:themeColor="text1"/>
          <w:spacing w:val="-5"/>
          <w:sz w:val="16"/>
          <w:szCs w:val="16"/>
          <w:lang w:val="es-ES"/>
        </w:rPr>
      </w:pPr>
      <w:r w:rsidRPr="0093035D">
        <w:rPr>
          <w:rFonts w:ascii="Museo 300" w:eastAsia="SimSun" w:hAnsi="Museo 300"/>
          <w:b/>
          <w:bCs/>
          <w:color w:val="000000" w:themeColor="text1"/>
          <w:spacing w:val="-5"/>
          <w:sz w:val="16"/>
          <w:szCs w:val="16"/>
          <w:lang w:val="es-ES"/>
        </w:rPr>
        <w:t>Análisis del CAU:</w:t>
      </w:r>
    </w:p>
    <w:p w14:paraId="635CC4A8" w14:textId="77777777" w:rsidR="0093035D" w:rsidRPr="0093035D" w:rsidRDefault="0093035D" w:rsidP="0093035D">
      <w:pPr>
        <w:ind w:left="709" w:right="709"/>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 xml:space="preserve">Del análisis realizado en el apartado anterior, se determinó la existencia de una condición irregular, situación que no es negada por la denunciante; sin embargo, la usuaria argumenta que no eran los dos equipos de aire acondicionados conectados a la línea con conexión irregular. De lo anterior, es de hacer notar que a la fecha de la elaboración del presente </w:t>
      </w:r>
      <w:r w:rsidRPr="0093035D">
        <w:rPr>
          <w:rFonts w:ascii="Museo 300" w:eastAsia="SimSun" w:hAnsi="Museo 300"/>
          <w:color w:val="000000" w:themeColor="text1"/>
          <w:spacing w:val="-5"/>
          <w:sz w:val="16"/>
          <w:szCs w:val="16"/>
          <w:lang w:val="es-ES"/>
        </w:rPr>
        <w:lastRenderedPageBreak/>
        <w:t xml:space="preserve">informe la denunciante no presentó ninguna prueba con la cual sustente dicha aseveración, y que esta sirviera para determinar las cargas que estaban conectadas a la línea directa encontrada por EEO, para con ello poder establecer el tiempo de uso y en consecuencia la ENR. </w:t>
      </w:r>
    </w:p>
    <w:p w14:paraId="5C96EA36" w14:textId="77777777" w:rsidR="0093035D" w:rsidRPr="0093035D" w:rsidRDefault="0093035D" w:rsidP="0093035D">
      <w:pPr>
        <w:ind w:left="709" w:right="709"/>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Bajo el contexto anterior, es preciso indicar que el análisis que realiza el personal técnico del CAU de SIGET es basándose en las pruebas aportadas por ambas partes, no en análisis de supuestos. De tal manera que, el CAU comprueba la autenticidad de los hechos sometidos a su conocimiento, valorando técnicamente la pertinencia y contundencia de tales pruebas.</w:t>
      </w:r>
    </w:p>
    <w:p w14:paraId="44BEF323" w14:textId="77777777" w:rsidR="0093035D" w:rsidRPr="0093035D" w:rsidRDefault="0093035D" w:rsidP="0093035D">
      <w:pPr>
        <w:ind w:left="709" w:right="709"/>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En ese sentido, la denunciante no presentó ninguna evidencia con la cual sustente que la condición irregular encontrada no era para los equipos de aire acondicionados determinados por el CAU en la visita técnica realizada. Por lo tanto, no se tiene mayor evidencia que respalde esta afirmación.</w:t>
      </w:r>
    </w:p>
    <w:p w14:paraId="6C8255D0" w14:textId="77777777" w:rsidR="0093035D" w:rsidRPr="0093035D" w:rsidRDefault="0093035D" w:rsidP="0093035D">
      <w:pPr>
        <w:ind w:left="709" w:right="709"/>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 xml:space="preserve">Por lo anteriormente expuesto, en referencia a lo manifestado por </w:t>
      </w:r>
      <w:r w:rsidRPr="0093035D" w:rsidDel="008325F5">
        <w:rPr>
          <w:rFonts w:ascii="Museo 300" w:eastAsia="SimSun" w:hAnsi="Museo 300"/>
          <w:color w:val="000000" w:themeColor="text1"/>
          <w:spacing w:val="-5"/>
          <w:sz w:val="16"/>
          <w:szCs w:val="16"/>
          <w:lang w:val="es-ES"/>
        </w:rPr>
        <w:t>la denunciante</w:t>
      </w:r>
      <w:r w:rsidRPr="0093035D">
        <w:rPr>
          <w:rFonts w:ascii="Museo 300" w:eastAsia="SimSun" w:hAnsi="Museo 300"/>
          <w:color w:val="000000" w:themeColor="text1"/>
          <w:spacing w:val="-5"/>
          <w:sz w:val="16"/>
          <w:szCs w:val="16"/>
          <w:lang w:val="es-ES"/>
        </w:rPr>
        <w:t>, no aportó pruebas con las cuales determinar la carga real que estaba fuera de medición manifestado en su reclamo, y con ello desacreditar lo presentado por la sociedad EEO y lo determinado por el CAU.</w:t>
      </w:r>
    </w:p>
    <w:p w14:paraId="291E2E36" w14:textId="2B69FB1B" w:rsidR="00595D7A" w:rsidRDefault="00595D7A" w:rsidP="00595D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existencia de una condición irregular:</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FFB14F1" w14:textId="33470B28" w:rsidR="0093035D" w:rsidRPr="0093035D" w:rsidRDefault="0093035D" w:rsidP="0093035D">
      <w:pPr>
        <w:spacing w:after="0" w:line="0" w:lineRule="atLeast"/>
        <w:ind w:left="709" w:right="709"/>
        <w:jc w:val="both"/>
        <w:rPr>
          <w:rFonts w:ascii="Museo 300" w:hAnsi="Museo 300"/>
          <w:sz w:val="16"/>
          <w:szCs w:val="16"/>
          <w:lang w:val="es-ES"/>
        </w:rPr>
      </w:pPr>
      <w:r>
        <w:rPr>
          <w:rFonts w:ascii="Museo 300" w:hAnsi="Museo 300"/>
          <w:sz w:val="16"/>
          <w:szCs w:val="16"/>
          <w:lang w:val="es-ES"/>
        </w:rPr>
        <w:t xml:space="preserve">(…) </w:t>
      </w:r>
      <w:r w:rsidRPr="0093035D">
        <w:rPr>
          <w:rFonts w:ascii="Museo 300" w:hAnsi="Museo 300"/>
          <w:sz w:val="16"/>
          <w:szCs w:val="16"/>
          <w:lang w:val="es-ES"/>
        </w:rPr>
        <w:t>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5E5F68B8" w14:textId="77777777" w:rsidR="0093035D" w:rsidRPr="0093035D" w:rsidRDefault="0093035D" w:rsidP="0093035D">
      <w:pPr>
        <w:spacing w:after="0" w:line="0" w:lineRule="atLeast"/>
        <w:ind w:left="709" w:right="709"/>
        <w:jc w:val="both"/>
        <w:rPr>
          <w:rFonts w:ascii="Museo 300" w:hAnsi="Museo 300"/>
          <w:sz w:val="16"/>
          <w:szCs w:val="16"/>
          <w:lang w:val="es-ES"/>
        </w:rPr>
      </w:pPr>
    </w:p>
    <w:p w14:paraId="0D414EC3" w14:textId="77777777" w:rsidR="0093035D" w:rsidRPr="0093035D" w:rsidRDefault="0093035D" w:rsidP="0093035D">
      <w:pPr>
        <w:spacing w:after="0" w:line="0" w:lineRule="atLeast"/>
        <w:ind w:left="709" w:right="709"/>
        <w:jc w:val="both"/>
        <w:rPr>
          <w:rFonts w:ascii="Museo 300" w:hAnsi="Museo 300"/>
          <w:sz w:val="16"/>
          <w:szCs w:val="16"/>
          <w:lang w:val="es-ES"/>
        </w:rPr>
      </w:pPr>
      <w:r w:rsidRPr="0093035D">
        <w:rPr>
          <w:rFonts w:ascii="Museo 300" w:hAnsi="Museo 300"/>
          <w:sz w:val="16"/>
          <w:szCs w:val="16"/>
          <w:lang w:val="es-ES"/>
        </w:rPr>
        <w:t>Cabe destacar que, al observar la fotografía 5-C se muestra que la trayectoria de la línea directa ingresa al tablero eléctrico ubicado en la segunda planta, el cual posee solamente dos equipos de aire acondicionado para un nivel de tensión de 240 VAC conectados a él, y debido a que la línea directa era para el mismo nivel de tensión, el CAU establece que dichos equipos eran los que estaban conectados fuera de medición.</w:t>
      </w:r>
    </w:p>
    <w:p w14:paraId="1D77423E" w14:textId="77777777" w:rsidR="0093035D" w:rsidRPr="0093035D" w:rsidRDefault="0093035D" w:rsidP="0093035D">
      <w:pPr>
        <w:spacing w:after="0" w:line="0" w:lineRule="atLeast"/>
        <w:ind w:left="709" w:right="709"/>
        <w:jc w:val="both"/>
        <w:rPr>
          <w:rFonts w:ascii="Museo 300" w:hAnsi="Museo 300"/>
          <w:sz w:val="16"/>
          <w:szCs w:val="16"/>
          <w:lang w:val="es-ES"/>
        </w:rPr>
      </w:pPr>
    </w:p>
    <w:p w14:paraId="03350F3B" w14:textId="77777777" w:rsidR="0093035D" w:rsidRPr="0093035D" w:rsidRDefault="0093035D" w:rsidP="0093035D">
      <w:pPr>
        <w:spacing w:after="0" w:line="0" w:lineRule="atLeast"/>
        <w:ind w:left="709" w:right="709"/>
        <w:jc w:val="both"/>
        <w:rPr>
          <w:rFonts w:ascii="Museo 300" w:hAnsi="Museo 300"/>
          <w:sz w:val="16"/>
          <w:szCs w:val="16"/>
          <w:lang w:val="es-ES"/>
        </w:rPr>
      </w:pPr>
      <w:r w:rsidRPr="0093035D">
        <w:rPr>
          <w:rFonts w:ascii="Museo 300" w:hAnsi="Museo 300"/>
          <w:sz w:val="16"/>
          <w:szCs w:val="16"/>
          <w:lang w:val="es-ES"/>
        </w:rPr>
        <w:t xml:space="preserve">Por otra parte, debe destacarse que los consumos promedios que se muestran posteriores a la normalización del suministro no reflejan el consumo de los equipos de aire acondicionado en mención, estimados en el censo de cargas realizado por el personal técnico del CAU; es decir posterior a la eliminación de la condición irregular no se observa un consumo representativo de las cargas detalladas en la tabla </w:t>
      </w:r>
      <w:proofErr w:type="spellStart"/>
      <w:r w:rsidRPr="0093035D">
        <w:rPr>
          <w:rFonts w:ascii="Museo 300" w:hAnsi="Museo 300"/>
          <w:sz w:val="16"/>
          <w:szCs w:val="16"/>
          <w:lang w:val="es-ES"/>
        </w:rPr>
        <w:t>n.°</w:t>
      </w:r>
      <w:proofErr w:type="spellEnd"/>
      <w:r w:rsidRPr="0093035D">
        <w:rPr>
          <w:rFonts w:ascii="Museo 300" w:hAnsi="Museo 300"/>
          <w:sz w:val="16"/>
          <w:szCs w:val="16"/>
          <w:lang w:val="es-ES"/>
        </w:rPr>
        <w:t xml:space="preserve"> 1, esto es debido a que dicho suministro es para un nivel de tensión no apto para el funcionamiento de los equipos en mención; por lo tanto, posterior a la normalización del suministro, estos no están siendo utilizados.</w:t>
      </w:r>
    </w:p>
    <w:p w14:paraId="25960195" w14:textId="77777777" w:rsidR="0093035D" w:rsidRPr="0093035D" w:rsidRDefault="0093035D" w:rsidP="0093035D">
      <w:pPr>
        <w:spacing w:after="0" w:line="0" w:lineRule="atLeast"/>
        <w:ind w:left="709" w:right="709"/>
        <w:jc w:val="both"/>
        <w:rPr>
          <w:rFonts w:ascii="Museo 300" w:hAnsi="Museo 300"/>
          <w:sz w:val="16"/>
          <w:szCs w:val="16"/>
          <w:lang w:val="es-ES"/>
        </w:rPr>
      </w:pPr>
    </w:p>
    <w:p w14:paraId="06C77EFC" w14:textId="4783D366" w:rsidR="0093035D" w:rsidRDefault="0093035D" w:rsidP="0093035D">
      <w:pPr>
        <w:spacing w:after="0" w:line="0" w:lineRule="atLeast"/>
        <w:ind w:left="709" w:right="709"/>
        <w:jc w:val="both"/>
        <w:rPr>
          <w:rFonts w:ascii="Museo 300" w:hAnsi="Museo 300"/>
          <w:sz w:val="16"/>
          <w:szCs w:val="16"/>
          <w:lang w:val="es-ES"/>
        </w:rPr>
      </w:pPr>
      <w:r w:rsidRPr="0093035D">
        <w:rPr>
          <w:rFonts w:ascii="Museo 300" w:hAnsi="Museo 300"/>
          <w:sz w:val="16"/>
          <w:szCs w:val="16"/>
          <w:lang w:val="es-ES"/>
        </w:rPr>
        <w:t>Bajo el contexto anterior, a partir de la información a la que se ha tenido acceso en la presente investigación, se plantean las siguientes valoraciones con respecto al método a utilizar por el CAU para el cálculo de la ENR.</w:t>
      </w:r>
    </w:p>
    <w:p w14:paraId="2751D00A" w14:textId="77777777" w:rsidR="0093035D" w:rsidRPr="0093035D" w:rsidRDefault="0093035D" w:rsidP="0093035D">
      <w:pPr>
        <w:spacing w:after="0" w:line="0" w:lineRule="atLeast"/>
        <w:ind w:left="709" w:right="709"/>
        <w:jc w:val="both"/>
        <w:rPr>
          <w:rFonts w:ascii="Museo 300" w:hAnsi="Museo 300"/>
          <w:sz w:val="16"/>
          <w:szCs w:val="16"/>
          <w:lang w:val="es-ES"/>
        </w:rPr>
      </w:pPr>
    </w:p>
    <w:p w14:paraId="2E5F4976" w14:textId="77777777" w:rsidR="0093035D" w:rsidRPr="0093035D" w:rsidRDefault="0093035D" w:rsidP="0093035D">
      <w:pPr>
        <w:numPr>
          <w:ilvl w:val="0"/>
          <w:numId w:val="29"/>
        </w:numPr>
        <w:spacing w:after="0" w:line="0" w:lineRule="atLeast"/>
        <w:ind w:left="1276" w:right="709"/>
        <w:jc w:val="both"/>
        <w:rPr>
          <w:rFonts w:ascii="Museo 300" w:hAnsi="Museo 300"/>
          <w:sz w:val="16"/>
          <w:szCs w:val="16"/>
          <w:lang w:val="es-ES"/>
        </w:rPr>
      </w:pPr>
      <w:r w:rsidRPr="0093035D">
        <w:rPr>
          <w:rFonts w:ascii="Museo 300" w:hAnsi="Museo 300"/>
          <w:sz w:val="16"/>
          <w:szCs w:val="16"/>
          <w:lang w:val="es-ES"/>
        </w:rPr>
        <w:t>El cálculo de la ENR obtenido por EEO, tomando como la corriente instantánea y bajo el criterio que esta era constante durante 12 horas diarias no será considerado para el recálculo de la energía a recuperar, debido a las inconsistencias expresadas por el CAU en la sección anterior.</w:t>
      </w:r>
    </w:p>
    <w:p w14:paraId="18920B63" w14:textId="77777777" w:rsidR="0093035D" w:rsidRPr="0093035D" w:rsidRDefault="0093035D" w:rsidP="0093035D">
      <w:pPr>
        <w:spacing w:after="0" w:line="0" w:lineRule="atLeast"/>
        <w:ind w:left="1276" w:right="709"/>
        <w:jc w:val="both"/>
        <w:rPr>
          <w:rFonts w:ascii="Museo 300" w:hAnsi="Museo 300"/>
          <w:sz w:val="16"/>
          <w:szCs w:val="16"/>
          <w:lang w:val="es-ES"/>
        </w:rPr>
      </w:pPr>
    </w:p>
    <w:p w14:paraId="35CB8E70" w14:textId="77777777" w:rsidR="0093035D" w:rsidRPr="0093035D" w:rsidRDefault="0093035D" w:rsidP="0093035D">
      <w:pPr>
        <w:numPr>
          <w:ilvl w:val="0"/>
          <w:numId w:val="28"/>
        </w:numPr>
        <w:spacing w:after="0" w:line="0" w:lineRule="atLeast"/>
        <w:ind w:left="1276" w:right="709"/>
        <w:jc w:val="both"/>
        <w:rPr>
          <w:rFonts w:ascii="Museo 300" w:hAnsi="Museo 300"/>
          <w:sz w:val="16"/>
          <w:szCs w:val="16"/>
          <w:lang w:val="es-ES"/>
        </w:rPr>
      </w:pPr>
      <w:r w:rsidRPr="0093035D">
        <w:rPr>
          <w:rFonts w:ascii="Museo 300" w:hAnsi="Museo 300"/>
          <w:sz w:val="16"/>
          <w:szCs w:val="16"/>
          <w:lang w:val="es-ES"/>
        </w:rPr>
        <w:t xml:space="preserve">El método por utilizar para la ENR a recuperar por EEO, será el establecido en el artículo 5.2 literal c) del Procedimiento para Investigar la Existencia de Condiciones Irregulares, de tal manera que se utilizará la carga no medida o registrada que fue determinada por el CAU durante la inspección </w:t>
      </w:r>
      <w:r w:rsidRPr="0093035D">
        <w:rPr>
          <w:rFonts w:ascii="Museo 300" w:hAnsi="Museo 300"/>
          <w:i/>
          <w:sz w:val="16"/>
          <w:szCs w:val="16"/>
          <w:lang w:val="es-ES"/>
        </w:rPr>
        <w:t>in situ</w:t>
      </w:r>
      <w:r w:rsidRPr="0093035D">
        <w:rPr>
          <w:rFonts w:ascii="Museo 300" w:hAnsi="Museo 300"/>
          <w:sz w:val="16"/>
          <w:szCs w:val="16"/>
          <w:lang w:val="es-ES"/>
        </w:rPr>
        <w:t xml:space="preserve">, como promedio mensual, la cual resultó de 578 kWh, y será la base para el recálculo de la energía a recuperar. </w:t>
      </w:r>
    </w:p>
    <w:p w14:paraId="5D241E60" w14:textId="77777777" w:rsidR="0093035D" w:rsidRPr="0093035D" w:rsidRDefault="0093035D" w:rsidP="0093035D">
      <w:pPr>
        <w:spacing w:after="0" w:line="0" w:lineRule="atLeast"/>
        <w:ind w:left="1276" w:right="709"/>
        <w:jc w:val="both"/>
        <w:rPr>
          <w:rFonts w:ascii="Museo 300" w:hAnsi="Museo 300"/>
          <w:sz w:val="16"/>
          <w:szCs w:val="16"/>
          <w:lang w:val="es-ES"/>
        </w:rPr>
      </w:pPr>
    </w:p>
    <w:p w14:paraId="4DAE31D9" w14:textId="77777777" w:rsidR="0093035D" w:rsidRPr="0093035D" w:rsidRDefault="0093035D" w:rsidP="0093035D">
      <w:pPr>
        <w:numPr>
          <w:ilvl w:val="0"/>
          <w:numId w:val="28"/>
        </w:numPr>
        <w:spacing w:after="0" w:line="0" w:lineRule="atLeast"/>
        <w:ind w:left="1276" w:right="709"/>
        <w:jc w:val="both"/>
        <w:rPr>
          <w:rFonts w:ascii="Museo 300" w:hAnsi="Museo 300"/>
          <w:sz w:val="16"/>
          <w:szCs w:val="16"/>
          <w:lang w:val="es-ES"/>
        </w:rPr>
      </w:pPr>
      <w:r w:rsidRPr="0093035D">
        <w:rPr>
          <w:rFonts w:ascii="Museo 300" w:hAnsi="Museo 300"/>
          <w:sz w:val="16"/>
          <w:szCs w:val="16"/>
          <w:lang w:val="es-ES"/>
        </w:rPr>
        <w:t>El período retroactivo de recuperación corresponde a 180 días comprendidos entre el 12 de noviembre de 2021 al 11 de mayo de 2022, fecha en que se normalizó el suministro.</w:t>
      </w:r>
    </w:p>
    <w:p w14:paraId="2EBB3E08" w14:textId="77777777" w:rsidR="0093035D" w:rsidRPr="0093035D" w:rsidRDefault="0093035D" w:rsidP="0093035D">
      <w:pPr>
        <w:spacing w:after="0" w:line="0" w:lineRule="atLeast"/>
        <w:ind w:left="709" w:right="709"/>
        <w:jc w:val="both"/>
        <w:rPr>
          <w:rFonts w:ascii="Museo 300" w:hAnsi="Museo 300"/>
          <w:sz w:val="16"/>
          <w:szCs w:val="16"/>
          <w:lang w:val="es-ES"/>
        </w:rPr>
      </w:pPr>
    </w:p>
    <w:p w14:paraId="4B3CDAB9" w14:textId="60477778" w:rsidR="00376952" w:rsidRPr="001159B1" w:rsidRDefault="0093035D" w:rsidP="0093035D">
      <w:pPr>
        <w:spacing w:after="0" w:line="0" w:lineRule="atLeast"/>
        <w:ind w:left="709" w:right="709"/>
        <w:jc w:val="both"/>
        <w:rPr>
          <w:rFonts w:ascii="Museo 300" w:hAnsi="Museo 300"/>
          <w:b/>
          <w:bCs/>
          <w:sz w:val="16"/>
          <w:szCs w:val="16"/>
        </w:rPr>
      </w:pPr>
      <w:r w:rsidRPr="0093035D">
        <w:rPr>
          <w:rFonts w:ascii="Museo 300" w:hAnsi="Museo 300"/>
          <w:sz w:val="16"/>
          <w:szCs w:val="16"/>
          <w:lang w:val="es-ES"/>
        </w:rPr>
        <w:t xml:space="preserve">Con los datos resultantes del análisis del CAU, se estableció que el monto de la ENR máximo al que tiene derecho EEO a recuperar corresponde a 3,468 kWh, equivalente a la cantidad de novecientos treinta y seis 60/100 dólares de los Estados Unidos de América (USD 936.60) IVA incluido </w:t>
      </w:r>
      <w:r w:rsidR="00376952" w:rsidRPr="001159B1">
        <w:rPr>
          <w:rFonts w:ascii="Museo 300" w:hAnsi="Museo 300"/>
          <w:color w:val="000000" w:themeColor="text1"/>
          <w:sz w:val="16"/>
          <w:szCs w:val="16"/>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BA7234"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0AABC161" w14:textId="3C605B00" w:rsidR="0093035D" w:rsidRPr="0093035D" w:rsidRDefault="0093035D" w:rsidP="0093035D">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93035D">
        <w:rPr>
          <w:rFonts w:ascii="Museo 300" w:hAnsi="Museo 300" w:cs="Arial"/>
          <w:sz w:val="16"/>
          <w:szCs w:val="16"/>
        </w:rPr>
        <w:t xml:space="preserve">El CAU determina con base en el análisis efectuado a las pruebas presentadas por las partes involucradas, que existió una condición irregular en el suministro con NIC </w:t>
      </w:r>
      <w:proofErr w:type="spellStart"/>
      <w:r w:rsidR="00617E5C">
        <w:rPr>
          <w:rFonts w:ascii="Museo 300" w:hAnsi="Museo 300" w:cs="Arial"/>
          <w:sz w:val="16"/>
          <w:szCs w:val="16"/>
        </w:rPr>
        <w:t>xxxx</w:t>
      </w:r>
      <w:proofErr w:type="spellEnd"/>
      <w:r w:rsidRPr="0093035D">
        <w:rPr>
          <w:rFonts w:ascii="Museo 300" w:hAnsi="Museo 300" w:cs="Arial"/>
          <w:sz w:val="16"/>
          <w:szCs w:val="16"/>
        </w:rPr>
        <w:t>, consistente en una línea directa a 240 voltios conectada fuera de medición</w:t>
      </w:r>
      <w:r w:rsidRPr="0093035D">
        <w:rPr>
          <w:rFonts w:ascii="Museo 300" w:hAnsi="Museo 300"/>
          <w:sz w:val="16"/>
          <w:szCs w:val="16"/>
        </w:rPr>
        <w:t xml:space="preserve">, </w:t>
      </w:r>
      <w:r w:rsidRPr="0093035D">
        <w:rPr>
          <w:rFonts w:ascii="Museo 300" w:hAnsi="Museo 300" w:cs="Arial"/>
          <w:sz w:val="16"/>
          <w:szCs w:val="16"/>
        </w:rPr>
        <w:t xml:space="preserve">con la finalidad de evitar el registro de la totalidad de la energía consumida en el inmueble; por tanto, EEO tiene derecho a recuperar en concepto de una energía consumida y no registrada, </w:t>
      </w:r>
      <w:r w:rsidRPr="0093035D">
        <w:rPr>
          <w:rFonts w:ascii="Museo 300" w:hAnsi="Museo 300" w:cs="Arial"/>
          <w:sz w:val="16"/>
          <w:szCs w:val="16"/>
        </w:rPr>
        <w:lastRenderedPageBreak/>
        <w:t>tal y como está estipulado en el Procedimiento para Investigar la Existencia de Condiciones Irregulares en el suministro de Energía Eléctrica del Usuario Final.</w:t>
      </w:r>
    </w:p>
    <w:p w14:paraId="7A265C55" w14:textId="77777777" w:rsidR="0093035D" w:rsidRPr="0093035D" w:rsidRDefault="0093035D" w:rsidP="0093035D">
      <w:pPr>
        <w:pStyle w:val="Prrafodelista"/>
        <w:jc w:val="both"/>
        <w:rPr>
          <w:rFonts w:ascii="Museo 300" w:hAnsi="Museo 300" w:cs="Arial"/>
          <w:sz w:val="16"/>
          <w:szCs w:val="16"/>
        </w:rPr>
      </w:pPr>
    </w:p>
    <w:p w14:paraId="2CB12EA1" w14:textId="77777777" w:rsidR="0093035D" w:rsidRPr="0093035D" w:rsidRDefault="0093035D" w:rsidP="0093035D">
      <w:pPr>
        <w:pStyle w:val="Prrafodelista"/>
        <w:numPr>
          <w:ilvl w:val="0"/>
          <w:numId w:val="8"/>
        </w:numPr>
        <w:suppressAutoHyphens w:val="0"/>
        <w:autoSpaceDN/>
        <w:spacing w:line="0" w:lineRule="atLeast"/>
        <w:ind w:left="1134" w:right="709" w:hanging="283"/>
        <w:jc w:val="both"/>
        <w:textAlignment w:val="auto"/>
        <w:rPr>
          <w:rFonts w:ascii="Museo 300" w:hAnsi="Museo 300" w:cs="Arial"/>
          <w:sz w:val="16"/>
          <w:szCs w:val="16"/>
        </w:rPr>
      </w:pPr>
      <w:r w:rsidRPr="0093035D">
        <w:rPr>
          <w:rFonts w:ascii="Museo 300" w:hAnsi="Museo 300" w:cs="Arial"/>
          <w:sz w:val="16"/>
          <w:szCs w:val="16"/>
        </w:rPr>
        <w:t>Conforme con la investigación efectuada y mostrada en el presente informe, se establece que la cantidad de mil seiscientos veintisiete 56/100 dólares de los Estados Unidos de América (USD 1,627.56) IVA incluido, cobrados por la distribuidora EEO en concepto de ENR en el referido suministro, debe de rectificarse.</w:t>
      </w:r>
    </w:p>
    <w:p w14:paraId="245692CF" w14:textId="77777777" w:rsidR="0093035D" w:rsidRPr="0093035D" w:rsidRDefault="0093035D" w:rsidP="0093035D">
      <w:pPr>
        <w:pStyle w:val="Prrafodelista"/>
        <w:rPr>
          <w:rFonts w:ascii="Museo 300" w:hAnsi="Museo 300" w:cs="Arial"/>
          <w:sz w:val="16"/>
          <w:szCs w:val="16"/>
        </w:rPr>
      </w:pPr>
    </w:p>
    <w:p w14:paraId="4BAB16C4" w14:textId="292179F2" w:rsidR="00562498" w:rsidRPr="0093035D" w:rsidRDefault="0093035D" w:rsidP="0093035D">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93035D">
        <w:rPr>
          <w:rFonts w:ascii="Museo 300" w:hAnsi="Museo 300" w:cs="Arial"/>
          <w:sz w:val="16"/>
          <w:szCs w:val="16"/>
        </w:rPr>
        <w:t xml:space="preserve">Se establece que el monto a recuperar por parte de EEO en concepto de energía no registrada, asciende a </w:t>
      </w:r>
      <w:r w:rsidRPr="0093035D">
        <w:rPr>
          <w:rFonts w:ascii="Museo 300" w:hAnsi="Museo 300" w:cs="Arial"/>
          <w:color w:val="000000" w:themeColor="text1"/>
          <w:sz w:val="16"/>
          <w:szCs w:val="16"/>
        </w:rPr>
        <w:t xml:space="preserve">la cantidad de novecientos treinta y seis 60/100 dólares de los Estados Unidos de América (USD 936.60) IVA incluido. Además, </w:t>
      </w:r>
      <w:r w:rsidRPr="0093035D">
        <w:rPr>
          <w:rFonts w:ascii="Museo 300" w:hAnsi="Museo 300" w:cs="Arial"/>
          <w:sz w:val="16"/>
          <w:szCs w:val="16"/>
        </w:rPr>
        <w:t xml:space="preserve">la distribuidora podrá efectuar el cobro de los intereses generados tal y como se indica en el artículo 36 de los Términos y Condiciones Generales al Consumidor Final, del Pliego Tarifario del año </w:t>
      </w:r>
      <w:r w:rsidR="00FC1DAE" w:rsidRPr="0093035D">
        <w:rPr>
          <w:rFonts w:ascii="Museo 300" w:hAnsi="Museo 300" w:cs="Arial"/>
          <w:sz w:val="16"/>
          <w:szCs w:val="16"/>
        </w:rPr>
        <w:t>2022.</w:t>
      </w:r>
      <w:r w:rsidR="00FC1DAE" w:rsidRPr="0093035D">
        <w:rPr>
          <w:rFonts w:ascii="Museo 300" w:eastAsia="Arial" w:hAnsi="Museo 300"/>
          <w:color w:val="000000" w:themeColor="text1"/>
          <w:sz w:val="16"/>
          <w:szCs w:val="16"/>
        </w:rPr>
        <w:t xml:space="preserve"> [</w:t>
      </w:r>
      <w:r w:rsidR="00562498" w:rsidRPr="0093035D">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352EA7F0"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C1710A">
        <w:rPr>
          <w:rFonts w:ascii="Museo Sans 300" w:hAnsi="Museo Sans 300" w:cs="Segoe UI"/>
          <w:sz w:val="20"/>
          <w:szCs w:val="20"/>
        </w:rPr>
        <w:t>E-1605</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6F6B44">
        <w:rPr>
          <w:rFonts w:ascii="Museo Sans 300" w:hAnsi="Museo Sans 300" w:cs="Segoe UI"/>
          <w:sz w:val="20"/>
          <w:szCs w:val="20"/>
        </w:rPr>
        <w:t>IT-0469</w:t>
      </w:r>
      <w:r w:rsidR="0036385F" w:rsidRPr="00383B8A">
        <w:rPr>
          <w:rFonts w:ascii="Museo Sans 300" w:hAnsi="Museo Sans 300" w:cs="Segoe UI"/>
          <w:sz w:val="20"/>
          <w:szCs w:val="20"/>
        </w:rPr>
        <w:t>-CAU-22</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7351B81D" w14:textId="4D1D51F0" w:rsidR="00A702C8" w:rsidRDefault="00A850F3" w:rsidP="00A702C8">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citado acuerdo fue notificado</w:t>
      </w:r>
      <w:r w:rsidR="00A702C8" w:rsidRPr="000F5DAB">
        <w:rPr>
          <w:rFonts w:ascii="Museo Sans 300" w:hAnsi="Museo Sans 300"/>
          <w:sz w:val="20"/>
          <w:szCs w:val="20"/>
        </w:rPr>
        <w:t xml:space="preserve"> </w:t>
      </w:r>
      <w:r w:rsidR="00A702C8" w:rsidRPr="00872F0D">
        <w:rPr>
          <w:rFonts w:ascii="Museo Sans 300" w:eastAsia="Times New Roman" w:hAnsi="Museo Sans 300" w:cs="Segoe UI"/>
          <w:sz w:val="20"/>
          <w:szCs w:val="20"/>
          <w:lang w:val="es-ES" w:eastAsia="es-ES"/>
        </w:rPr>
        <w:t>a la</w:t>
      </w:r>
      <w:r w:rsidR="0093035D">
        <w:rPr>
          <w:rFonts w:ascii="Museo Sans 300" w:eastAsia="Times New Roman" w:hAnsi="Museo Sans 300" w:cs="Segoe UI"/>
          <w:sz w:val="20"/>
          <w:szCs w:val="20"/>
          <w:lang w:val="es-ES" w:eastAsia="es-ES"/>
        </w:rPr>
        <w:t>s partes el día diecinueve</w:t>
      </w:r>
      <w:r w:rsidR="00ED3C6E">
        <w:rPr>
          <w:rFonts w:ascii="Museo Sans 300" w:eastAsia="Times New Roman" w:hAnsi="Museo Sans 300" w:cs="Segoe UI"/>
          <w:sz w:val="20"/>
          <w:szCs w:val="20"/>
          <w:lang w:val="es-ES" w:eastAsia="es-ES"/>
        </w:rPr>
        <w:t xml:space="preserve"> de dic</w:t>
      </w:r>
      <w:r w:rsidR="00A702C8">
        <w:rPr>
          <w:rFonts w:ascii="Museo Sans 300" w:eastAsia="Times New Roman" w:hAnsi="Museo Sans 300" w:cs="Segoe UI"/>
          <w:sz w:val="20"/>
          <w:szCs w:val="20"/>
          <w:lang w:val="es-ES" w:eastAsia="es-ES"/>
        </w:rPr>
        <w:t xml:space="preserve">iembre </w:t>
      </w:r>
      <w:r w:rsidR="007F5D0A">
        <w:rPr>
          <w:rFonts w:ascii="Museo Sans 300" w:eastAsia="Times New Roman" w:hAnsi="Museo Sans 300" w:cs="Segoe UI"/>
          <w:sz w:val="20"/>
          <w:szCs w:val="20"/>
          <w:lang w:val="es-ES" w:eastAsia="es-ES"/>
        </w:rPr>
        <w:t>del año dos mil veintidós</w:t>
      </w:r>
      <w:r w:rsidR="00A702C8" w:rsidRPr="00872F0D">
        <w:rPr>
          <w:rFonts w:ascii="Museo Sans 300" w:eastAsia="Times New Roman" w:hAnsi="Museo Sans 300" w:cs="Segoe UI"/>
          <w:sz w:val="20"/>
          <w:szCs w:val="20"/>
          <w:lang w:val="es-ES" w:eastAsia="es-ES"/>
        </w:rPr>
        <w:t>,</w:t>
      </w:r>
      <w:r w:rsidR="0093035D">
        <w:rPr>
          <w:rFonts w:ascii="Museo Sans 300" w:eastAsia="Times New Roman" w:hAnsi="Museo Sans 300" w:cs="Segoe UI"/>
          <w:sz w:val="20"/>
          <w:szCs w:val="20"/>
          <w:lang w:val="es-ES" w:eastAsia="es-ES"/>
        </w:rPr>
        <w:t xml:space="preserve"> </w:t>
      </w:r>
      <w:r w:rsidR="00A702C8" w:rsidRPr="000E6E84">
        <w:rPr>
          <w:rFonts w:ascii="Museo Sans 300" w:eastAsia="Times New Roman" w:hAnsi="Museo Sans 300" w:cs="Segoe UI"/>
          <w:sz w:val="20"/>
          <w:szCs w:val="20"/>
          <w:lang w:val="es-ES" w:eastAsia="es-ES"/>
        </w:rPr>
        <w:t>por lo que el plazo finalizó</w:t>
      </w:r>
      <w:r w:rsidR="0093035D">
        <w:rPr>
          <w:rFonts w:ascii="Museo Sans 300" w:eastAsia="Times New Roman" w:hAnsi="Museo Sans 300" w:cs="Segoe UI"/>
          <w:sz w:val="20"/>
          <w:szCs w:val="20"/>
          <w:lang w:val="es-ES" w:eastAsia="es-ES"/>
        </w:rPr>
        <w:t xml:space="preserve"> el día diez de enero de este </w:t>
      </w:r>
      <w:r w:rsidR="00A702C8" w:rsidRPr="000E6E84">
        <w:rPr>
          <w:rFonts w:ascii="Museo Sans 300" w:eastAsia="Times New Roman" w:hAnsi="Museo Sans 300" w:cs="Segoe UI"/>
          <w:sz w:val="20"/>
          <w:szCs w:val="20"/>
          <w:lang w:val="es-ES" w:eastAsia="es-ES"/>
        </w:rPr>
        <w:t>año.</w:t>
      </w:r>
    </w:p>
    <w:p w14:paraId="6F271F42" w14:textId="21111744" w:rsidR="00915A89" w:rsidRDefault="00915A89" w:rsidP="00915A89">
      <w:pPr>
        <w:tabs>
          <w:tab w:val="left" w:pos="426"/>
        </w:tabs>
        <w:spacing w:after="0" w:line="240" w:lineRule="auto"/>
        <w:ind w:left="426"/>
        <w:jc w:val="both"/>
        <w:rPr>
          <w:rFonts w:ascii="Museo Sans 300" w:eastAsia="Times New Roman" w:hAnsi="Museo Sans 300" w:cs="Segoe UI"/>
          <w:sz w:val="20"/>
          <w:szCs w:val="20"/>
          <w:lang w:val="es-ES" w:eastAsia="es-ES"/>
        </w:rPr>
      </w:pPr>
    </w:p>
    <w:p w14:paraId="44F83E61" w14:textId="7C90625D" w:rsidR="00D5519A" w:rsidRDefault="00D5519A" w:rsidP="00D5519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B233F7">
        <w:rPr>
          <w:rStyle w:val="normaltextrun"/>
          <w:rFonts w:ascii="Museo Sans 300" w:hAnsi="Museo Sans 300"/>
          <w:color w:val="000000"/>
          <w:sz w:val="20"/>
          <w:szCs w:val="20"/>
          <w:shd w:val="clear" w:color="auto" w:fill="FFFFFF"/>
        </w:rPr>
        <w:t xml:space="preserve">El día </w:t>
      </w:r>
      <w:r>
        <w:rPr>
          <w:rStyle w:val="normaltextrun"/>
          <w:rFonts w:ascii="Museo Sans 300" w:hAnsi="Museo Sans 300"/>
          <w:color w:val="000000"/>
          <w:sz w:val="20"/>
          <w:szCs w:val="20"/>
          <w:shd w:val="clear" w:color="auto" w:fill="FFFFFF"/>
        </w:rPr>
        <w:t>diez de enero de este año</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 xml:space="preserve">la sociedad EEO, S.A. de C.V. presentó un escrito </w:t>
      </w:r>
      <w:r w:rsidRPr="00B233F7">
        <w:rPr>
          <w:rFonts w:ascii="Museo Sans 300" w:hAnsi="Museo Sans 300"/>
          <w:sz w:val="20"/>
          <w:szCs w:val="20"/>
        </w:rPr>
        <w:t>por medio del cual manifestó que mantenía los argumentos y pruebas presentadas con anterioridad.</w:t>
      </w:r>
      <w:r w:rsidRPr="00B233F7">
        <w:rPr>
          <w:rStyle w:val="normaltextrun"/>
          <w:rFonts w:ascii="Museo Sans 300" w:hAnsi="Museo Sans 300"/>
          <w:color w:val="000000"/>
          <w:sz w:val="20"/>
          <w:szCs w:val="20"/>
          <w:shd w:val="clear" w:color="auto" w:fill="FFFFFF"/>
        </w:rPr>
        <w:t xml:space="preserve"> </w:t>
      </w:r>
      <w:r w:rsidRPr="00B233F7">
        <w:rPr>
          <w:rStyle w:val="normaltextrun"/>
          <w:rFonts w:ascii="Museo Sans 300" w:hAnsi="Museo Sans 300"/>
          <w:color w:val="000000"/>
          <w:sz w:val="20"/>
          <w:szCs w:val="20"/>
          <w:shd w:val="clear" w:color="auto" w:fill="FFFFFF"/>
          <w:lang w:val="es-ES"/>
        </w:rPr>
        <w:t>Por su parte, la usuaria no presentó documentación para ser analizada.</w:t>
      </w:r>
    </w:p>
    <w:p w14:paraId="4E10EF66" w14:textId="4A1A9082" w:rsidR="00C20A78" w:rsidRDefault="00C20A78" w:rsidP="007160D7">
      <w:pPr>
        <w:pStyle w:val="Prrafodelista"/>
        <w:tabs>
          <w:tab w:val="left" w:pos="426"/>
        </w:tabs>
        <w:ind w:left="426"/>
        <w:jc w:val="both"/>
        <w:rPr>
          <w:rFonts w:ascii="Museo Sans 300" w:hAnsi="Museo Sans 300"/>
          <w:sz w:val="20"/>
          <w:szCs w:val="20"/>
        </w:rPr>
      </w:pPr>
    </w:p>
    <w:p w14:paraId="7826957A" w14:textId="77777777" w:rsidR="00D5519A" w:rsidRPr="00D5519A" w:rsidRDefault="00D5519A" w:rsidP="007160D7">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7B4169BE"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D3ADA87" w14:textId="77777777" w:rsidR="00E12E86" w:rsidRPr="004E572D" w:rsidRDefault="00E12E86" w:rsidP="003573EB">
      <w:pPr>
        <w:autoSpaceDE w:val="0"/>
        <w:spacing w:after="0" w:line="240" w:lineRule="auto"/>
        <w:ind w:left="426"/>
        <w:jc w:val="both"/>
        <w:rPr>
          <w:rFonts w:ascii="Museo Sans 300" w:hAnsi="Museo Sans 300" w:cs="Times New Roman"/>
          <w:sz w:val="20"/>
          <w:szCs w:val="20"/>
          <w:lang w:eastAsia="es-SV"/>
        </w:rPr>
      </w:pPr>
    </w:p>
    <w:p w14:paraId="10DEE42C" w14:textId="6835038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C0357">
        <w:rPr>
          <w:rFonts w:ascii="Museo Sans 500" w:eastAsia="Calibri" w:hAnsi="Museo Sans 500"/>
          <w:b/>
          <w:sz w:val="20"/>
          <w:szCs w:val="20"/>
          <w:lang w:val="es-SV" w:eastAsia="es-SV"/>
        </w:rPr>
        <w:t>EEO,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19C31111"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4FCE9DDA" w14:textId="5A107FBD"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35DE4EC0"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C7FF032" w14:textId="77777777" w:rsidR="00E12E86" w:rsidRDefault="00E12E8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7826AA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617E5C">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0EA7C03"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F6B44">
        <w:rPr>
          <w:rFonts w:ascii="Museo Sans 300" w:hAnsi="Museo Sans 300" w:cs="Times New Roman"/>
          <w:sz w:val="20"/>
          <w:szCs w:val="20"/>
        </w:rPr>
        <w:t>IT-0469</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D29DE06" w14:textId="0A0077E1" w:rsidR="00FE0606" w:rsidRDefault="00C34300" w:rsidP="00FE0606">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D5519A">
        <w:rPr>
          <w:rFonts w:ascii="Museo 300" w:hAnsi="Museo 300"/>
          <w:sz w:val="16"/>
          <w:szCs w:val="16"/>
        </w:rPr>
        <w:t>C</w:t>
      </w:r>
      <w:r w:rsidR="00D5519A" w:rsidRPr="00595D7A">
        <w:rPr>
          <w:rFonts w:ascii="Museo 300" w:hAnsi="Museo 300"/>
          <w:sz w:val="16"/>
          <w:szCs w:val="16"/>
          <w:lang w:val="es-ES"/>
        </w:rPr>
        <w:t xml:space="preserve">onforme con la información que fue provista por la sociedad EEO se han extraído las siguientes fotografías mediante las cuales se observa la condición encontrada en el suministro en fecha 11 de mayo de 2022, detallando una supuesta condición irregular, consistente en una línea directa para un nivel de tensión de 240 </w:t>
      </w:r>
      <w:r w:rsidR="00D5519A" w:rsidRPr="00595D7A">
        <w:rPr>
          <w:rFonts w:ascii="Museo 300" w:hAnsi="Museo 300"/>
          <w:sz w:val="16"/>
          <w:szCs w:val="16"/>
          <w:lang w:val="es-ES"/>
        </w:rPr>
        <w:lastRenderedPageBreak/>
        <w:t>voltios conectada desde las líneas de alumbrado público, la cual estaba oculta entre el follaje, cuya trayectoria se dirigía hacia un tablero eléctrico ubicado en la segunda planta del inmueble, esto con la finalidad de impedir el correcto registro de la totalidad de la energía consumida en el suministro</w:t>
      </w:r>
      <w:r w:rsidR="00D5519A">
        <w:rPr>
          <w:rFonts w:ascii="Museo 300" w:hAnsi="Museo 300"/>
          <w:sz w:val="16"/>
          <w:szCs w:val="16"/>
          <w:lang w:val="es-ES"/>
        </w:rPr>
        <w:t xml:space="preserve"> </w:t>
      </w:r>
      <w:r w:rsidR="00DA766E">
        <w:rPr>
          <w:rFonts w:ascii="Museo 300" w:hAnsi="Museo 300"/>
          <w:sz w:val="16"/>
          <w:szCs w:val="16"/>
          <w:lang w:val="es-419"/>
        </w:rPr>
        <w:t>(…)</w:t>
      </w:r>
      <w:bookmarkEnd w:id="5"/>
    </w:p>
    <w:p w14:paraId="4DC82805" w14:textId="5FC5E985" w:rsidR="00C34300" w:rsidRPr="00922113" w:rsidRDefault="00D5519A" w:rsidP="00FE0606">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595D7A">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existió una condición irregular consistente en una línea directa a 240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2022.</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3C9EF176" w14:textId="1F61FDDE" w:rsidR="00101809"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cuanto a </w:t>
      </w:r>
      <w:r w:rsidR="00D5519A">
        <w:rPr>
          <w:rFonts w:ascii="Museo Sans 300" w:eastAsia="Times New Roman" w:hAnsi="Museo Sans 300" w:cs="Segoe UI"/>
          <w:sz w:val="20"/>
          <w:szCs w:val="20"/>
          <w:lang w:val="es-ES" w:eastAsia="es-ES"/>
        </w:rPr>
        <w:t xml:space="preserve">los argumentos de </w:t>
      </w:r>
      <w:r w:rsidRPr="007B65E0">
        <w:rPr>
          <w:rFonts w:ascii="Museo Sans 300" w:eastAsia="Times New Roman" w:hAnsi="Museo Sans 300" w:cs="Segoe UI"/>
          <w:sz w:val="20"/>
          <w:szCs w:val="20"/>
          <w:lang w:val="es-ES" w:eastAsia="es-ES"/>
        </w:rPr>
        <w:t xml:space="preserve">la señora </w:t>
      </w:r>
      <w:proofErr w:type="spellStart"/>
      <w:r w:rsidR="002C01BA">
        <w:rPr>
          <w:rFonts w:ascii="Museo Sans 300" w:eastAsia="Times New Roman" w:hAnsi="Museo Sans 300" w:cs="Segoe UI"/>
          <w:sz w:val="20"/>
          <w:szCs w:val="20"/>
          <w:lang w:val="es-ES" w:eastAsia="es-ES"/>
        </w:rPr>
        <w:t>xxxx</w:t>
      </w:r>
      <w:proofErr w:type="spellEnd"/>
      <w:r w:rsidRPr="007B65E0">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el CAU efectúo el análisis siguiente:</w:t>
      </w:r>
    </w:p>
    <w:p w14:paraId="796DA32F" w14:textId="7E1A4366" w:rsidR="00D5519A" w:rsidRDefault="00D5519A"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3866B4A" w14:textId="2550DF6B" w:rsidR="00D5519A" w:rsidRPr="0093035D" w:rsidRDefault="00D5519A" w:rsidP="00D5519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Pr>
          <w:rFonts w:ascii="Museo 300" w:eastAsia="SimSun" w:hAnsi="Museo 300"/>
          <w:color w:val="000000" w:themeColor="text1"/>
          <w:spacing w:val="-5"/>
          <w:sz w:val="16"/>
          <w:szCs w:val="16"/>
          <w:lang w:val="es-ES"/>
        </w:rPr>
        <w:t xml:space="preserve">(…) </w:t>
      </w:r>
      <w:r w:rsidRPr="0093035D">
        <w:rPr>
          <w:rFonts w:ascii="Museo 300" w:eastAsia="SimSun" w:hAnsi="Museo 300"/>
          <w:color w:val="000000" w:themeColor="text1"/>
          <w:spacing w:val="-5"/>
          <w:sz w:val="16"/>
          <w:szCs w:val="16"/>
          <w:lang w:val="es-ES"/>
        </w:rPr>
        <w:t xml:space="preserve">Del análisis realizado en el apartado anterior, se determinó la existencia de una condición irregular, situación que no es negada por la denunciante; sin embargo, la usuaria argumenta que no eran los dos equipos de aire acondicionados conectados a la línea con conexión irregular. De lo anterior, es de hacer notar que a la fecha de la elaboración del presente informe la denunciante no presentó ninguna prueba con la cual sustente dicha aseveración, y que esta sirviera para determinar las cargas que estaban conectadas a la línea directa encontrada por EEO, para con ello poder establecer el tiempo de uso y en consecuencia la ENR. </w:t>
      </w:r>
    </w:p>
    <w:p w14:paraId="06CEEC0C" w14:textId="77777777" w:rsidR="00D5519A" w:rsidRPr="0093035D" w:rsidRDefault="00D5519A" w:rsidP="00D5519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Bajo el contexto anterior, es preciso indicar que el análisis que realiza el personal técnico del CAU de SIGET es basándose en las pruebas aportadas por ambas partes, no en análisis de supuestos. De tal manera que, el CAU comprueba la autenticidad de los hechos sometidos a su conocimiento, valorando técnicamente la pertinencia y contundencia de tales pruebas.</w:t>
      </w:r>
    </w:p>
    <w:p w14:paraId="4B424D11" w14:textId="77777777" w:rsidR="00D5519A" w:rsidRPr="0093035D" w:rsidRDefault="00D5519A" w:rsidP="00D5519A">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93035D">
        <w:rPr>
          <w:rFonts w:ascii="Museo 300" w:eastAsia="SimSun" w:hAnsi="Museo 300"/>
          <w:color w:val="000000" w:themeColor="text1"/>
          <w:spacing w:val="-5"/>
          <w:sz w:val="16"/>
          <w:szCs w:val="16"/>
          <w:lang w:val="es-ES"/>
        </w:rPr>
        <w:t>En ese sentido, la denunciante no presentó ninguna evidencia con la cual sustente que la condición irregular encontrada no era para los equipos de aire acondicionados determinados por el CAU en la visita técnica realizada. Por lo tanto, no se tiene mayor evidencia que respalde esta afirmación.</w:t>
      </w:r>
    </w:p>
    <w:p w14:paraId="3E4B0E3F" w14:textId="5019187E" w:rsidR="00101809" w:rsidRPr="007B65E0" w:rsidRDefault="00D5519A" w:rsidP="00D5519A">
      <w:pPr>
        <w:tabs>
          <w:tab w:val="left" w:pos="993"/>
          <w:tab w:val="left" w:pos="9072"/>
        </w:tabs>
        <w:spacing w:line="240" w:lineRule="auto"/>
        <w:ind w:left="993" w:right="709"/>
        <w:jc w:val="both"/>
        <w:rPr>
          <w:rFonts w:ascii="Museo Sans 300" w:eastAsia="Times New Roman" w:hAnsi="Museo Sans 300" w:cs="Segoe UI"/>
          <w:sz w:val="20"/>
          <w:szCs w:val="20"/>
          <w:lang w:val="es-ES" w:eastAsia="es-ES"/>
        </w:rPr>
      </w:pPr>
      <w:r w:rsidRPr="0093035D">
        <w:rPr>
          <w:rFonts w:ascii="Museo 300" w:eastAsia="SimSun" w:hAnsi="Museo 300"/>
          <w:color w:val="000000" w:themeColor="text1"/>
          <w:spacing w:val="-5"/>
          <w:sz w:val="16"/>
          <w:szCs w:val="16"/>
          <w:lang w:val="es-ES"/>
        </w:rPr>
        <w:t xml:space="preserve">Por lo anteriormente expuesto, en referencia a lo manifestado por </w:t>
      </w:r>
      <w:r w:rsidRPr="0093035D" w:rsidDel="008325F5">
        <w:rPr>
          <w:rFonts w:ascii="Museo 300" w:eastAsia="SimSun" w:hAnsi="Museo 300"/>
          <w:color w:val="000000" w:themeColor="text1"/>
          <w:spacing w:val="-5"/>
          <w:sz w:val="16"/>
          <w:szCs w:val="16"/>
          <w:lang w:val="es-ES"/>
        </w:rPr>
        <w:t>la denunciante</w:t>
      </w:r>
      <w:r w:rsidRPr="0093035D">
        <w:rPr>
          <w:rFonts w:ascii="Museo 300" w:eastAsia="SimSun" w:hAnsi="Museo 300"/>
          <w:color w:val="000000" w:themeColor="text1"/>
          <w:spacing w:val="-5"/>
          <w:sz w:val="16"/>
          <w:szCs w:val="16"/>
          <w:lang w:val="es-ES"/>
        </w:rPr>
        <w:t>, no aportó pruebas con las cuales determinar la carga real que estaba fuera de medición manifestado en su reclamo, y con ello desacreditar lo presentado por la sociedad EEO y lo determinado por el CAU.</w:t>
      </w:r>
      <w:r>
        <w:rPr>
          <w:rFonts w:ascii="Museo 300" w:eastAsia="SimSun" w:hAnsi="Museo 300"/>
          <w:color w:val="000000" w:themeColor="text1"/>
          <w:spacing w:val="-5"/>
          <w:sz w:val="16"/>
          <w:szCs w:val="16"/>
          <w:lang w:val="es-ES"/>
        </w:rPr>
        <w:t xml:space="preserve"> (…)</w:t>
      </w:r>
    </w:p>
    <w:p w14:paraId="7961634B" w14:textId="0358FAD6"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N.° </w:t>
      </w:r>
      <w:r w:rsidR="006F6B44">
        <w:rPr>
          <w:rFonts w:ascii="Museo Sans 300" w:eastAsia="Times New Roman" w:hAnsi="Museo Sans 300" w:cs="Segoe UI"/>
          <w:sz w:val="20"/>
          <w:szCs w:val="20"/>
          <w:lang w:val="es-ES" w:eastAsia="es-ES"/>
        </w:rPr>
        <w:t>IT-0469</w:t>
      </w:r>
      <w:r w:rsidR="0036385F" w:rsidRPr="007B65E0">
        <w:rPr>
          <w:rFonts w:ascii="Museo Sans 300" w:eastAsia="Times New Roman" w:hAnsi="Museo Sans 300" w:cs="Segoe UI"/>
          <w:sz w:val="20"/>
          <w:szCs w:val="20"/>
          <w:lang w:val="es-ES" w:eastAsia="es-ES"/>
        </w:rPr>
        <w:t>-CAU-22</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D5519A">
        <w:rPr>
          <w:rFonts w:ascii="Museo Sans 300" w:eastAsia="Times New Roman" w:hAnsi="Museo Sans 300" w:cs="Segoe UI"/>
          <w:sz w:val="20"/>
          <w:szCs w:val="20"/>
          <w:lang w:val="es-ES" w:eastAsia="es-ES"/>
        </w:rPr>
        <w:t>red de distribución eléctrica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4C39F333"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893C8D" w:rsidRPr="00D2368D">
        <w:rPr>
          <w:rFonts w:ascii="Museo Sans 300" w:hAnsi="Museo Sans 300" w:cs="Segoe UI"/>
          <w:sz w:val="20"/>
          <w:szCs w:val="20"/>
          <w:lang w:eastAsia="es-MX"/>
        </w:rPr>
        <w:t>debido a que:</w:t>
      </w:r>
    </w:p>
    <w:p w14:paraId="6633D540" w14:textId="77777777" w:rsidR="00AA6CE3" w:rsidRPr="00D2368D" w:rsidRDefault="00AA6CE3" w:rsidP="00893C8D">
      <w:pPr>
        <w:spacing w:after="0" w:line="240" w:lineRule="auto"/>
        <w:ind w:left="426"/>
        <w:jc w:val="both"/>
        <w:rPr>
          <w:rFonts w:ascii="Museo Sans 300" w:hAnsi="Museo Sans 300" w:cs="Segoe UI"/>
          <w:sz w:val="20"/>
          <w:szCs w:val="20"/>
          <w:lang w:eastAsia="es-MX"/>
        </w:rPr>
      </w:pPr>
    </w:p>
    <w:p w14:paraId="04071DC1" w14:textId="0DE2C02A" w:rsidR="00D5519A" w:rsidRPr="008D12B3" w:rsidRDefault="00D5519A" w:rsidP="00D5519A">
      <w:pPr>
        <w:pStyle w:val="Prrafodelista"/>
        <w:numPr>
          <w:ilvl w:val="0"/>
          <w:numId w:val="31"/>
        </w:numPr>
        <w:jc w:val="both"/>
        <w:rPr>
          <w:rStyle w:val="normaltextrun"/>
          <w:rFonts w:ascii="Museo Sans 300" w:hAnsi="Museo Sans 300"/>
          <w:sz w:val="20"/>
          <w:szCs w:val="20"/>
        </w:rPr>
      </w:pPr>
      <w:r w:rsidRPr="008D12B3">
        <w:rPr>
          <w:rStyle w:val="normaltextrun"/>
          <w:rFonts w:ascii="Museo Sans 300" w:hAnsi="Museo Sans 300"/>
          <w:sz w:val="20"/>
          <w:szCs w:val="20"/>
        </w:rPr>
        <w:t xml:space="preserve">No se justifica técnicamente que la corriente de </w:t>
      </w:r>
      <w:r w:rsidR="001B17DA">
        <w:rPr>
          <w:rStyle w:val="normaltextrun"/>
          <w:rFonts w:ascii="Museo Sans 300" w:hAnsi="Museo Sans 300"/>
          <w:sz w:val="20"/>
          <w:szCs w:val="20"/>
        </w:rPr>
        <w:t>22.74</w:t>
      </w:r>
      <w:r w:rsidRPr="008D12B3">
        <w:rPr>
          <w:rStyle w:val="normaltextrun"/>
          <w:rFonts w:ascii="Museo Sans 300" w:hAnsi="Museo Sans 300"/>
          <w:sz w:val="20"/>
          <w:szCs w:val="20"/>
        </w:rPr>
        <w:t xml:space="preserve"> amperios era consumida de forma constante durante 12 horas diarias.</w:t>
      </w:r>
    </w:p>
    <w:p w14:paraId="200D315C" w14:textId="77777777" w:rsidR="00D5519A" w:rsidRPr="002B4F3B" w:rsidRDefault="00D5519A" w:rsidP="00D5519A">
      <w:pPr>
        <w:suppressAutoHyphens w:val="0"/>
        <w:autoSpaceDN/>
        <w:spacing w:after="0" w:line="240" w:lineRule="auto"/>
        <w:ind w:left="840"/>
        <w:rPr>
          <w:rFonts w:ascii="Museo Sans 300" w:eastAsia="Times New Roman" w:hAnsi="Museo Sans 300" w:cs="Times New Roman"/>
          <w:sz w:val="20"/>
          <w:szCs w:val="20"/>
          <w:lang w:eastAsia="es-SV"/>
        </w:rPr>
      </w:pPr>
      <w:r w:rsidRPr="002B4F3B">
        <w:rPr>
          <w:rFonts w:ascii="Museo Sans 300" w:eastAsia="Times New Roman" w:hAnsi="Museo Sans 300" w:cs="Times New Roman"/>
          <w:sz w:val="20"/>
          <w:szCs w:val="20"/>
          <w:lang w:eastAsia="es-SV"/>
        </w:rPr>
        <w:t> </w:t>
      </w:r>
    </w:p>
    <w:p w14:paraId="47AA981D" w14:textId="77777777" w:rsidR="001B17DA" w:rsidRDefault="001B17DA" w:rsidP="001B17DA">
      <w:pPr>
        <w:pStyle w:val="Prrafodelista"/>
        <w:numPr>
          <w:ilvl w:val="0"/>
          <w:numId w:val="31"/>
        </w:numPr>
        <w:jc w:val="both"/>
        <w:rPr>
          <w:rFonts w:ascii="Museo Sans 300" w:hAnsi="Museo Sans 300"/>
          <w:sz w:val="20"/>
          <w:szCs w:val="20"/>
          <w:lang w:eastAsia="es-SV"/>
        </w:rPr>
      </w:pPr>
      <w:r w:rsidRPr="002B4F3B">
        <w:rPr>
          <w:rFonts w:ascii="Museo Sans 300" w:hAnsi="Museo Sans 300"/>
          <w:sz w:val="20"/>
          <w:szCs w:val="20"/>
          <w:lang w:eastAsia="es-SV"/>
        </w:rPr>
        <w:t>El cálculo no considera las diferencias entre la operación nominal y arranque de los equipos de tipo inductivo, en ese orden, se estableció que el valor calculado no representa la energía consumida que no fue registrada.   </w:t>
      </w:r>
    </w:p>
    <w:p w14:paraId="769A6D12" w14:textId="77777777" w:rsidR="001B17DA" w:rsidRPr="001B17DA" w:rsidRDefault="001B17DA" w:rsidP="001B17DA">
      <w:pPr>
        <w:pStyle w:val="Prrafodelista"/>
        <w:rPr>
          <w:rFonts w:ascii="Museo Sans 300" w:hAnsi="Museo Sans 300" w:cs="Segoe UI"/>
          <w:sz w:val="20"/>
          <w:szCs w:val="20"/>
          <w:lang w:eastAsia="es-MX"/>
        </w:rPr>
      </w:pPr>
    </w:p>
    <w:p w14:paraId="2C58028C" w14:textId="722D1C7B" w:rsidR="001B17DA" w:rsidRPr="001B17DA" w:rsidRDefault="001B17DA" w:rsidP="001B17DA">
      <w:pPr>
        <w:pStyle w:val="Prrafodelista"/>
        <w:numPr>
          <w:ilvl w:val="0"/>
          <w:numId w:val="31"/>
        </w:numPr>
        <w:jc w:val="both"/>
        <w:rPr>
          <w:rFonts w:ascii="Museo Sans 300" w:hAnsi="Museo Sans 300"/>
          <w:sz w:val="20"/>
          <w:szCs w:val="20"/>
          <w:lang w:eastAsia="es-SV"/>
        </w:rPr>
      </w:pPr>
      <w:r w:rsidRPr="001B17DA">
        <w:rPr>
          <w:rFonts w:ascii="Museo Sans 300" w:hAnsi="Museo Sans 300" w:cs="Segoe UI"/>
          <w:sz w:val="20"/>
          <w:szCs w:val="20"/>
          <w:lang w:eastAsia="es-MX"/>
        </w:rPr>
        <w:t xml:space="preserve">Las lecturas de corriente instantánea mediante amperímetros no reflejan el factor de potencia de la energía consumida en los suministros residenciales, la cual es un 30% menor a las lecturas de corriente instantánea, pues las instalaciones de los suministros no poseen equipos para compensación de reactivos.  </w:t>
      </w:r>
    </w:p>
    <w:p w14:paraId="4F3A4735" w14:textId="5DFA8EE8" w:rsidR="00F42EF5" w:rsidRPr="00F42EF5" w:rsidRDefault="00F42EF5" w:rsidP="00C20A78">
      <w:pPr>
        <w:autoSpaceDE w:val="0"/>
        <w:spacing w:after="0" w:line="240" w:lineRule="auto"/>
        <w:ind w:left="851"/>
        <w:jc w:val="both"/>
        <w:rPr>
          <w:rFonts w:ascii="Museo Sans 300" w:hAnsi="Museo Sans 300"/>
          <w:sz w:val="20"/>
          <w:szCs w:val="20"/>
          <w:shd w:val="clear" w:color="auto" w:fill="FFFFFF"/>
        </w:rPr>
      </w:pPr>
    </w:p>
    <w:p w14:paraId="4E701F59" w14:textId="6B67E807" w:rsidR="00D2368D" w:rsidRPr="00D2368D" w:rsidRDefault="00F42EF5" w:rsidP="00C20A78">
      <w:pPr>
        <w:autoSpaceDE w:val="0"/>
        <w:spacing w:after="0" w:line="240" w:lineRule="auto"/>
        <w:ind w:left="492"/>
        <w:jc w:val="both"/>
        <w:rPr>
          <w:rFonts w:ascii="Museo Sans 300" w:hAnsi="Museo Sans 300" w:cs="Segoe UI"/>
          <w:sz w:val="20"/>
          <w:szCs w:val="20"/>
          <w:lang w:eastAsia="es-MX"/>
        </w:rPr>
      </w:pPr>
      <w:r w:rsidRPr="008F15A2">
        <w:rPr>
          <w:rFonts w:ascii="Museo Sans 300" w:hAnsi="Museo Sans 300"/>
          <w:sz w:val="20"/>
          <w:szCs w:val="20"/>
          <w:shd w:val="clear" w:color="auto" w:fill="FFFFFF"/>
        </w:rPr>
        <w:t> </w:t>
      </w:r>
      <w:r w:rsidR="00D2368D"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42C901CA" w14:textId="287637E2" w:rsidR="00D5519A" w:rsidRDefault="00D5519A" w:rsidP="00D5519A">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1B17DA">
        <w:rPr>
          <w:rFonts w:ascii="Museo Sans 300" w:hAnsi="Museo Sans 300"/>
          <w:color w:val="000000"/>
          <w:sz w:val="20"/>
          <w:szCs w:val="20"/>
          <w:shd w:val="clear" w:color="auto" w:fill="FFFFFF"/>
        </w:rPr>
        <w:t>578</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1042AEC0" w14:textId="77777777" w:rsidR="00C20A78" w:rsidRPr="00C20A78" w:rsidRDefault="00C20A78" w:rsidP="00C20A78">
      <w:pPr>
        <w:shd w:val="clear" w:color="auto" w:fill="FFFFFF"/>
        <w:suppressAutoHyphens w:val="0"/>
        <w:autoSpaceDN/>
        <w:spacing w:after="0" w:line="240" w:lineRule="auto"/>
        <w:ind w:left="1068"/>
        <w:jc w:val="both"/>
        <w:textAlignment w:val="auto"/>
        <w:rPr>
          <w:rFonts w:ascii="Museo Sans 300" w:hAnsi="Museo Sans 300"/>
          <w:color w:val="000000"/>
          <w:sz w:val="20"/>
          <w:szCs w:val="20"/>
          <w:shd w:val="clear" w:color="auto" w:fill="FFFFFF"/>
        </w:rPr>
      </w:pPr>
    </w:p>
    <w:p w14:paraId="112FDC0F" w14:textId="3785D12D"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1B17DA">
        <w:rPr>
          <w:rFonts w:ascii="Museo Sans 300" w:eastAsia="Times New Roman" w:hAnsi="Museo Sans 300" w:cs="Times New Roman"/>
          <w:sz w:val="20"/>
          <w:szCs w:val="20"/>
          <w:lang w:val="es-ES"/>
        </w:rPr>
        <w:t>doce noviembre de dos mil veintiuno</w:t>
      </w:r>
      <w:r w:rsidR="00353E73" w:rsidRPr="008F15A2">
        <w:rPr>
          <w:rFonts w:ascii="Museo Sans 300" w:eastAsia="Times New Roman" w:hAnsi="Museo Sans 300" w:cs="Times New Roman"/>
          <w:sz w:val="20"/>
          <w:szCs w:val="20"/>
          <w:lang w:val="es-ES"/>
        </w:rPr>
        <w:t xml:space="preserve"> al </w:t>
      </w:r>
      <w:r w:rsidR="001B17DA">
        <w:rPr>
          <w:rFonts w:ascii="Museo Sans 300" w:eastAsia="Times New Roman" w:hAnsi="Museo Sans 300" w:cs="Times New Roman"/>
          <w:sz w:val="20"/>
          <w:szCs w:val="20"/>
          <w:lang w:val="es-ES"/>
        </w:rPr>
        <w:t>once de may</w:t>
      </w:r>
      <w:r w:rsidR="00A71179" w:rsidRPr="008F15A2">
        <w:rPr>
          <w:rFonts w:ascii="Museo Sans 300" w:eastAsia="Times New Roman" w:hAnsi="Museo Sans 300" w:cs="Times New Roman"/>
          <w:sz w:val="20"/>
          <w:szCs w:val="20"/>
          <w:lang w:val="es-ES"/>
        </w:rPr>
        <w:t>o</w:t>
      </w:r>
      <w:r w:rsidR="00D764AA" w:rsidRPr="008F15A2">
        <w:rPr>
          <w:rFonts w:ascii="Museo Sans 300" w:eastAsia="Times New Roman" w:hAnsi="Museo Sans 300" w:cs="Times New Roman"/>
          <w:sz w:val="20"/>
          <w:szCs w:val="20"/>
          <w:lang w:val="es-ES"/>
        </w:rPr>
        <w:t xml:space="preserve"> del </w:t>
      </w:r>
      <w:r w:rsidR="007F5D0A">
        <w:rPr>
          <w:rFonts w:ascii="Museo Sans 300" w:eastAsia="Times New Roman" w:hAnsi="Museo Sans 300" w:cs="Times New Roman"/>
          <w:sz w:val="20"/>
          <w:szCs w:val="20"/>
          <w:lang w:val="es-ES"/>
        </w:rPr>
        <w:t>año pasado</w:t>
      </w:r>
      <w:r w:rsidR="00D764AA" w:rsidRPr="008F15A2">
        <w:rPr>
          <w:rFonts w:ascii="Museo Sans 300" w:eastAsia="Times New Roman" w:hAnsi="Museo Sans 300" w:cs="Times New Roman"/>
          <w:sz w:val="20"/>
          <w:szCs w:val="20"/>
          <w:lang w:val="es-ES"/>
        </w:rPr>
        <w:t>.</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032E940C"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661C8D">
        <w:rPr>
          <w:rFonts w:ascii="Museo Sans 300" w:eastAsia="Arial" w:hAnsi="Museo Sans 300" w:cs="Times New Roman"/>
          <w:color w:val="000000"/>
          <w:sz w:val="20"/>
          <w:szCs w:val="20"/>
          <w:lang w:eastAsia="es-SV"/>
        </w:rPr>
        <w:t>NOVECIENTOS TREINTA Y SEIS 60/100 DÓLARES DE LOS ESTADOS UNIDOS DE AMÉRICA (USD 936.60)</w:t>
      </w:r>
      <w:r w:rsidRPr="00712912">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712912">
        <w:rPr>
          <w:rFonts w:ascii="Museo Sans 300" w:eastAsia="Arial" w:hAnsi="Museo Sans 300" w:cs="Times New Roman"/>
          <w:color w:val="000000"/>
          <w:sz w:val="20"/>
          <w:szCs w:val="20"/>
          <w:lang w:eastAsia="es-SV"/>
        </w:rPr>
        <w:t>2</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0653B26B" w14:textId="77777777" w:rsidR="00D5519A" w:rsidRPr="00712912" w:rsidRDefault="00D5519A"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C7EFAF4"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617E5C">
        <w:rPr>
          <w:rFonts w:ascii="Museo Sans 300" w:eastAsia="Museo Sans 300" w:hAnsi="Museo Sans 300" w:cs="Museo Sans 300"/>
          <w:sz w:val="20"/>
          <w:szCs w:val="20"/>
        </w:rPr>
        <w:t>xxxx</w:t>
      </w:r>
      <w:proofErr w:type="spellEnd"/>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0181D6F5" w14:textId="14AABA23" w:rsidR="000062DF" w:rsidRDefault="000062DF"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3B1A7C7"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N.° </w:t>
      </w:r>
      <w:r w:rsidR="006F6B44">
        <w:rPr>
          <w:rFonts w:ascii="Museo Sans 300" w:eastAsia="Arial" w:hAnsi="Museo Sans 300" w:cs="Times New Roman"/>
          <w:color w:val="000000"/>
          <w:sz w:val="20"/>
          <w:szCs w:val="20"/>
          <w:lang w:eastAsia="es-SV"/>
        </w:rPr>
        <w:t>IT-0469</w:t>
      </w:r>
      <w:r w:rsidR="0036385F" w:rsidRPr="00B45E90">
        <w:rPr>
          <w:rFonts w:ascii="Museo Sans 300" w:eastAsia="Arial" w:hAnsi="Museo Sans 300" w:cs="Times New Roman"/>
          <w:color w:val="000000"/>
          <w:sz w:val="20"/>
          <w:szCs w:val="20"/>
          <w:lang w:eastAsia="es-SV"/>
        </w:rPr>
        <w:t>-CAU-22</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proofErr w:type="spellStart"/>
      <w:r w:rsidR="00617E5C">
        <w:rPr>
          <w:rFonts w:ascii="Museo Sans 300" w:eastAsia="Arial" w:hAnsi="Museo Sans 300" w:cs="Times New Roman"/>
          <w:color w:val="000000"/>
          <w:sz w:val="20"/>
          <w:szCs w:val="20"/>
          <w:lang w:eastAsia="es-SV"/>
        </w:rPr>
        <w:t>xxxx</w:t>
      </w:r>
      <w:proofErr w:type="spellEnd"/>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w:t>
      </w:r>
      <w:r w:rsidR="00893C8D" w:rsidRPr="007B65E0">
        <w:rPr>
          <w:rFonts w:ascii="Museo Sans 300" w:eastAsia="Times New Roman" w:hAnsi="Museo Sans 300" w:cs="Segoe UI"/>
          <w:sz w:val="20"/>
          <w:szCs w:val="20"/>
          <w:lang w:val="es-ES" w:eastAsia="es-ES"/>
        </w:rPr>
        <w:t xml:space="preserve">la </w:t>
      </w:r>
      <w:r w:rsidR="00D5519A">
        <w:rPr>
          <w:rFonts w:ascii="Museo Sans 300" w:eastAsia="Times New Roman" w:hAnsi="Museo Sans 300" w:cs="Segoe UI"/>
          <w:sz w:val="20"/>
          <w:szCs w:val="20"/>
          <w:lang w:val="es-ES" w:eastAsia="es-ES"/>
        </w:rPr>
        <w:t>red de distribución eléctrica</w:t>
      </w:r>
      <w:r w:rsidR="00CA7FFB" w:rsidRPr="00B45E90">
        <w:rPr>
          <w:rFonts w:ascii="Museo Sans 300" w:eastAsia="Arial" w:hAnsi="Museo Sans 300" w:cs="Times New Roman"/>
          <w:color w:val="000000"/>
          <w:sz w:val="20"/>
          <w:szCs w:val="20"/>
          <w:lang w:eastAsia="es-SV"/>
        </w:rPr>
        <w:t xml:space="preserve">. </w:t>
      </w:r>
    </w:p>
    <w:p w14:paraId="2B31FFF0" w14:textId="63A5CB7C"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C0357">
        <w:rPr>
          <w:rFonts w:ascii="Museo Sans 300" w:eastAsia="Arial" w:hAnsi="Museo Sans 300" w:cs="Times New Roman"/>
          <w:color w:val="000000"/>
          <w:sz w:val="20"/>
          <w:szCs w:val="20"/>
          <w:lang w:eastAsia="es-SV"/>
        </w:rPr>
        <w:t>EEO, S.A.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661C8D">
        <w:rPr>
          <w:rFonts w:ascii="Museo Sans 300" w:eastAsia="Arial" w:hAnsi="Museo Sans 300" w:cs="Times New Roman"/>
          <w:color w:val="000000"/>
          <w:sz w:val="20"/>
          <w:szCs w:val="20"/>
          <w:lang w:eastAsia="es-SV"/>
        </w:rPr>
        <w:t>NOVECIENTOS TREINTA Y SEIS 60/100 DÓLARES DE LOS ESTADOS UNIDOS DE AMÉRICA (USD 936.60)</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422ADB63" w14:textId="77777777"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B228196"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F6B44">
        <w:rPr>
          <w:rFonts w:ascii="Museo Sans 300" w:eastAsia="Arial" w:hAnsi="Museo Sans 300" w:cs="Times New Roman"/>
          <w:sz w:val="20"/>
          <w:szCs w:val="20"/>
        </w:rPr>
        <w:t>IT-0469</w:t>
      </w:r>
      <w:r w:rsidR="0036385F">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6FC31703"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proofErr w:type="spellStart"/>
      <w:r w:rsidR="00617E5C">
        <w:rPr>
          <w:rFonts w:ascii="Museo Sans 300" w:eastAsia="Arial" w:hAnsi="Museo Sans 300"/>
          <w:sz w:val="20"/>
          <w:szCs w:val="20"/>
          <w:lang w:eastAsia="es-SV"/>
        </w:rPr>
        <w:t>xxxx</w:t>
      </w:r>
      <w:proofErr w:type="spellEnd"/>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893C8D" w:rsidRPr="007B65E0">
        <w:rPr>
          <w:rFonts w:ascii="Museo Sans 300" w:hAnsi="Museo Sans 300" w:cs="Segoe UI"/>
          <w:sz w:val="20"/>
          <w:szCs w:val="20"/>
        </w:rPr>
        <w:t xml:space="preserve">la </w:t>
      </w:r>
      <w:r w:rsidR="00D5519A">
        <w:rPr>
          <w:rFonts w:ascii="Museo Sans 300" w:hAnsi="Museo Sans 300" w:cs="Segoe UI"/>
          <w:sz w:val="20"/>
          <w:szCs w:val="20"/>
        </w:rPr>
        <w:t>red de distribución eléctrica</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3D62DC50"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C0357">
        <w:rPr>
          <w:rFonts w:ascii="Museo Sans 300" w:eastAsia="Arial" w:hAnsi="Museo Sans 300"/>
          <w:color w:val="000000"/>
          <w:sz w:val="20"/>
          <w:szCs w:val="20"/>
          <w:lang w:eastAsia="es-SV"/>
        </w:rPr>
        <w:t>EEO, S.A. de C.V.</w:t>
      </w:r>
      <w:r w:rsidRPr="00B45E90">
        <w:rPr>
          <w:rFonts w:ascii="Museo Sans 300" w:eastAsia="Arial" w:hAnsi="Museo Sans 300"/>
          <w:color w:val="000000"/>
          <w:sz w:val="20"/>
          <w:szCs w:val="20"/>
          <w:lang w:eastAsia="es-SV"/>
        </w:rPr>
        <w:t xml:space="preserve"> tiene el derecho a recuperar la cantidad de </w:t>
      </w:r>
      <w:r w:rsidR="00661C8D">
        <w:rPr>
          <w:rFonts w:ascii="Museo Sans 300" w:eastAsia="Arial" w:hAnsi="Museo Sans 300"/>
          <w:color w:val="000000"/>
          <w:sz w:val="20"/>
          <w:szCs w:val="20"/>
          <w:lang w:eastAsia="es-SV"/>
        </w:rPr>
        <w:t>NOVECIENTOS TREINTA Y SEIS 60/100 DÓLARES DE LOS ESTADOS UNIDOS DE AMÉRICA (USD 936.60)</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28DB7CA9"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N.° </w:t>
      </w:r>
      <w:r w:rsidR="006F6B44">
        <w:rPr>
          <w:rFonts w:ascii="Museo Sans 300" w:eastAsia="Times New Roman" w:hAnsi="Museo Sans 300" w:cs="Segoe UI"/>
          <w:sz w:val="20"/>
          <w:szCs w:val="20"/>
          <w:lang w:val="es-ES" w:eastAsia="es-SV"/>
        </w:rPr>
        <w:t>IT-0469</w:t>
      </w:r>
      <w:r w:rsidRPr="00947FD4">
        <w:rPr>
          <w:rFonts w:ascii="Museo Sans 300" w:eastAsia="Times New Roman" w:hAnsi="Museo Sans 300" w:cs="Segoe UI"/>
          <w:sz w:val="20"/>
          <w:szCs w:val="20"/>
          <w:lang w:val="es-ES" w:eastAsia="es-SV"/>
        </w:rPr>
        <w:t>-CAU-22</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0062AA3A"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proofErr w:type="spellStart"/>
      <w:r w:rsidR="00CF4674">
        <w:rPr>
          <w:rFonts w:ascii="Museo Sans 300" w:eastAsia="Arial" w:hAnsi="Museo Sans 300"/>
          <w:color w:val="000000"/>
          <w:sz w:val="20"/>
          <w:szCs w:val="20"/>
          <w:lang w:eastAsia="es-SV"/>
        </w:rPr>
        <w:t>x</w:t>
      </w:r>
      <w:r w:rsidR="00617E5C">
        <w:rPr>
          <w:rFonts w:ascii="Museo Sans 300" w:eastAsia="Arial" w:hAnsi="Museo Sans 300"/>
          <w:color w:val="000000"/>
          <w:sz w:val="20"/>
          <w:szCs w:val="20"/>
          <w:lang w:eastAsia="es-SV"/>
        </w:rPr>
        <w:t>xxx</w:t>
      </w:r>
      <w:proofErr w:type="spellEnd"/>
      <w:r w:rsidR="00CF4674">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C0357">
        <w:rPr>
          <w:rFonts w:ascii="Museo Sans 300" w:eastAsia="Arial" w:hAnsi="Museo Sans 300"/>
          <w:color w:val="000000"/>
          <w:sz w:val="20"/>
          <w:szCs w:val="20"/>
          <w:lang w:eastAsia="es-SV"/>
        </w:rPr>
        <w:t>EEO, S.A.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CC7CC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5E594" w14:textId="77777777" w:rsidR="00E36456" w:rsidRDefault="00E36456">
      <w:pPr>
        <w:spacing w:after="0" w:line="240" w:lineRule="auto"/>
      </w:pPr>
      <w:r>
        <w:separator/>
      </w:r>
    </w:p>
  </w:endnote>
  <w:endnote w:type="continuationSeparator" w:id="0">
    <w:p w14:paraId="3FBD6E45" w14:textId="77777777" w:rsidR="00E36456" w:rsidRDefault="00E36456">
      <w:pPr>
        <w:spacing w:after="0" w:line="240" w:lineRule="auto"/>
      </w:pPr>
      <w:r>
        <w:continuationSeparator/>
      </w:r>
    </w:p>
  </w:endnote>
  <w:endnote w:type="continuationNotice" w:id="1">
    <w:p w14:paraId="5C56FC52" w14:textId="77777777" w:rsidR="00E36456" w:rsidRDefault="00E36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7B799" w14:textId="77777777" w:rsidR="00E36456" w:rsidRDefault="00E36456">
      <w:pPr>
        <w:spacing w:after="0" w:line="240" w:lineRule="auto"/>
      </w:pPr>
      <w:r>
        <w:rPr>
          <w:color w:val="000000"/>
        </w:rPr>
        <w:separator/>
      </w:r>
    </w:p>
  </w:footnote>
  <w:footnote w:type="continuationSeparator" w:id="0">
    <w:p w14:paraId="1066268D" w14:textId="77777777" w:rsidR="00E36456" w:rsidRDefault="00E36456">
      <w:pPr>
        <w:spacing w:after="0" w:line="240" w:lineRule="auto"/>
      </w:pPr>
      <w:r>
        <w:continuationSeparator/>
      </w:r>
    </w:p>
  </w:footnote>
  <w:footnote w:type="continuationNotice" w:id="1">
    <w:p w14:paraId="214DD1A4" w14:textId="77777777" w:rsidR="00E36456" w:rsidRDefault="00E364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3"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6"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1"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29"/>
  </w:num>
  <w:num w:numId="2" w16cid:durableId="2034181796">
    <w:abstractNumId w:val="18"/>
  </w:num>
  <w:num w:numId="3" w16cid:durableId="1709142625">
    <w:abstractNumId w:val="24"/>
  </w:num>
  <w:num w:numId="4" w16cid:durableId="221210230">
    <w:abstractNumId w:val="14"/>
  </w:num>
  <w:num w:numId="5" w16cid:durableId="1664696473">
    <w:abstractNumId w:val="5"/>
  </w:num>
  <w:num w:numId="6" w16cid:durableId="1508325136">
    <w:abstractNumId w:val="20"/>
  </w:num>
  <w:num w:numId="7" w16cid:durableId="8263693">
    <w:abstractNumId w:val="23"/>
  </w:num>
  <w:num w:numId="8" w16cid:durableId="1583832942">
    <w:abstractNumId w:val="12"/>
  </w:num>
  <w:num w:numId="9" w16cid:durableId="1428694578">
    <w:abstractNumId w:val="2"/>
  </w:num>
  <w:num w:numId="10" w16cid:durableId="1511872759">
    <w:abstractNumId w:val="13"/>
  </w:num>
  <w:num w:numId="11" w16cid:durableId="822039766">
    <w:abstractNumId w:val="28"/>
  </w:num>
  <w:num w:numId="12" w16cid:durableId="247429714">
    <w:abstractNumId w:val="15"/>
  </w:num>
  <w:num w:numId="13" w16cid:durableId="14604911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0"/>
  </w:num>
  <w:num w:numId="15" w16cid:durableId="677774234">
    <w:abstractNumId w:val="7"/>
  </w:num>
  <w:num w:numId="16" w16cid:durableId="1987317113">
    <w:abstractNumId w:val="25"/>
  </w:num>
  <w:num w:numId="17" w16cid:durableId="241525318">
    <w:abstractNumId w:val="16"/>
  </w:num>
  <w:num w:numId="18" w16cid:durableId="1857386195">
    <w:abstractNumId w:val="3"/>
  </w:num>
  <w:num w:numId="19" w16cid:durableId="1566797619">
    <w:abstractNumId w:val="0"/>
  </w:num>
  <w:num w:numId="20" w16cid:durableId="1399133561">
    <w:abstractNumId w:val="22"/>
  </w:num>
  <w:num w:numId="21" w16cid:durableId="1966960936">
    <w:abstractNumId w:val="9"/>
  </w:num>
  <w:num w:numId="22" w16cid:durableId="1317537287">
    <w:abstractNumId w:val="11"/>
  </w:num>
  <w:num w:numId="23" w16cid:durableId="1592280372">
    <w:abstractNumId w:val="8"/>
  </w:num>
  <w:num w:numId="24" w16cid:durableId="1063287699">
    <w:abstractNumId w:val="26"/>
  </w:num>
  <w:num w:numId="25" w16cid:durableId="1102184832">
    <w:abstractNumId w:val="17"/>
  </w:num>
  <w:num w:numId="26" w16cid:durableId="2064673555">
    <w:abstractNumId w:val="1"/>
  </w:num>
  <w:num w:numId="27" w16cid:durableId="1449426941">
    <w:abstractNumId w:val="6"/>
  </w:num>
  <w:num w:numId="28" w16cid:durableId="842627384">
    <w:abstractNumId w:val="27"/>
  </w:num>
  <w:num w:numId="29" w16cid:durableId="446975438">
    <w:abstractNumId w:val="21"/>
  </w:num>
  <w:num w:numId="30" w16cid:durableId="281615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6042716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47DB5"/>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762E4"/>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3FCF"/>
    <w:rsid w:val="001B098B"/>
    <w:rsid w:val="001B17DA"/>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3D79"/>
    <w:rsid w:val="0021571F"/>
    <w:rsid w:val="00221B84"/>
    <w:rsid w:val="002239AA"/>
    <w:rsid w:val="002245F5"/>
    <w:rsid w:val="00226D96"/>
    <w:rsid w:val="00227446"/>
    <w:rsid w:val="00227C15"/>
    <w:rsid w:val="00230528"/>
    <w:rsid w:val="002358CD"/>
    <w:rsid w:val="00237236"/>
    <w:rsid w:val="002401EB"/>
    <w:rsid w:val="00241259"/>
    <w:rsid w:val="00241ACF"/>
    <w:rsid w:val="00243115"/>
    <w:rsid w:val="0024433B"/>
    <w:rsid w:val="00246493"/>
    <w:rsid w:val="002476E8"/>
    <w:rsid w:val="002479AF"/>
    <w:rsid w:val="00251AAF"/>
    <w:rsid w:val="00252369"/>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6A42"/>
    <w:rsid w:val="002B0E14"/>
    <w:rsid w:val="002B1221"/>
    <w:rsid w:val="002B22A2"/>
    <w:rsid w:val="002B4CDB"/>
    <w:rsid w:val="002B569E"/>
    <w:rsid w:val="002B57A3"/>
    <w:rsid w:val="002B658D"/>
    <w:rsid w:val="002C01BA"/>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3378"/>
    <w:rsid w:val="003043F1"/>
    <w:rsid w:val="00306CCE"/>
    <w:rsid w:val="00310A62"/>
    <w:rsid w:val="00310FBB"/>
    <w:rsid w:val="00311109"/>
    <w:rsid w:val="00313D3D"/>
    <w:rsid w:val="003144FF"/>
    <w:rsid w:val="00317950"/>
    <w:rsid w:val="00320A28"/>
    <w:rsid w:val="00324500"/>
    <w:rsid w:val="00324B7B"/>
    <w:rsid w:val="00327058"/>
    <w:rsid w:val="00327915"/>
    <w:rsid w:val="003303E3"/>
    <w:rsid w:val="0033220B"/>
    <w:rsid w:val="003352BF"/>
    <w:rsid w:val="003363BD"/>
    <w:rsid w:val="003402A4"/>
    <w:rsid w:val="00340A0F"/>
    <w:rsid w:val="0034219E"/>
    <w:rsid w:val="003432BF"/>
    <w:rsid w:val="00343D1E"/>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4D0E"/>
    <w:rsid w:val="00567F65"/>
    <w:rsid w:val="00571ED9"/>
    <w:rsid w:val="005720B9"/>
    <w:rsid w:val="005826A5"/>
    <w:rsid w:val="005839A8"/>
    <w:rsid w:val="00583C70"/>
    <w:rsid w:val="00590E8D"/>
    <w:rsid w:val="00591C5B"/>
    <w:rsid w:val="00592392"/>
    <w:rsid w:val="00595D7A"/>
    <w:rsid w:val="00596CD5"/>
    <w:rsid w:val="005A0C57"/>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3A00"/>
    <w:rsid w:val="005E45BC"/>
    <w:rsid w:val="005E5C23"/>
    <w:rsid w:val="005E742A"/>
    <w:rsid w:val="005F1A00"/>
    <w:rsid w:val="005F3D82"/>
    <w:rsid w:val="00600383"/>
    <w:rsid w:val="006006D1"/>
    <w:rsid w:val="00602489"/>
    <w:rsid w:val="00604815"/>
    <w:rsid w:val="00607290"/>
    <w:rsid w:val="00612458"/>
    <w:rsid w:val="00613FD5"/>
    <w:rsid w:val="00615DA1"/>
    <w:rsid w:val="00617E5C"/>
    <w:rsid w:val="006208A0"/>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1C8D"/>
    <w:rsid w:val="00663865"/>
    <w:rsid w:val="00663AAC"/>
    <w:rsid w:val="00663FAF"/>
    <w:rsid w:val="00665374"/>
    <w:rsid w:val="006662C8"/>
    <w:rsid w:val="0066680D"/>
    <w:rsid w:val="00666BFC"/>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03AF"/>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3BC3"/>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035D"/>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6559"/>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3335"/>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2B8D"/>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02C8"/>
    <w:rsid w:val="00A71179"/>
    <w:rsid w:val="00A720DF"/>
    <w:rsid w:val="00A73F5A"/>
    <w:rsid w:val="00A74016"/>
    <w:rsid w:val="00A75441"/>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8E0"/>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64D"/>
    <w:rsid w:val="00BD2762"/>
    <w:rsid w:val="00BD38EB"/>
    <w:rsid w:val="00BD4422"/>
    <w:rsid w:val="00BD4587"/>
    <w:rsid w:val="00BD48A5"/>
    <w:rsid w:val="00BD4AA2"/>
    <w:rsid w:val="00BD4FCF"/>
    <w:rsid w:val="00BD6D20"/>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4674"/>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35BD"/>
    <w:rsid w:val="00D44176"/>
    <w:rsid w:val="00D44558"/>
    <w:rsid w:val="00D4496B"/>
    <w:rsid w:val="00D4555E"/>
    <w:rsid w:val="00D526E8"/>
    <w:rsid w:val="00D54119"/>
    <w:rsid w:val="00D5519A"/>
    <w:rsid w:val="00D56D8F"/>
    <w:rsid w:val="00D617BA"/>
    <w:rsid w:val="00D70317"/>
    <w:rsid w:val="00D744AE"/>
    <w:rsid w:val="00D744C0"/>
    <w:rsid w:val="00D74551"/>
    <w:rsid w:val="00D75DEB"/>
    <w:rsid w:val="00D764AA"/>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234"/>
    <w:rsid w:val="00DC1882"/>
    <w:rsid w:val="00DC1E6B"/>
    <w:rsid w:val="00DC3332"/>
    <w:rsid w:val="00DC466C"/>
    <w:rsid w:val="00DC5C9D"/>
    <w:rsid w:val="00DC63A1"/>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2E86"/>
    <w:rsid w:val="00E150F4"/>
    <w:rsid w:val="00E15D8D"/>
    <w:rsid w:val="00E23299"/>
    <w:rsid w:val="00E24456"/>
    <w:rsid w:val="00E33016"/>
    <w:rsid w:val="00E36456"/>
    <w:rsid w:val="00E36AA2"/>
    <w:rsid w:val="00E37DB9"/>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24B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C0357"/>
    <w:rsid w:val="00FC0A3F"/>
    <w:rsid w:val="00FC123B"/>
    <w:rsid w:val="00FC1240"/>
    <w:rsid w:val="00FC1DAE"/>
    <w:rsid w:val="00FC288B"/>
    <w:rsid w:val="00FC4337"/>
    <w:rsid w:val="00FC48DD"/>
    <w:rsid w:val="00FC60AC"/>
    <w:rsid w:val="00FC6C62"/>
    <w:rsid w:val="00FC72BF"/>
    <w:rsid w:val="00FC73B8"/>
    <w:rsid w:val="00FD11B6"/>
    <w:rsid w:val="00FD37F4"/>
    <w:rsid w:val="00FD599B"/>
    <w:rsid w:val="00FD75A2"/>
    <w:rsid w:val="00FE0336"/>
    <w:rsid w:val="00FE0606"/>
    <w:rsid w:val="00FE08E9"/>
    <w:rsid w:val="00FE16E2"/>
    <w:rsid w:val="00FE1C2C"/>
    <w:rsid w:val="00FE1EB2"/>
    <w:rsid w:val="00FE1F4A"/>
    <w:rsid w:val="00FE2E98"/>
    <w:rsid w:val="00FE3FF7"/>
    <w:rsid w:val="00FE45D7"/>
    <w:rsid w:val="00FE5061"/>
    <w:rsid w:val="00FE6388"/>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EP-1451-22, elaborado 11ene2023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2.xml><?xml version="1.0" encoding="utf-8"?>
<ds:datastoreItem xmlns:ds="http://schemas.openxmlformats.org/officeDocument/2006/customXml" ds:itemID="{FEF91E74-1AE1-4887-9055-1D971B159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48</TotalTime>
  <Pages>10</Pages>
  <Words>5017</Words>
  <Characters>27595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2022-10-17T17:17:00Z</cp:lastPrinted>
  <dcterms:created xsi:type="dcterms:W3CDTF">2023-02-06T16:01:00Z</dcterms:created>
  <dcterms:modified xsi:type="dcterms:W3CDTF">2023-02-07T17:39:00Z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