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33CD113F"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5D1B6F08" w14:textId="007F7B40" w:rsidR="00152423" w:rsidRDefault="00152423" w:rsidP="00723871">
      <w:pPr>
        <w:pStyle w:val="Sinespaciado"/>
        <w:rPr>
          <w:lang w:val="es-MX" w:eastAsia="es-ES"/>
        </w:rPr>
      </w:pPr>
    </w:p>
    <w:p w14:paraId="35A7E499" w14:textId="77777777" w:rsidR="00152423" w:rsidRDefault="00152423" w:rsidP="00723871">
      <w:pPr>
        <w:pStyle w:val="Sinespaciado"/>
        <w:rPr>
          <w:lang w:val="es-MX" w:eastAsia="es-ES"/>
        </w:rPr>
      </w:pPr>
    </w:p>
    <w:p w14:paraId="3BC16A7D" w14:textId="15390A1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863BC3">
        <w:rPr>
          <w:rFonts w:ascii="Museo Sans 900" w:eastAsia="Times New Roman" w:hAnsi="Museo Sans 900" w:cs="Times New Roman"/>
          <w:b/>
          <w:bCs/>
          <w:sz w:val="20"/>
          <w:szCs w:val="20"/>
          <w:lang w:val="es-MX" w:eastAsia="es-ES"/>
        </w:rPr>
        <w:t>2216</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63BC3">
        <w:rPr>
          <w:rFonts w:ascii="Museo Sans 300" w:eastAsia="Times New Roman" w:hAnsi="Museo Sans 300" w:cs="Times New Roman"/>
          <w:sz w:val="20"/>
          <w:szCs w:val="20"/>
          <w:lang w:val="es-MX" w:eastAsia="es-ES"/>
        </w:rPr>
        <w:t>diez</w:t>
      </w:r>
      <w:r w:rsidR="00747C5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63BC3">
        <w:rPr>
          <w:rFonts w:ascii="Museo Sans 300" w:eastAsia="Times New Roman" w:hAnsi="Museo Sans 300" w:cs="Times New Roman"/>
          <w:sz w:val="20"/>
          <w:szCs w:val="20"/>
          <w:lang w:val="es-MX" w:eastAsia="es-ES"/>
        </w:rPr>
        <w:t>treinta</w:t>
      </w:r>
      <w:r w:rsidR="00747C5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863BC3">
        <w:rPr>
          <w:rFonts w:ascii="Museo Sans 300" w:eastAsia="Times New Roman" w:hAnsi="Museo Sans 300" w:cs="Times New Roman"/>
          <w:sz w:val="20"/>
          <w:szCs w:val="20"/>
          <w:lang w:val="es-MX" w:eastAsia="es-ES"/>
        </w:rPr>
        <w:t>trece</w:t>
      </w:r>
      <w:r w:rsidR="00747C5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63BC3">
        <w:rPr>
          <w:rFonts w:ascii="Museo Sans 300" w:eastAsia="Times New Roman" w:hAnsi="Museo Sans 300" w:cs="Times New Roman"/>
          <w:sz w:val="20"/>
          <w:szCs w:val="20"/>
          <w:lang w:val="es-MX" w:eastAsia="es-ES"/>
        </w:rPr>
        <w:t>diciembre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D61B8E3"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F87A30">
        <w:rPr>
          <w:rFonts w:ascii="Museo Sans 300" w:hAnsi="Museo Sans 300"/>
          <w:sz w:val="20"/>
          <w:szCs w:val="20"/>
        </w:rPr>
        <w:t>dieciocho de agost</w:t>
      </w:r>
      <w:r w:rsidR="00D9215E">
        <w:rPr>
          <w:rFonts w:ascii="Museo Sans 300" w:hAnsi="Museo Sans 300"/>
          <w:sz w:val="20"/>
          <w:szCs w:val="20"/>
        </w:rPr>
        <w:t>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B169FF">
        <w:rPr>
          <w:rFonts w:ascii="Museo Sans 300" w:hAnsi="Museo Sans 300"/>
          <w:sz w:val="20"/>
          <w:szCs w:val="20"/>
        </w:rPr>
        <w:t>XXX</w:t>
      </w:r>
      <w:r w:rsidR="00F87A30">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854BBE">
        <w:rPr>
          <w:rFonts w:ascii="Museo Sans 300" w:hAnsi="Museo Sans 300"/>
          <w:sz w:val="20"/>
          <w:szCs w:val="20"/>
        </w:rPr>
        <w:t>SETECIENTOS CUATRO 63/100 DÓLARES DE LOS ESTADOS UNIDOS DE AMÉRICA (USD 704.63)</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F87A30">
        <w:rPr>
          <w:rStyle w:val="normaltextrun"/>
          <w:rFonts w:ascii="Museo Sans 300" w:hAnsi="Museo Sans 300"/>
          <w:color w:val="000000"/>
          <w:sz w:val="20"/>
          <w:szCs w:val="20"/>
          <w:shd w:val="clear" w:color="auto" w:fill="FFFFFF"/>
        </w:rPr>
        <w:t xml:space="preserve">el suministro identificado con el NIC </w:t>
      </w:r>
      <w:r w:rsidR="00B169FF">
        <w:rPr>
          <w:rStyle w:val="normaltextrun"/>
          <w:rFonts w:ascii="Museo Sans 300" w:hAnsi="Museo Sans 300"/>
          <w:color w:val="000000"/>
          <w:sz w:val="20"/>
          <w:szCs w:val="20"/>
          <w:shd w:val="clear" w:color="auto" w:fill="FFFFFF"/>
        </w:rPr>
        <w:t>XXX</w:t>
      </w:r>
      <w:r w:rsidR="000C4AD8">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D84A0C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9215E">
        <w:rPr>
          <w:rFonts w:ascii="Museo Sans 300" w:hAnsi="Museo Sans 300"/>
          <w:sz w:val="20"/>
          <w:szCs w:val="20"/>
          <w:lang w:val="es-SV"/>
        </w:rPr>
        <w:t>1</w:t>
      </w:r>
      <w:r w:rsidR="00854BBE">
        <w:rPr>
          <w:rFonts w:ascii="Museo Sans 300" w:hAnsi="Museo Sans 300"/>
          <w:sz w:val="20"/>
          <w:szCs w:val="20"/>
          <w:lang w:val="es-SV"/>
        </w:rPr>
        <w:t>690</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54BBE">
        <w:rPr>
          <w:rFonts w:ascii="Museo Sans 300" w:hAnsi="Museo Sans 300"/>
          <w:sz w:val="20"/>
          <w:szCs w:val="20"/>
          <w:lang w:val="es-SV"/>
        </w:rPr>
        <w:t>treinta de agost</w:t>
      </w:r>
      <w:r w:rsidR="00C51587">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3A8F7A1C"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F4831">
        <w:rPr>
          <w:rFonts w:ascii="Museo Sans 300" w:hAnsi="Museo Sans 300"/>
          <w:sz w:val="20"/>
          <w:szCs w:val="20"/>
        </w:rPr>
        <w:t xml:space="preserve"> distribuidora y a la usuaria los días d</w:t>
      </w:r>
      <w:r w:rsidR="00854BBE">
        <w:rPr>
          <w:rFonts w:ascii="Museo Sans 300" w:hAnsi="Museo Sans 300"/>
          <w:sz w:val="20"/>
          <w:szCs w:val="20"/>
        </w:rPr>
        <w:t>os y cinco de septiembre del presente año</w:t>
      </w:r>
      <w:r w:rsidR="00F96E6C">
        <w:rPr>
          <w:rFonts w:ascii="Museo Sans 300" w:hAnsi="Museo Sans 300"/>
          <w:sz w:val="20"/>
          <w:szCs w:val="20"/>
        </w:rPr>
        <w:t>,</w:t>
      </w:r>
      <w:r w:rsidR="00152423">
        <w:rPr>
          <w:rFonts w:ascii="Museo Sans 300" w:hAnsi="Museo Sans 300"/>
          <w:sz w:val="20"/>
          <w:szCs w:val="20"/>
        </w:rPr>
        <w:t xml:space="preserve"> </w:t>
      </w:r>
      <w:r w:rsidR="00EF4831">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4264D5">
        <w:rPr>
          <w:rFonts w:ascii="Museo Sans 300" w:hAnsi="Museo Sans 300"/>
          <w:sz w:val="20"/>
          <w:szCs w:val="20"/>
        </w:rPr>
        <w:t>veinte de septiembre</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2923DF90"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753D71">
        <w:rPr>
          <w:rFonts w:ascii="Museo Sans 300" w:hAnsi="Museo Sans 300"/>
          <w:sz w:val="20"/>
          <w:szCs w:val="20"/>
          <w:lang w:val="es-SV"/>
        </w:rPr>
        <w:t>siete de septiembre</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el ingeniero Hernán Eliú Sagastume López,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62F3C8AB"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 xml:space="preserve">Históricos de </w:t>
      </w:r>
      <w:r w:rsidR="00256589">
        <w:rPr>
          <w:rFonts w:ascii="Museo Sans 300" w:hAnsi="Museo Sans 300"/>
          <w:sz w:val="20"/>
          <w:szCs w:val="20"/>
          <w:lang w:eastAsia="es-SV"/>
        </w:rPr>
        <w:t>consumo</w:t>
      </w:r>
      <w:r>
        <w:rPr>
          <w:rFonts w:ascii="Museo Sans 300" w:hAnsi="Museo Sans 300"/>
          <w:sz w:val="20"/>
          <w:szCs w:val="20"/>
          <w:lang w:eastAsia="es-SV"/>
        </w:rPr>
        <w:t>.</w:t>
      </w:r>
    </w:p>
    <w:p w14:paraId="3D66263B" w14:textId="047AFD6B"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lecturas.</w:t>
      </w:r>
    </w:p>
    <w:p w14:paraId="7D58B202" w14:textId="7888D751"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Órdenes de servicio.</w:t>
      </w:r>
    </w:p>
    <w:p w14:paraId="34B930B1" w14:textId="73AF894A"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5A655FCC" w14:textId="77777777" w:rsidR="007F300E" w:rsidRPr="00056060" w:rsidRDefault="007F300E" w:rsidP="007F300E">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1211D611" w14:textId="5736060A"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7F300E">
        <w:rPr>
          <w:rFonts w:ascii="Museo Sans 300" w:hAnsi="Museo Sans 300"/>
          <w:sz w:val="20"/>
          <w:szCs w:val="20"/>
          <w:lang w:eastAsia="es-SV"/>
        </w:rPr>
        <w:t>.</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76E4A2D9"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753D71">
        <w:rPr>
          <w:rFonts w:ascii="Museo Sans 300" w:eastAsia="Museo Sans 300" w:hAnsi="Museo Sans 300" w:cs="Museo Sans 300"/>
          <w:sz w:val="20"/>
          <w:szCs w:val="20"/>
          <w:lang w:val="es-ES"/>
        </w:rPr>
        <w:t>880</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753D71">
        <w:rPr>
          <w:rFonts w:ascii="Museo Sans 300" w:eastAsia="Museo Sans 300" w:hAnsi="Museo Sans 300" w:cs="Museo Sans 300"/>
          <w:sz w:val="20"/>
          <w:szCs w:val="20"/>
          <w:lang w:val="es-ES"/>
        </w:rPr>
        <w:t>ocho de septiembre</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lastRenderedPageBreak/>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7777777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744F36EF"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191C68">
        <w:rPr>
          <w:rFonts w:ascii="Museo Sans 300" w:hAnsi="Museo Sans 300"/>
          <w:sz w:val="20"/>
          <w:szCs w:val="20"/>
        </w:rPr>
        <w:t>E-1789</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191C68">
        <w:rPr>
          <w:rFonts w:ascii="Museo Sans 300" w:hAnsi="Museo Sans 300"/>
          <w:sz w:val="20"/>
          <w:szCs w:val="20"/>
        </w:rPr>
        <w:t>veinte de septiembre</w:t>
      </w:r>
      <w:r w:rsidR="00256589">
        <w:rPr>
          <w:rFonts w:ascii="Museo Sans 300" w:hAnsi="Museo Sans 300"/>
          <w:sz w:val="20"/>
          <w:szCs w:val="20"/>
        </w:rPr>
        <w:t xml:space="preserve"> de este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5A1E3420"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r w:rsidR="00B169FF">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41569C79"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 distribuidora y a la usuari</w:t>
      </w:r>
      <w:r w:rsidR="00152423">
        <w:rPr>
          <w:rFonts w:ascii="Museo Sans 300" w:eastAsia="Times New Roman" w:hAnsi="Museo Sans 300" w:cs="Segoe UI"/>
          <w:sz w:val="20"/>
          <w:szCs w:val="20"/>
          <w:lang w:val="es-ES" w:eastAsia="es-ES"/>
        </w:rPr>
        <w:t>a</w:t>
      </w:r>
      <w:r w:rsidR="00152423" w:rsidRPr="00872F0D">
        <w:rPr>
          <w:rFonts w:ascii="Museo Sans 300" w:eastAsia="Times New Roman" w:hAnsi="Museo Sans 300" w:cs="Segoe UI"/>
          <w:sz w:val="20"/>
          <w:szCs w:val="20"/>
          <w:lang w:val="es-ES" w:eastAsia="es-ES"/>
        </w:rPr>
        <w:t xml:space="preserve"> los días </w:t>
      </w:r>
      <w:r w:rsidR="00191C68">
        <w:rPr>
          <w:rFonts w:ascii="Museo Sans 300" w:eastAsia="Times New Roman" w:hAnsi="Museo Sans 300" w:cs="Segoe UI"/>
          <w:sz w:val="20"/>
          <w:szCs w:val="20"/>
          <w:lang w:val="es-ES" w:eastAsia="es-ES"/>
        </w:rPr>
        <w:t xml:space="preserve">veintitrés y veintiséis de septiembre </w:t>
      </w:r>
      <w:r w:rsidR="00152423" w:rsidRPr="00872F0D">
        <w:rPr>
          <w:rFonts w:ascii="Museo Sans 300" w:eastAsia="Times New Roman" w:hAnsi="Museo Sans 300" w:cs="Segoe UI"/>
          <w:sz w:val="20"/>
          <w:szCs w:val="20"/>
          <w:lang w:val="es-ES" w:eastAsia="es-ES"/>
        </w:rPr>
        <w:t xml:space="preserve">de este año, </w:t>
      </w:r>
      <w:r w:rsidR="00152423" w:rsidRPr="000E6E84">
        <w:rPr>
          <w:rFonts w:ascii="Museo Sans 300" w:eastAsia="Times New Roman" w:hAnsi="Museo Sans 300" w:cs="Segoe UI"/>
          <w:sz w:val="20"/>
          <w:szCs w:val="20"/>
          <w:lang w:val="es-ES" w:eastAsia="es-ES"/>
        </w:rPr>
        <w:t xml:space="preserve">respectivamente, por lo que el plazo finalizó, en el mismo orden, los días </w:t>
      </w:r>
      <w:r w:rsidR="00B238EB">
        <w:rPr>
          <w:rFonts w:ascii="Museo Sans 300" w:eastAsia="Times New Roman" w:hAnsi="Museo Sans 300" w:cs="Segoe UI"/>
          <w:sz w:val="20"/>
          <w:szCs w:val="20"/>
          <w:lang w:val="es-ES" w:eastAsia="es-ES"/>
        </w:rPr>
        <w:t>veinti</w:t>
      </w:r>
      <w:r w:rsidR="00E960E8">
        <w:rPr>
          <w:rFonts w:ascii="Museo Sans 300" w:eastAsia="Times New Roman" w:hAnsi="Museo Sans 300" w:cs="Segoe UI"/>
          <w:sz w:val="20"/>
          <w:szCs w:val="20"/>
          <w:lang w:val="es-ES" w:eastAsia="es-ES"/>
        </w:rPr>
        <w:t>uno y veinticuatro de octu</w:t>
      </w:r>
      <w:r w:rsidR="00386280">
        <w:rPr>
          <w:rFonts w:ascii="Museo Sans 300" w:eastAsia="Times New Roman" w:hAnsi="Museo Sans 300" w:cs="Segoe UI"/>
          <w:sz w:val="20"/>
          <w:szCs w:val="20"/>
          <w:lang w:val="es-ES" w:eastAsia="es-ES"/>
        </w:rPr>
        <w:t>bre</w:t>
      </w:r>
      <w:r w:rsidR="00BC2EB4" w:rsidRPr="000E6E84">
        <w:rPr>
          <w:rFonts w:ascii="Museo Sans 300" w:eastAsia="Times New Roman" w:hAnsi="Museo Sans 300" w:cs="Segoe UI"/>
          <w:sz w:val="20"/>
          <w:szCs w:val="20"/>
          <w:lang w:val="es-ES" w:eastAsia="es-ES"/>
        </w:rPr>
        <w:t xml:space="preserve"> del mismo</w:t>
      </w:r>
      <w:r w:rsidR="00152423" w:rsidRPr="000E6E84">
        <w:rPr>
          <w:rFonts w:ascii="Museo Sans 300" w:eastAsia="Times New Roman" w:hAnsi="Museo Sans 300" w:cs="Segoe UI"/>
          <w:sz w:val="20"/>
          <w:szCs w:val="20"/>
          <w:lang w:val="es-ES" w:eastAsia="es-ES"/>
        </w:rPr>
        <w:t xml:space="preserve"> año.</w:t>
      </w:r>
    </w:p>
    <w:p w14:paraId="20C7ACC7" w14:textId="73E38949" w:rsidR="00750125" w:rsidRDefault="00947FD4" w:rsidP="00947FD4">
      <w:pPr>
        <w:spacing w:after="0" w:line="240" w:lineRule="auto"/>
        <w:ind w:firstLine="426"/>
        <w:rPr>
          <w:rFonts w:ascii="Museo Sans 300" w:hAnsi="Museo Sans 300"/>
          <w:sz w:val="20"/>
          <w:szCs w:val="20"/>
          <w:lang w:val="es-ES_tradnl"/>
        </w:rPr>
      </w:pPr>
      <w:r>
        <w:rPr>
          <w:rFonts w:ascii="Museo Sans 300" w:hAnsi="Museo Sans 300"/>
          <w:sz w:val="20"/>
          <w:szCs w:val="20"/>
          <w:lang w:val="es-ES_tradnl"/>
        </w:rPr>
        <w:t xml:space="preserve">  </w:t>
      </w:r>
    </w:p>
    <w:p w14:paraId="1BE26982" w14:textId="055A5CED" w:rsidR="00B57678" w:rsidRDefault="00947FD4" w:rsidP="00B57678">
      <w:pPr>
        <w:pStyle w:val="paragraph"/>
        <w:spacing w:before="0" w:after="0"/>
        <w:ind w:left="426"/>
        <w:jc w:val="both"/>
        <w:rPr>
          <w:rFonts w:ascii="Museo Sans 300" w:hAnsi="Museo Sans 300"/>
          <w:sz w:val="20"/>
          <w:szCs w:val="20"/>
        </w:rPr>
      </w:pPr>
      <w:r w:rsidRPr="20DD02DB">
        <w:rPr>
          <w:rFonts w:ascii="Museo Sans 300" w:hAnsi="Museo Sans 300"/>
          <w:sz w:val="20"/>
          <w:szCs w:val="20"/>
        </w:rPr>
        <w:t>E</w:t>
      </w:r>
      <w:r w:rsidR="00386280" w:rsidRPr="20DD02DB">
        <w:rPr>
          <w:rFonts w:ascii="Museo Sans 300" w:hAnsi="Museo Sans 300"/>
          <w:sz w:val="20"/>
          <w:szCs w:val="20"/>
        </w:rPr>
        <w:t>l</w:t>
      </w:r>
      <w:r w:rsidRPr="20DD02DB">
        <w:rPr>
          <w:rFonts w:ascii="Museo Sans 300" w:hAnsi="Museo Sans 300"/>
          <w:sz w:val="20"/>
          <w:szCs w:val="20"/>
        </w:rPr>
        <w:t xml:space="preserve"> </w:t>
      </w:r>
      <w:r w:rsidR="00386280" w:rsidRPr="20DD02DB">
        <w:rPr>
          <w:rFonts w:ascii="Museo Sans 300" w:hAnsi="Museo Sans 300"/>
          <w:sz w:val="20"/>
          <w:szCs w:val="20"/>
        </w:rPr>
        <w:t xml:space="preserve">día </w:t>
      </w:r>
      <w:r w:rsidR="008E5D18" w:rsidRPr="20DD02DB">
        <w:rPr>
          <w:rFonts w:ascii="Museo Sans 300" w:hAnsi="Museo Sans 300"/>
          <w:sz w:val="20"/>
          <w:szCs w:val="20"/>
        </w:rPr>
        <w:t>veintisiete</w:t>
      </w:r>
      <w:r w:rsidR="00386280" w:rsidRPr="20DD02DB">
        <w:rPr>
          <w:rFonts w:ascii="Museo Sans 300" w:hAnsi="Museo Sans 300"/>
          <w:sz w:val="20"/>
          <w:szCs w:val="20"/>
        </w:rPr>
        <w:t xml:space="preserve"> de septiembre</w:t>
      </w:r>
      <w:r w:rsidR="00EF06DB" w:rsidRPr="20DD02DB">
        <w:rPr>
          <w:rFonts w:ascii="Museo Sans 300" w:hAnsi="Museo Sans 300"/>
          <w:sz w:val="20"/>
          <w:szCs w:val="20"/>
          <w:lang w:val="es-ES"/>
        </w:rPr>
        <w:t xml:space="preserve"> </w:t>
      </w:r>
      <w:r w:rsidR="00B57678" w:rsidRPr="20DD02DB">
        <w:rPr>
          <w:rFonts w:ascii="Museo Sans 300" w:hAnsi="Museo Sans 300" w:cs="Cambria Math"/>
          <w:sz w:val="20"/>
          <w:szCs w:val="20"/>
        </w:rPr>
        <w:t>de</w:t>
      </w:r>
      <w:r w:rsidR="002F2253" w:rsidRPr="20DD02DB">
        <w:rPr>
          <w:rFonts w:ascii="Museo Sans 300" w:hAnsi="Museo Sans 300" w:cs="Cambria Math"/>
          <w:sz w:val="20"/>
          <w:szCs w:val="20"/>
        </w:rPr>
        <w:t xml:space="preserve"> este año</w:t>
      </w:r>
      <w:r w:rsidR="00B57678" w:rsidRPr="20DD02DB">
        <w:rPr>
          <w:rFonts w:ascii="Museo Sans 300" w:hAnsi="Museo Sans 300"/>
          <w:sz w:val="20"/>
          <w:szCs w:val="20"/>
        </w:rPr>
        <w:t xml:space="preserve">, la distribuidora presentó </w:t>
      </w:r>
      <w:r w:rsidR="6946E9F5" w:rsidRPr="20DD02DB">
        <w:rPr>
          <w:rFonts w:ascii="Museo Sans 300" w:hAnsi="Museo Sans 300"/>
          <w:sz w:val="20"/>
          <w:szCs w:val="20"/>
        </w:rPr>
        <w:t xml:space="preserve">un </w:t>
      </w:r>
      <w:r w:rsidR="00B57678" w:rsidRPr="20DD02DB">
        <w:rPr>
          <w:rFonts w:ascii="Museo Sans 300" w:hAnsi="Museo Sans 300"/>
          <w:sz w:val="20"/>
          <w:szCs w:val="20"/>
        </w:rPr>
        <w:t xml:space="preserve">escrito en </w:t>
      </w:r>
      <w:r w:rsidR="65D1E0BC" w:rsidRPr="20DD02DB">
        <w:rPr>
          <w:rFonts w:ascii="Museo Sans 300" w:hAnsi="Museo Sans 300"/>
          <w:sz w:val="20"/>
          <w:szCs w:val="20"/>
        </w:rPr>
        <w:t>el</w:t>
      </w:r>
      <w:r w:rsidR="00B57678" w:rsidRPr="20DD02DB">
        <w:rPr>
          <w:rFonts w:ascii="Museo Sans 300" w:hAnsi="Museo Sans 300"/>
          <w:sz w:val="20"/>
          <w:szCs w:val="20"/>
        </w:rPr>
        <w:t xml:space="preserve"> cual</w:t>
      </w:r>
      <w:r w:rsidR="00B57678" w:rsidRPr="20DD02DB">
        <w:rPr>
          <w:rFonts w:ascii="Cambria Math" w:hAnsi="Cambria Math" w:cs="Cambria Math"/>
          <w:sz w:val="20"/>
          <w:szCs w:val="20"/>
        </w:rPr>
        <w:t xml:space="preserve"> </w:t>
      </w:r>
      <w:r w:rsidR="00B57678" w:rsidRPr="20DD02DB">
        <w:rPr>
          <w:rFonts w:ascii="Museo Sans 300" w:hAnsi="Museo Sans 300"/>
          <w:sz w:val="20"/>
          <w:szCs w:val="20"/>
        </w:rPr>
        <w:t xml:space="preserve">expresó que no posee pruebas adicionales a las previamente remitidas. Por su parte, </w:t>
      </w:r>
      <w:r w:rsidR="00641BF3" w:rsidRPr="20DD02DB">
        <w:rPr>
          <w:rFonts w:ascii="Museo Sans 300" w:hAnsi="Museo Sans 300"/>
          <w:sz w:val="20"/>
          <w:szCs w:val="20"/>
        </w:rPr>
        <w:t>la</w:t>
      </w:r>
      <w:r w:rsidR="00B57678" w:rsidRPr="20DD02DB">
        <w:rPr>
          <w:rFonts w:ascii="Museo Sans 300" w:hAnsi="Museo Sans 300"/>
          <w:sz w:val="20"/>
          <w:szCs w:val="20"/>
        </w:rPr>
        <w:t xml:space="preserve"> </w:t>
      </w:r>
      <w:r w:rsidR="008F16E7" w:rsidRPr="20DD02DB">
        <w:rPr>
          <w:rFonts w:ascii="Museo Sans 300" w:hAnsi="Museo Sans 300"/>
          <w:sz w:val="20"/>
          <w:szCs w:val="20"/>
        </w:rPr>
        <w:t>usuari</w:t>
      </w:r>
      <w:r w:rsidR="00641BF3" w:rsidRPr="20DD02DB">
        <w:rPr>
          <w:rFonts w:ascii="Museo Sans 300" w:hAnsi="Museo Sans 300"/>
          <w:sz w:val="20"/>
          <w:szCs w:val="20"/>
        </w:rPr>
        <w:t>a</w:t>
      </w:r>
      <w:r w:rsidR="00B57678" w:rsidRPr="20DD02DB">
        <w:rPr>
          <w:rFonts w:ascii="Museo Sans 300" w:hAnsi="Museo Sans 300"/>
          <w:sz w:val="20"/>
          <w:szCs w:val="20"/>
        </w:rPr>
        <w:t xml:space="preserve"> no hizo uso del derecho de defensa 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09C6A4F7"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86280">
        <w:rPr>
          <w:rFonts w:ascii="Museo Sans 300" w:hAnsi="Museo Sans 300"/>
          <w:sz w:val="20"/>
          <w:szCs w:val="20"/>
          <w:lang w:val="es-ES_tradnl"/>
        </w:rPr>
        <w:t>d</w:t>
      </w:r>
      <w:r w:rsidR="00FC6C62">
        <w:rPr>
          <w:rFonts w:ascii="Museo Sans 300" w:hAnsi="Museo Sans 300"/>
          <w:sz w:val="20"/>
          <w:szCs w:val="20"/>
          <w:lang w:val="es-ES_tradnl"/>
        </w:rPr>
        <w:t>ieci</w:t>
      </w:r>
      <w:r w:rsidR="008E5D18">
        <w:rPr>
          <w:rFonts w:ascii="Museo Sans 300" w:hAnsi="Museo Sans 300"/>
          <w:sz w:val="20"/>
          <w:szCs w:val="20"/>
          <w:lang w:val="es-ES_tradnl"/>
        </w:rPr>
        <w:t>ocho de noviem</w:t>
      </w:r>
      <w:r w:rsidR="00386280">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B169FF">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60871AA9" w:rsidR="004F237D" w:rsidRDefault="00B169FF" w:rsidP="004F237D">
      <w:pPr>
        <w:spacing w:after="0" w:line="240" w:lineRule="auto"/>
        <w:ind w:left="426"/>
        <w:jc w:val="center"/>
        <w:rPr>
          <w:rFonts w:ascii="Museo Sans 300" w:hAnsi="Museo Sans 300"/>
          <w:sz w:val="20"/>
          <w:szCs w:val="20"/>
          <w:u w:val="single"/>
        </w:rPr>
      </w:pPr>
      <w:r>
        <w:rPr>
          <w:noProof/>
        </w:rPr>
        <w:t>XXX</w:t>
      </w: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4" w:name="_Hlk78192968"/>
    </w:p>
    <w:p w14:paraId="2676CAE5" w14:textId="5A01F3C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886854E" w14:textId="77777777" w:rsidR="008E5D18" w:rsidRPr="008E5D18" w:rsidRDefault="008B7A00" w:rsidP="008E5D18">
      <w:pPr>
        <w:ind w:left="709" w:right="709"/>
        <w:jc w:val="both"/>
        <w:rPr>
          <w:rFonts w:ascii="Museo 300" w:hAnsi="Museo 300"/>
          <w:sz w:val="16"/>
          <w:szCs w:val="16"/>
        </w:rPr>
      </w:pPr>
      <w:r w:rsidRPr="008E5D18">
        <w:rPr>
          <w:rFonts w:ascii="Museo 300" w:hAnsi="Museo 300"/>
          <w:sz w:val="16"/>
          <w:szCs w:val="16"/>
        </w:rPr>
        <w:t>[…]</w:t>
      </w:r>
      <w:r w:rsidR="008908E4" w:rsidRPr="008E5D18">
        <w:rPr>
          <w:rFonts w:ascii="Museo 300" w:hAnsi="Museo 300"/>
          <w:sz w:val="16"/>
          <w:szCs w:val="16"/>
        </w:rPr>
        <w:t xml:space="preserve"> </w:t>
      </w:r>
      <w:r w:rsidR="008E5D18" w:rsidRPr="008E5D18">
        <w:rPr>
          <w:rFonts w:ascii="Museo 300" w:hAnsi="Museo 300"/>
          <w:sz w:val="16"/>
          <w:szCs w:val="16"/>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 siendo éstas las siguientes:</w:t>
      </w:r>
    </w:p>
    <w:p w14:paraId="0FDE1A3F" w14:textId="74D3584C" w:rsidR="008E5D18" w:rsidRDefault="00B169FF" w:rsidP="005333F0">
      <w:pPr>
        <w:ind w:left="709" w:right="709"/>
        <w:jc w:val="center"/>
        <w:rPr>
          <w:rFonts w:ascii="Museo 300" w:eastAsia="SimSun" w:hAnsi="Museo 300"/>
          <w:color w:val="000000" w:themeColor="text1"/>
          <w:spacing w:val="-5"/>
          <w:sz w:val="16"/>
          <w:szCs w:val="16"/>
        </w:rPr>
      </w:pPr>
      <w:r>
        <w:rPr>
          <w:noProof/>
        </w:rPr>
        <w:t>XXX</w:t>
      </w:r>
    </w:p>
    <w:p w14:paraId="5F07B293" w14:textId="69B49B01" w:rsidR="005333F0" w:rsidRPr="005333F0" w:rsidRDefault="005333F0" w:rsidP="005333F0">
      <w:pPr>
        <w:ind w:left="709" w:right="709"/>
        <w:jc w:val="both"/>
        <w:rPr>
          <w:rFonts w:ascii="Museo 300" w:hAnsi="Museo 300"/>
          <w:sz w:val="16"/>
          <w:szCs w:val="16"/>
          <w:lang w:val="es-419"/>
        </w:rPr>
      </w:pPr>
      <w:r w:rsidRPr="005333F0">
        <w:rPr>
          <w:rFonts w:ascii="Museo 300" w:hAnsi="Museo 300"/>
          <w:sz w:val="16"/>
          <w:szCs w:val="16"/>
        </w:rPr>
        <w:t xml:space="preserve"> </w:t>
      </w:r>
      <w:r>
        <w:rPr>
          <w:rFonts w:ascii="Museo 300" w:hAnsi="Museo 300"/>
          <w:sz w:val="16"/>
          <w:szCs w:val="16"/>
        </w:rPr>
        <w:t>(…)</w:t>
      </w:r>
      <w:r w:rsidR="00E973D9">
        <w:rPr>
          <w:rFonts w:ascii="Museo 300" w:hAnsi="Museo 300"/>
          <w:sz w:val="16"/>
          <w:szCs w:val="16"/>
        </w:rPr>
        <w:t xml:space="preserve"> </w:t>
      </w:r>
      <w:r w:rsidRPr="005333F0">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y que éste presenta una trayectoria hacia el interior del inmueble, por lo que se concluye que estaba disponible para su uso sin que su carga fuera registrada por el medidor </w:t>
      </w:r>
      <w:proofErr w:type="spellStart"/>
      <w:r w:rsidRPr="005333F0">
        <w:rPr>
          <w:rFonts w:ascii="Museo 300" w:hAnsi="Museo 300"/>
          <w:b/>
          <w:bCs/>
          <w:sz w:val="16"/>
          <w:szCs w:val="16"/>
          <w:lang w:val="es-419"/>
        </w:rPr>
        <w:t>n.°</w:t>
      </w:r>
      <w:proofErr w:type="spellEnd"/>
      <w:r w:rsidRPr="005333F0">
        <w:rPr>
          <w:rFonts w:ascii="Museo 300" w:hAnsi="Museo 300"/>
          <w:b/>
          <w:bCs/>
          <w:sz w:val="16"/>
          <w:szCs w:val="16"/>
          <w:lang w:val="es-419"/>
        </w:rPr>
        <w:t xml:space="preserve"> </w:t>
      </w:r>
      <w:r w:rsidR="00B169FF">
        <w:rPr>
          <w:rFonts w:ascii="Museo 300" w:hAnsi="Museo 300"/>
          <w:b/>
          <w:bCs/>
          <w:sz w:val="16"/>
          <w:szCs w:val="16"/>
          <w:lang w:val="es-419"/>
        </w:rPr>
        <w:t>XXX</w:t>
      </w:r>
      <w:r w:rsidRPr="005333F0">
        <w:rPr>
          <w:rFonts w:ascii="Museo 300" w:hAnsi="Museo 300"/>
          <w:sz w:val="16"/>
          <w:szCs w:val="16"/>
          <w:lang w:val="es-419"/>
        </w:rPr>
        <w:t>.</w:t>
      </w:r>
    </w:p>
    <w:p w14:paraId="3DD6189C" w14:textId="77777777" w:rsidR="005333F0" w:rsidRPr="005333F0" w:rsidRDefault="005333F0" w:rsidP="005333F0">
      <w:pPr>
        <w:ind w:left="709" w:right="709"/>
        <w:jc w:val="both"/>
        <w:rPr>
          <w:rFonts w:ascii="Museo 300" w:hAnsi="Museo 300"/>
          <w:sz w:val="16"/>
          <w:szCs w:val="16"/>
          <w:lang w:val="es-419"/>
        </w:rPr>
      </w:pPr>
      <w:r w:rsidRPr="005333F0">
        <w:rPr>
          <w:rFonts w:ascii="Museo 300" w:hAnsi="Museo 300"/>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 la usuaria.</w:t>
      </w:r>
    </w:p>
    <w:p w14:paraId="48246855" w14:textId="59B030A5" w:rsidR="00D77F9D" w:rsidRPr="007C27AB" w:rsidRDefault="005333F0" w:rsidP="008E5D18">
      <w:pPr>
        <w:ind w:left="709" w:right="709"/>
        <w:jc w:val="both"/>
        <w:rPr>
          <w:rFonts w:ascii="Museo 300" w:hAnsi="Museo 300"/>
          <w:sz w:val="16"/>
          <w:szCs w:val="16"/>
        </w:rPr>
      </w:pPr>
      <w:r w:rsidRPr="005333F0">
        <w:rPr>
          <w:rFonts w:ascii="Museo 300" w:hAnsi="Museo 300"/>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 imagen </w:t>
      </w:r>
      <w:proofErr w:type="spellStart"/>
      <w:r w:rsidRPr="005333F0">
        <w:rPr>
          <w:rFonts w:ascii="Museo 300" w:hAnsi="Museo 300"/>
          <w:sz w:val="16"/>
          <w:szCs w:val="16"/>
          <w:lang w:val="es-419"/>
        </w:rPr>
        <w:t>n.°</w:t>
      </w:r>
      <w:proofErr w:type="spellEnd"/>
      <w:r w:rsidRPr="005333F0">
        <w:rPr>
          <w:rFonts w:ascii="Museo 300" w:hAnsi="Museo 300"/>
          <w:sz w:val="16"/>
          <w:szCs w:val="16"/>
          <w:lang w:val="es-419"/>
        </w:rPr>
        <w:t xml:space="preserve"> 1 y 2, así como el patrón de consumos del suministro descrito en la gráfica </w:t>
      </w:r>
      <w:proofErr w:type="spellStart"/>
      <w:r w:rsidRPr="005333F0">
        <w:rPr>
          <w:rFonts w:ascii="Museo 300" w:hAnsi="Museo 300"/>
          <w:sz w:val="16"/>
          <w:szCs w:val="16"/>
          <w:lang w:val="es-419"/>
        </w:rPr>
        <w:t>n.°</w:t>
      </w:r>
      <w:proofErr w:type="spellEnd"/>
      <w:r w:rsidRPr="005333F0">
        <w:rPr>
          <w:rFonts w:ascii="Museo 300" w:hAnsi="Museo 300"/>
          <w:sz w:val="16"/>
          <w:szCs w:val="16"/>
          <w:lang w:val="es-419"/>
        </w:rPr>
        <w:t xml:space="preserve"> 1, y los indicios de la reparación en la acometida de servicio eléctrico detectado por el CAU mostrados en la imagen </w:t>
      </w:r>
      <w:proofErr w:type="spellStart"/>
      <w:r w:rsidRPr="005333F0">
        <w:rPr>
          <w:rFonts w:ascii="Museo 300" w:hAnsi="Museo 300"/>
          <w:sz w:val="16"/>
          <w:szCs w:val="16"/>
          <w:lang w:val="es-419"/>
        </w:rPr>
        <w:t>n.°</w:t>
      </w:r>
      <w:proofErr w:type="spellEnd"/>
      <w:r w:rsidRPr="005333F0">
        <w:rPr>
          <w:rFonts w:ascii="Museo 300" w:hAnsi="Museo 300"/>
          <w:sz w:val="16"/>
          <w:szCs w:val="16"/>
          <w:lang w:val="es-419"/>
        </w:rPr>
        <w:t xml:space="preserve"> 3.</w:t>
      </w:r>
      <w:r>
        <w:rPr>
          <w:rFonts w:ascii="Museo 300" w:hAnsi="Museo 300"/>
          <w:sz w:val="16"/>
          <w:szCs w:val="16"/>
          <w:lang w:val="es-419"/>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A5EFC3E" w14:textId="77777777" w:rsidR="001B59CD" w:rsidRPr="001B59CD" w:rsidRDefault="001B59CD" w:rsidP="001B59CD">
      <w:pPr>
        <w:ind w:left="709" w:right="709"/>
        <w:jc w:val="both"/>
        <w:rPr>
          <w:rFonts w:ascii="Museo 300" w:hAnsi="Museo 300"/>
          <w:sz w:val="16"/>
          <w:szCs w:val="16"/>
          <w:lang w:val="es-419"/>
        </w:rPr>
      </w:pPr>
      <w:r w:rsidRPr="001B59CD">
        <w:rPr>
          <w:rFonts w:ascii="Museo 300" w:hAnsi="Museo 300"/>
          <w:sz w:val="16"/>
          <w:szCs w:val="16"/>
          <w:lang w:val="es-419"/>
        </w:rPr>
        <w:t xml:space="preserve">De conformidad con lo determinado en el procedimiento contenido en el acuerdo </w:t>
      </w:r>
      <w:proofErr w:type="spellStart"/>
      <w:r w:rsidRPr="001B59CD">
        <w:rPr>
          <w:rFonts w:ascii="Museo 300" w:hAnsi="Museo 300"/>
          <w:b/>
          <w:bCs/>
          <w:sz w:val="16"/>
          <w:szCs w:val="16"/>
          <w:lang w:val="es-419"/>
        </w:rPr>
        <w:t>N.°</w:t>
      </w:r>
      <w:proofErr w:type="spellEnd"/>
      <w:r w:rsidRPr="001B59CD">
        <w:rPr>
          <w:rFonts w:ascii="Museo 300" w:hAnsi="Museo 300"/>
          <w:b/>
          <w:bCs/>
          <w:sz w:val="16"/>
          <w:szCs w:val="16"/>
          <w:lang w:val="es-419"/>
        </w:rPr>
        <w:t xml:space="preserve"> 283-E-2011</w:t>
      </w:r>
      <w:r w:rsidRPr="001B59CD">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5A9DE270" w14:textId="6ABE5947" w:rsidR="001B59CD" w:rsidRDefault="001B59CD" w:rsidP="001B59CD">
      <w:pPr>
        <w:numPr>
          <w:ilvl w:val="0"/>
          <w:numId w:val="7"/>
        </w:numPr>
        <w:ind w:left="1276" w:right="709" w:hanging="283"/>
        <w:jc w:val="both"/>
        <w:rPr>
          <w:rFonts w:ascii="Museo 300" w:hAnsi="Museo 300"/>
          <w:bCs/>
          <w:sz w:val="16"/>
          <w:szCs w:val="16"/>
          <w:lang w:val="es-419"/>
        </w:rPr>
      </w:pPr>
      <w:bookmarkStart w:id="5" w:name="_Hlk103928456"/>
      <w:r w:rsidRPr="001B59CD">
        <w:rPr>
          <w:rFonts w:ascii="Museo 300" w:hAnsi="Museo 300"/>
          <w:sz w:val="16"/>
          <w:szCs w:val="16"/>
          <w:lang w:val="es-419"/>
        </w:rPr>
        <w:t xml:space="preserve">El </w:t>
      </w:r>
      <w:r w:rsidRPr="001B59CD">
        <w:rPr>
          <w:rFonts w:ascii="Museo 300" w:hAnsi="Museo 300"/>
          <w:b/>
          <w:bCs/>
          <w:sz w:val="16"/>
          <w:szCs w:val="16"/>
          <w:lang w:val="es-419"/>
        </w:rPr>
        <w:t>censo de carga instalada</w:t>
      </w:r>
      <w:r w:rsidRPr="001B59CD">
        <w:rPr>
          <w:rFonts w:ascii="Museo 300" w:hAnsi="Museo 300"/>
          <w:sz w:val="16"/>
          <w:szCs w:val="16"/>
          <w:lang w:val="es-419"/>
        </w:rPr>
        <w:t xml:space="preserve"> en el inmueble del suministro con </w:t>
      </w:r>
      <w:r w:rsidRPr="001B59CD">
        <w:rPr>
          <w:rFonts w:ascii="Museo 300" w:hAnsi="Museo 300"/>
          <w:b/>
          <w:bCs/>
          <w:sz w:val="16"/>
          <w:szCs w:val="16"/>
          <w:lang w:val="es-419"/>
        </w:rPr>
        <w:t xml:space="preserve">NIC </w:t>
      </w:r>
      <w:r w:rsidR="00B169FF">
        <w:rPr>
          <w:rFonts w:ascii="Museo 300" w:hAnsi="Museo 300"/>
          <w:b/>
          <w:bCs/>
          <w:sz w:val="16"/>
          <w:szCs w:val="16"/>
          <w:lang w:val="es-419"/>
        </w:rPr>
        <w:t>XXX</w:t>
      </w:r>
      <w:r w:rsidRPr="001B59CD">
        <w:rPr>
          <w:rFonts w:ascii="Museo 300" w:hAnsi="Museo 300"/>
          <w:sz w:val="16"/>
          <w:szCs w:val="16"/>
          <w:lang w:val="es-419"/>
        </w:rPr>
        <w:t xml:space="preserve">, dato que permitió establecer un consumo promedio mensual de </w:t>
      </w:r>
      <w:r w:rsidRPr="001B59CD">
        <w:rPr>
          <w:rFonts w:ascii="Museo 300" w:hAnsi="Museo 300"/>
          <w:b/>
          <w:bCs/>
          <w:sz w:val="16"/>
          <w:szCs w:val="16"/>
          <w:lang w:val="es-419"/>
        </w:rPr>
        <w:t>539 kWh</w:t>
      </w:r>
      <w:r w:rsidRPr="001B59CD">
        <w:rPr>
          <w:rFonts w:ascii="Museo 300" w:hAnsi="Museo 300"/>
          <w:sz w:val="16"/>
          <w:szCs w:val="16"/>
          <w:lang w:val="es-419"/>
        </w:rPr>
        <w:t>.</w:t>
      </w:r>
    </w:p>
    <w:p w14:paraId="14E69866" w14:textId="77777777" w:rsidR="001B59CD" w:rsidRDefault="001B59CD" w:rsidP="001B59CD">
      <w:pPr>
        <w:numPr>
          <w:ilvl w:val="0"/>
          <w:numId w:val="7"/>
        </w:numPr>
        <w:ind w:left="1276" w:right="709" w:hanging="283"/>
        <w:jc w:val="both"/>
        <w:rPr>
          <w:rFonts w:ascii="Museo 300" w:hAnsi="Museo 300"/>
          <w:bCs/>
          <w:sz w:val="16"/>
          <w:szCs w:val="16"/>
          <w:lang w:val="es-419"/>
        </w:rPr>
      </w:pPr>
      <w:r w:rsidRPr="001B59CD">
        <w:rPr>
          <w:rFonts w:ascii="Museo 300" w:hAnsi="Museo 300"/>
          <w:sz w:val="16"/>
          <w:szCs w:val="16"/>
          <w:lang w:val="es-419"/>
        </w:rPr>
        <w:t xml:space="preserve">El período por recuperar por parte de la empresa distribuidora, por una energía consumida y no facturada, se determina que es de </w:t>
      </w:r>
      <w:r w:rsidRPr="001B59CD">
        <w:rPr>
          <w:rFonts w:ascii="Museo 300" w:hAnsi="Museo 300"/>
          <w:b/>
          <w:bCs/>
          <w:sz w:val="16"/>
          <w:szCs w:val="16"/>
          <w:lang w:val="es-419"/>
        </w:rPr>
        <w:t>174 días</w:t>
      </w:r>
      <w:r w:rsidRPr="001B59CD">
        <w:rPr>
          <w:rFonts w:ascii="Museo 300" w:hAnsi="Museo 300"/>
          <w:sz w:val="16"/>
          <w:szCs w:val="16"/>
          <w:lang w:val="es-419"/>
        </w:rPr>
        <w:t>, relativo al período del 16 de enero de 2022 al 9 de julio de 2022, tal como lo efectuó la empresa distribuidora.</w:t>
      </w:r>
    </w:p>
    <w:p w14:paraId="12BD29B0" w14:textId="0738461E" w:rsidR="001B59CD" w:rsidRPr="001B59CD" w:rsidRDefault="001B59CD" w:rsidP="001B59CD">
      <w:pPr>
        <w:numPr>
          <w:ilvl w:val="0"/>
          <w:numId w:val="7"/>
        </w:numPr>
        <w:ind w:left="1276" w:right="709" w:hanging="283"/>
        <w:jc w:val="both"/>
        <w:rPr>
          <w:rFonts w:ascii="Museo 300" w:hAnsi="Museo 300"/>
          <w:bCs/>
          <w:sz w:val="16"/>
          <w:szCs w:val="16"/>
          <w:lang w:val="es-419"/>
        </w:rPr>
      </w:pPr>
      <w:r w:rsidRPr="001B59CD">
        <w:rPr>
          <w:rFonts w:ascii="Museo 300" w:hAnsi="Museo 300"/>
          <w:sz w:val="16"/>
          <w:szCs w:val="16"/>
          <w:lang w:val="es-419"/>
        </w:rPr>
        <w:t xml:space="preserve">En el período de recuperación antes citado la sociedad AES CLESA ya facturó un consumo de energía de </w:t>
      </w:r>
      <w:r w:rsidRPr="001B59CD">
        <w:rPr>
          <w:rFonts w:ascii="Museo 300" w:hAnsi="Museo 300"/>
          <w:b/>
          <w:bCs/>
          <w:sz w:val="16"/>
          <w:szCs w:val="16"/>
          <w:lang w:val="es-419"/>
        </w:rPr>
        <w:t>2,131 kWh</w:t>
      </w:r>
      <w:r w:rsidRPr="001B59CD">
        <w:rPr>
          <w:rFonts w:ascii="Museo 300" w:hAnsi="Museo 300"/>
          <w:sz w:val="16"/>
          <w:szCs w:val="16"/>
          <w:lang w:val="es-419"/>
        </w:rPr>
        <w:t>.</w:t>
      </w:r>
    </w:p>
    <w:bookmarkEnd w:id="5"/>
    <w:p w14:paraId="4B3CDAB9" w14:textId="0009ED9A" w:rsidR="00376952" w:rsidRPr="001B59CD" w:rsidRDefault="001B59CD" w:rsidP="001B59CD">
      <w:pPr>
        <w:numPr>
          <w:ilvl w:val="0"/>
          <w:numId w:val="7"/>
        </w:numPr>
        <w:ind w:left="1276" w:right="709" w:hanging="283"/>
        <w:jc w:val="both"/>
        <w:rPr>
          <w:rFonts w:ascii="Museo 300" w:hAnsi="Museo 300"/>
          <w:b/>
          <w:bCs/>
          <w:sz w:val="16"/>
          <w:szCs w:val="16"/>
        </w:rPr>
      </w:pPr>
      <w:r w:rsidRPr="001B59CD">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1B59CD">
        <w:rPr>
          <w:rFonts w:ascii="Museo 300" w:hAnsi="Museo 300"/>
          <w:b/>
          <w:bCs/>
          <w:sz w:val="16"/>
          <w:szCs w:val="16"/>
          <w:lang w:val="es-419"/>
        </w:rPr>
        <w:t>995 kWh</w:t>
      </w:r>
      <w:r w:rsidRPr="001B59CD">
        <w:rPr>
          <w:rFonts w:ascii="Museo 300" w:hAnsi="Museo 300"/>
          <w:sz w:val="16"/>
          <w:szCs w:val="16"/>
          <w:lang w:val="es-419"/>
        </w:rPr>
        <w:t xml:space="preserve">, el cual asciende a la cantidad de </w:t>
      </w:r>
      <w:r w:rsidRPr="001B59CD">
        <w:rPr>
          <w:rFonts w:ascii="Museo 300" w:hAnsi="Museo 300"/>
          <w:b/>
          <w:bCs/>
          <w:sz w:val="16"/>
          <w:szCs w:val="16"/>
          <w:lang w:val="es-419"/>
        </w:rPr>
        <w:t>doscientos ochenta y uno 31/100 dólares de los Estados Unidos de América (USD 281.31), IVA incluido</w:t>
      </w:r>
      <w:r w:rsidRPr="001B59CD">
        <w:rPr>
          <w:rFonts w:ascii="Museo 300" w:hAnsi="Museo 300"/>
          <w:sz w:val="16"/>
          <w:szCs w:val="16"/>
          <w:lang w:val="es-419"/>
        </w:rPr>
        <w:t>.</w:t>
      </w:r>
      <w:r w:rsidRPr="001B59CD">
        <w:rPr>
          <w:rFonts w:ascii="Museo 300" w:hAnsi="Museo 300"/>
          <w:color w:val="000000" w:themeColor="text1"/>
          <w:sz w:val="16"/>
          <w:szCs w:val="16"/>
        </w:rPr>
        <w:t xml:space="preserve"> </w:t>
      </w:r>
      <w:r w:rsidR="00376952" w:rsidRPr="001B59CD">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7F5090">
      <w:pPr>
        <w:suppressAutoHyphens w:val="0"/>
        <w:autoSpaceDN/>
        <w:spacing w:after="0" w:line="0" w:lineRule="atLeast"/>
        <w:ind w:left="840" w:right="420"/>
        <w:jc w:val="both"/>
        <w:rPr>
          <w:rFonts w:ascii="Segoe UI" w:eastAsia="Times New Roman" w:hAnsi="Segoe UI" w:cs="Segoe UI"/>
          <w:sz w:val="18"/>
          <w:szCs w:val="18"/>
          <w:lang w:eastAsia="es-SV"/>
        </w:rPr>
      </w:pPr>
    </w:p>
    <w:p w14:paraId="1F13EC93" w14:textId="64023B1B" w:rsidR="001B59CD" w:rsidRPr="001B59CD" w:rsidRDefault="001B59CD" w:rsidP="001B59CD">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1B59CD">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1B59CD">
        <w:rPr>
          <w:rFonts w:ascii="Museo 300" w:eastAsia="Museo Sans 300" w:hAnsi="Museo 300" w:cs="Museo Sans 300"/>
          <w:b/>
          <w:bCs/>
          <w:sz w:val="16"/>
          <w:szCs w:val="16"/>
          <w:lang w:val="es-419"/>
        </w:rPr>
        <w:t xml:space="preserve">NIC </w:t>
      </w:r>
      <w:r w:rsidR="00B169FF">
        <w:rPr>
          <w:rFonts w:ascii="Museo 300" w:eastAsia="Museo Sans 300" w:hAnsi="Museo 300" w:cs="Museo Sans 300"/>
          <w:b/>
          <w:bCs/>
          <w:sz w:val="16"/>
          <w:szCs w:val="16"/>
          <w:lang w:val="es-419"/>
        </w:rPr>
        <w:t>XXX</w:t>
      </w:r>
      <w:r w:rsidRPr="001B59CD">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51B7FFD6" w14:textId="77777777" w:rsidR="001B59CD" w:rsidRPr="001B59CD" w:rsidRDefault="001B59CD" w:rsidP="001B59CD">
      <w:pPr>
        <w:pStyle w:val="Prrafodelista"/>
        <w:suppressAutoHyphens w:val="0"/>
        <w:autoSpaceDN/>
        <w:spacing w:line="0" w:lineRule="atLeast"/>
        <w:ind w:left="1134" w:right="709"/>
        <w:jc w:val="both"/>
        <w:textAlignment w:val="auto"/>
        <w:rPr>
          <w:rFonts w:ascii="Museo 300" w:hAnsi="Museo 300"/>
          <w:sz w:val="16"/>
          <w:szCs w:val="16"/>
          <w:lang w:val="es-419"/>
        </w:rPr>
      </w:pPr>
    </w:p>
    <w:p w14:paraId="3E9E3756" w14:textId="5A678DCE" w:rsidR="001B59CD" w:rsidRPr="001B59CD" w:rsidRDefault="001B59CD" w:rsidP="001B59CD">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1B59CD">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1B59CD">
        <w:rPr>
          <w:rFonts w:ascii="Museo 300" w:hAnsi="Museo 300" w:cs="Arial"/>
          <w:b/>
          <w:bCs/>
          <w:sz w:val="16"/>
          <w:szCs w:val="16"/>
          <w:lang w:val="es-419"/>
        </w:rPr>
        <w:t>setecientos cuatro 63/100 dólares de los Estados Unidos de América (USD 704.63), IVA incluido</w:t>
      </w:r>
      <w:r w:rsidRPr="001B59CD">
        <w:rPr>
          <w:rFonts w:ascii="Museo 300" w:hAnsi="Museo 300" w:cs="Arial"/>
          <w:sz w:val="16"/>
          <w:szCs w:val="16"/>
          <w:lang w:val="es-419"/>
        </w:rPr>
        <w:t xml:space="preserve">, correspondiente al consumo de </w:t>
      </w:r>
      <w:r w:rsidRPr="001B59CD">
        <w:rPr>
          <w:rFonts w:ascii="Museo 300" w:hAnsi="Museo 300" w:cs="Arial"/>
          <w:b/>
          <w:bCs/>
          <w:sz w:val="16"/>
          <w:szCs w:val="16"/>
          <w:lang w:val="es-419"/>
        </w:rPr>
        <w:t>2,516 kWh</w:t>
      </w:r>
      <w:r w:rsidRPr="001B59CD">
        <w:rPr>
          <w:rFonts w:ascii="Museo 300" w:hAnsi="Museo 300" w:cs="Arial"/>
          <w:sz w:val="16"/>
          <w:szCs w:val="16"/>
          <w:lang w:val="es-419"/>
        </w:rPr>
        <w:t>, asociado al período comprendido entre el 16 de enero de 2022 al 9 de julio de 2022.</w:t>
      </w:r>
    </w:p>
    <w:p w14:paraId="56BDBFA6" w14:textId="77777777" w:rsidR="001B59CD" w:rsidRPr="001B59CD" w:rsidRDefault="001B59CD" w:rsidP="001B59CD">
      <w:pPr>
        <w:pStyle w:val="Prrafodelista"/>
        <w:jc w:val="both"/>
        <w:rPr>
          <w:rFonts w:ascii="Museo 300" w:hAnsi="Museo 300"/>
          <w:sz w:val="16"/>
          <w:szCs w:val="16"/>
          <w:lang w:val="es-419"/>
        </w:rPr>
      </w:pPr>
    </w:p>
    <w:p w14:paraId="4BAB16C4" w14:textId="486E223D" w:rsidR="00562498" w:rsidRPr="001B59CD" w:rsidRDefault="001B59CD" w:rsidP="001B59CD">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1B59CD">
        <w:rPr>
          <w:rFonts w:ascii="Museo 300" w:eastAsia="Museo Sans 300" w:hAnsi="Museo 300" w:cs="Museo Sans 300"/>
          <w:sz w:val="16"/>
          <w:szCs w:val="16"/>
          <w:lang w:val="es-419"/>
        </w:rPr>
        <w:t xml:space="preserve">De acuerdo con el recálculo que el CAU ha efectuado, la sociedad AES CLESA debe cobrar la cantidad de </w:t>
      </w:r>
      <w:r w:rsidRPr="001B59CD">
        <w:rPr>
          <w:rFonts w:ascii="Museo 300" w:hAnsi="Museo 300" w:cs="Arial"/>
          <w:b/>
          <w:bCs/>
          <w:sz w:val="16"/>
          <w:szCs w:val="16"/>
          <w:lang w:val="es-419"/>
        </w:rPr>
        <w:t>doscientos ochenta y uno 31/100 dólares de los Estados Unidos de América (USD 281.31), IVA incluido</w:t>
      </w:r>
      <w:r w:rsidRPr="001B59CD">
        <w:rPr>
          <w:rFonts w:ascii="Museo 300" w:hAnsi="Museo 300" w:cs="Arial"/>
          <w:sz w:val="16"/>
          <w:szCs w:val="16"/>
          <w:lang w:val="es-419"/>
        </w:rPr>
        <w:t>,</w:t>
      </w:r>
      <w:r w:rsidRPr="001B59CD">
        <w:rPr>
          <w:rFonts w:ascii="Museo 300" w:eastAsia="Museo Sans 300" w:hAnsi="Museo 300" w:cs="Museo Sans 300"/>
          <w:sz w:val="16"/>
          <w:szCs w:val="16"/>
          <w:lang w:val="es-419"/>
        </w:rPr>
        <w:t xml:space="preserve"> en concepto de energía consumida y no facturada de </w:t>
      </w:r>
      <w:r w:rsidRPr="001B59CD">
        <w:rPr>
          <w:rFonts w:ascii="Museo 300" w:eastAsia="Museo Sans 300" w:hAnsi="Museo 300" w:cs="Museo Sans 300"/>
          <w:b/>
          <w:bCs/>
          <w:sz w:val="16"/>
          <w:szCs w:val="16"/>
          <w:lang w:val="es-419"/>
        </w:rPr>
        <w:t>995 kWh</w:t>
      </w:r>
      <w:r w:rsidRPr="001B59CD">
        <w:rPr>
          <w:rFonts w:ascii="Museo 300" w:eastAsia="Museo Sans 300" w:hAnsi="Museo 300" w:cs="Museo Sans 300"/>
          <w:sz w:val="16"/>
          <w:szCs w:val="16"/>
          <w:lang w:val="es-419"/>
        </w:rPr>
        <w:t>,</w:t>
      </w:r>
      <w:r w:rsidRPr="001B59CD">
        <w:rPr>
          <w:rFonts w:ascii="Museo 300" w:eastAsia="Museo Sans 300" w:hAnsi="Museo 300" w:cs="Museo Sans 300"/>
          <w:b/>
          <w:bCs/>
          <w:sz w:val="16"/>
          <w:szCs w:val="16"/>
          <w:lang w:val="es-419"/>
        </w:rPr>
        <w:t xml:space="preserve"> </w:t>
      </w:r>
      <w:r w:rsidRPr="001B59CD">
        <w:rPr>
          <w:rFonts w:ascii="Museo 300" w:eastAsia="Museo Sans 300" w:hAnsi="Museo 300" w:cs="Museo Sans 300"/>
          <w:sz w:val="16"/>
          <w:szCs w:val="16"/>
          <w:lang w:val="es-419"/>
        </w:rPr>
        <w:t xml:space="preserve">correspondiente al período antes citado, </w:t>
      </w:r>
      <w:r w:rsidRPr="001B59CD">
        <w:rPr>
          <w:rFonts w:ascii="Museo 300" w:eastAsia="Museo Sans 300" w:hAnsi="Museo 300" w:cs="Museo Sans 300"/>
          <w:b/>
          <w:bCs/>
          <w:sz w:val="16"/>
          <w:szCs w:val="16"/>
          <w:lang w:val="es-419"/>
        </w:rPr>
        <w:t>más los respectivos intereses</w:t>
      </w:r>
      <w:r w:rsidRPr="001B59CD">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2022. </w:t>
      </w:r>
      <w:r w:rsidR="00562498" w:rsidRPr="001B59CD">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109A9C6D"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191C68">
        <w:rPr>
          <w:rFonts w:ascii="Museo Sans 300" w:hAnsi="Museo Sans 300" w:cs="Segoe UI"/>
          <w:sz w:val="20"/>
          <w:szCs w:val="20"/>
        </w:rPr>
        <w:t>E-1789</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B169FF">
        <w:rPr>
          <w:rFonts w:ascii="Museo Sans 300" w:hAnsi="Museo Sans 300" w:cs="Segoe UI"/>
          <w:sz w:val="20"/>
          <w:szCs w:val="20"/>
        </w:rPr>
        <w:t>XXX</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F271F42" w14:textId="70C4C844" w:rsidR="00915A89" w:rsidRDefault="00A850F3" w:rsidP="00915A89">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 xml:space="preserve">citado acuerdo fue notificado </w:t>
      </w:r>
      <w:r w:rsidR="00D9215E" w:rsidRPr="00E973D9">
        <w:rPr>
          <w:rFonts w:ascii="Museo Sans 300" w:hAnsi="Museo Sans 300"/>
          <w:sz w:val="20"/>
          <w:szCs w:val="20"/>
        </w:rPr>
        <w:t>a la</w:t>
      </w:r>
      <w:r w:rsidR="00DE7440" w:rsidRPr="00E973D9">
        <w:rPr>
          <w:rFonts w:ascii="Museo Sans 300" w:hAnsi="Museo Sans 300"/>
          <w:sz w:val="20"/>
          <w:szCs w:val="20"/>
        </w:rPr>
        <w:t xml:space="preserve">s partes el día </w:t>
      </w:r>
      <w:r w:rsidR="004870BF" w:rsidRPr="00E973D9">
        <w:rPr>
          <w:rFonts w:ascii="Museo Sans 300" w:hAnsi="Museo Sans 300"/>
          <w:sz w:val="20"/>
          <w:szCs w:val="20"/>
        </w:rPr>
        <w:t>veintidós de noviem</w:t>
      </w:r>
      <w:r w:rsidR="00915A89" w:rsidRPr="00E973D9">
        <w:rPr>
          <w:rFonts w:ascii="Museo Sans 300" w:hAnsi="Museo Sans 300"/>
          <w:sz w:val="20"/>
          <w:szCs w:val="20"/>
        </w:rPr>
        <w:t>bre de este</w:t>
      </w:r>
      <w:r w:rsidR="00D9215E" w:rsidRPr="00E973D9">
        <w:rPr>
          <w:rFonts w:ascii="Museo Sans 300" w:hAnsi="Museo Sans 300"/>
          <w:sz w:val="20"/>
          <w:szCs w:val="20"/>
        </w:rPr>
        <w:t xml:space="preserve"> año,</w:t>
      </w:r>
      <w:r w:rsidR="00915A89" w:rsidRPr="00E973D9">
        <w:rPr>
          <w:rFonts w:ascii="Museo Sans 300" w:eastAsia="Times New Roman" w:hAnsi="Museo Sans 300" w:cs="Segoe UI"/>
          <w:sz w:val="20"/>
          <w:szCs w:val="20"/>
          <w:lang w:val="es-ES" w:eastAsia="es-ES"/>
        </w:rPr>
        <w:t xml:space="preserve"> por lo que el plazo finalizó</w:t>
      </w:r>
      <w:r w:rsidR="00DE7440" w:rsidRPr="00E973D9">
        <w:rPr>
          <w:rFonts w:ascii="Museo Sans 300" w:eastAsia="Times New Roman" w:hAnsi="Museo Sans 300" w:cs="Segoe UI"/>
          <w:sz w:val="20"/>
          <w:szCs w:val="20"/>
          <w:lang w:val="es-ES" w:eastAsia="es-ES"/>
        </w:rPr>
        <w:t xml:space="preserve"> el día </w:t>
      </w:r>
      <w:r w:rsidR="004870BF" w:rsidRPr="00E973D9">
        <w:rPr>
          <w:rFonts w:ascii="Museo Sans 300" w:eastAsia="Times New Roman" w:hAnsi="Museo Sans 300" w:cs="Segoe UI"/>
          <w:sz w:val="20"/>
          <w:szCs w:val="20"/>
          <w:lang w:val="es-ES" w:eastAsia="es-ES"/>
        </w:rPr>
        <w:t>seis de dic</w:t>
      </w:r>
      <w:r w:rsidR="00DE7440" w:rsidRPr="00E973D9">
        <w:rPr>
          <w:rFonts w:ascii="Museo Sans 300" w:eastAsia="Times New Roman" w:hAnsi="Museo Sans 300" w:cs="Segoe UI"/>
          <w:sz w:val="20"/>
          <w:szCs w:val="20"/>
          <w:lang w:val="es-ES" w:eastAsia="es-ES"/>
        </w:rPr>
        <w:t xml:space="preserve">iembre de este </w:t>
      </w:r>
      <w:r w:rsidR="00915A89" w:rsidRPr="00E973D9">
        <w:rPr>
          <w:rFonts w:ascii="Museo Sans 300" w:eastAsia="Times New Roman" w:hAnsi="Museo Sans 300" w:cs="Segoe UI"/>
          <w:sz w:val="20"/>
          <w:szCs w:val="20"/>
          <w:lang w:val="es-ES" w:eastAsia="es-ES"/>
        </w:rPr>
        <w:t>año.</w:t>
      </w:r>
    </w:p>
    <w:p w14:paraId="60CB63F4" w14:textId="77777777" w:rsidR="008F15A2" w:rsidRDefault="008F15A2" w:rsidP="007160D7">
      <w:pPr>
        <w:pStyle w:val="Prrafodelista"/>
        <w:tabs>
          <w:tab w:val="left" w:pos="426"/>
        </w:tabs>
        <w:ind w:left="426"/>
        <w:jc w:val="both"/>
        <w:rPr>
          <w:rFonts w:ascii="Museo Sans 300" w:hAnsi="Museo Sans 300"/>
          <w:sz w:val="20"/>
          <w:szCs w:val="20"/>
        </w:rPr>
      </w:pPr>
    </w:p>
    <w:p w14:paraId="36BD514B" w14:textId="5590F670" w:rsidR="00AA3FEF"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lastRenderedPageBreak/>
        <w:t xml:space="preserve">El </w:t>
      </w:r>
      <w:r w:rsidR="00894877" w:rsidRPr="007160D7">
        <w:rPr>
          <w:rFonts w:ascii="Museo Sans 300" w:hAnsi="Museo Sans 300"/>
          <w:sz w:val="20"/>
          <w:szCs w:val="20"/>
          <w:lang w:val="es-SV"/>
        </w:rPr>
        <w:t xml:space="preserve">día </w:t>
      </w:r>
      <w:r w:rsidR="00414D41">
        <w:rPr>
          <w:rFonts w:ascii="Museo Sans 300" w:hAnsi="Museo Sans 300"/>
          <w:sz w:val="20"/>
          <w:szCs w:val="20"/>
          <w:lang w:val="es-SV"/>
        </w:rPr>
        <w:t>c</w:t>
      </w:r>
      <w:r w:rsidR="00E973D9">
        <w:rPr>
          <w:rFonts w:ascii="Museo Sans 300" w:hAnsi="Museo Sans 300"/>
          <w:sz w:val="20"/>
          <w:szCs w:val="20"/>
          <w:lang w:val="es-SV"/>
        </w:rPr>
        <w:t>inco de dic</w:t>
      </w:r>
      <w:r w:rsidR="00414D41">
        <w:rPr>
          <w:rFonts w:ascii="Museo Sans 300" w:hAnsi="Museo Sans 300"/>
          <w:sz w:val="20"/>
          <w:szCs w:val="20"/>
          <w:lang w:val="es-SV"/>
        </w:rPr>
        <w:t>iembre</w:t>
      </w:r>
      <w:r w:rsidR="007160D7" w:rsidRPr="007160D7">
        <w:rPr>
          <w:rFonts w:ascii="Museo Sans 300" w:hAnsi="Museo Sans 300"/>
          <w:sz w:val="20"/>
          <w:szCs w:val="20"/>
          <w:lang w:val="es-SV"/>
        </w:rPr>
        <w:t xml:space="preserve"> </w:t>
      </w:r>
      <w:r w:rsidRPr="007160D7">
        <w:rPr>
          <w:rFonts w:ascii="Museo Sans 300" w:hAnsi="Museo Sans 300"/>
          <w:sz w:val="20"/>
          <w:szCs w:val="20"/>
          <w:lang w:val="es-SV"/>
        </w:rPr>
        <w:t xml:space="preserve">del presente año, la sociedad AES CLESA y Cía., S. en C. de C.V. presentó un escrito en el cual manifestó que </w:t>
      </w:r>
      <w:r w:rsidR="00C70367" w:rsidRPr="007160D7">
        <w:rPr>
          <w:rFonts w:ascii="Museo Sans 300" w:hAnsi="Museo Sans 300"/>
          <w:sz w:val="20"/>
          <w:szCs w:val="20"/>
          <w:lang w:val="es-SV"/>
        </w:rPr>
        <w:t xml:space="preserve">no realizaría el ajuste indicado en </w:t>
      </w:r>
      <w:r w:rsidRPr="007160D7">
        <w:rPr>
          <w:rFonts w:ascii="Museo Sans 300" w:hAnsi="Museo Sans 300"/>
          <w:sz w:val="20"/>
          <w:szCs w:val="20"/>
          <w:lang w:val="es-SV"/>
        </w:rPr>
        <w:t xml:space="preserve">el informe técnico </w:t>
      </w:r>
      <w:proofErr w:type="spellStart"/>
      <w:r w:rsidRPr="007160D7">
        <w:rPr>
          <w:rFonts w:ascii="Museo Sans 300" w:hAnsi="Museo Sans 300"/>
          <w:sz w:val="20"/>
          <w:szCs w:val="20"/>
          <w:lang w:val="es-SV"/>
        </w:rPr>
        <w:t>N.°</w:t>
      </w:r>
      <w:proofErr w:type="spellEnd"/>
      <w:r w:rsidRPr="007160D7">
        <w:rPr>
          <w:rFonts w:ascii="Museo Sans 300" w:hAnsi="Museo Sans 300"/>
          <w:sz w:val="20"/>
          <w:szCs w:val="20"/>
          <w:lang w:val="es-SV"/>
        </w:rPr>
        <w:t xml:space="preserve"> </w:t>
      </w:r>
      <w:r w:rsidR="00B169FF">
        <w:rPr>
          <w:rFonts w:ascii="Museo Sans 300" w:hAnsi="Museo Sans 300"/>
          <w:sz w:val="20"/>
          <w:szCs w:val="20"/>
          <w:lang w:val="es-SV"/>
        </w:rPr>
        <w:t>XXX</w:t>
      </w:r>
      <w:r w:rsidR="008F15A2" w:rsidRPr="007160D7">
        <w:rPr>
          <w:rFonts w:ascii="Museo Sans 300" w:hAnsi="Museo Sans 300"/>
          <w:sz w:val="20"/>
          <w:szCs w:val="20"/>
          <w:lang w:val="es-SV"/>
        </w:rPr>
        <w:t xml:space="preserve"> </w:t>
      </w:r>
      <w:r w:rsidR="008F15A2">
        <w:rPr>
          <w:rFonts w:ascii="Museo Sans 300" w:hAnsi="Museo Sans 300"/>
          <w:sz w:val="20"/>
          <w:szCs w:val="20"/>
          <w:lang w:val="es-SV"/>
        </w:rPr>
        <w:t>y</w:t>
      </w:r>
      <w:r w:rsidR="00E973D9">
        <w:rPr>
          <w:rFonts w:ascii="Museo Sans 300" w:hAnsi="Museo Sans 300"/>
          <w:sz w:val="20"/>
          <w:szCs w:val="20"/>
          <w:lang w:val="es-SV"/>
        </w:rPr>
        <w:t xml:space="preserve"> prop</w:t>
      </w:r>
      <w:r w:rsidR="008F15A2">
        <w:rPr>
          <w:rFonts w:ascii="Museo Sans 300" w:hAnsi="Museo Sans 300"/>
          <w:sz w:val="20"/>
          <w:szCs w:val="20"/>
          <w:lang w:val="es-SV"/>
        </w:rPr>
        <w:t>uso</w:t>
      </w:r>
      <w:r w:rsidR="00E973D9">
        <w:rPr>
          <w:rFonts w:ascii="Museo Sans 300" w:hAnsi="Museo Sans 300"/>
          <w:sz w:val="20"/>
          <w:szCs w:val="20"/>
          <w:lang w:val="es-SV"/>
        </w:rPr>
        <w:t xml:space="preserve"> efectuar un cobro de ENR por la cantidad de TRESCIENTOS CINCUENTA Y SIETE 72/100 </w:t>
      </w:r>
      <w:r w:rsidR="00E973D9" w:rsidRPr="007160D7">
        <w:rPr>
          <w:rFonts w:ascii="Museo Sans 300" w:hAnsi="Museo Sans 300"/>
          <w:sz w:val="20"/>
          <w:szCs w:val="20"/>
          <w:lang w:val="es-SV"/>
        </w:rPr>
        <w:t>DÓLARES</w:t>
      </w:r>
      <w:r w:rsidR="00E973D9">
        <w:rPr>
          <w:rFonts w:ascii="Museo Sans 300" w:hAnsi="Museo Sans 300"/>
          <w:sz w:val="20"/>
          <w:szCs w:val="20"/>
        </w:rPr>
        <w:t xml:space="preserve"> DE LOS ESTADOS UNIDOS DE AMÉRICA (USD 357.72) </w:t>
      </w:r>
      <w:r w:rsidR="00E973D9" w:rsidRPr="00AF5A34">
        <w:rPr>
          <w:rFonts w:ascii="Museo Sans 300" w:eastAsia="Calibri" w:hAnsi="Museo Sans 300" w:cs="Arial"/>
          <w:sz w:val="20"/>
          <w:szCs w:val="20"/>
          <w:lang w:val="es-SV" w:eastAsia="en-US"/>
        </w:rPr>
        <w:t>IVA incluido</w:t>
      </w:r>
      <w:r w:rsidR="00E973D9">
        <w:rPr>
          <w:rFonts w:ascii="Museo Sans 300" w:eastAsia="Calibri" w:hAnsi="Museo Sans 300" w:cs="Arial"/>
          <w:sz w:val="20"/>
          <w:szCs w:val="20"/>
          <w:lang w:val="es-SV" w:eastAsia="en-US"/>
        </w:rPr>
        <w:t xml:space="preserve">. </w:t>
      </w:r>
      <w:r w:rsidRPr="007160D7">
        <w:rPr>
          <w:rFonts w:ascii="Museo Sans 300" w:hAnsi="Museo Sans 300"/>
          <w:sz w:val="20"/>
          <w:szCs w:val="20"/>
          <w:lang w:val="es-SV"/>
        </w:rPr>
        <w:t xml:space="preserve">Por su parte, </w:t>
      </w:r>
      <w:r w:rsidR="00641BF3" w:rsidRPr="007160D7">
        <w:rPr>
          <w:rFonts w:ascii="Museo Sans 300" w:hAnsi="Museo Sans 300"/>
          <w:sz w:val="20"/>
          <w:szCs w:val="20"/>
          <w:lang w:val="es-SV"/>
        </w:rPr>
        <w:t>la</w:t>
      </w:r>
      <w:r w:rsidRPr="007160D7">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641BF3" w:rsidRPr="007160D7">
        <w:rPr>
          <w:rFonts w:ascii="Museo Sans 300" w:hAnsi="Museo Sans 300"/>
          <w:sz w:val="20"/>
          <w:szCs w:val="20"/>
          <w:lang w:val="es-SV"/>
        </w:rPr>
        <w:t>a</w:t>
      </w:r>
      <w:r w:rsidRPr="007160D7">
        <w:rPr>
          <w:rFonts w:ascii="Museo Sans 300" w:hAnsi="Museo Sans 300"/>
          <w:sz w:val="20"/>
          <w:szCs w:val="20"/>
          <w:lang w:val="es-SV"/>
        </w:rPr>
        <w:t xml:space="preserve"> no presentó documentación para ser analizada.</w:t>
      </w:r>
    </w:p>
    <w:p w14:paraId="3DBA5C0B" w14:textId="77777777" w:rsidR="00922113" w:rsidRPr="007160D7" w:rsidRDefault="00922113"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A7687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7777777"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6FFE32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169F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19714BF1"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169FF">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77DFC58" w14:textId="77777777" w:rsidR="00AA6CE3" w:rsidRDefault="00C34300" w:rsidP="00AA6CE3">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8706207"/>
      <w:r w:rsidR="00E973D9" w:rsidRPr="008E5D18">
        <w:rPr>
          <w:rFonts w:ascii="Museo 300" w:hAnsi="Museo 300"/>
          <w:sz w:val="16"/>
          <w:szCs w:val="16"/>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w:t>
      </w:r>
      <w:r w:rsidR="00E973D9">
        <w:rPr>
          <w:rFonts w:ascii="Museo 300" w:hAnsi="Museo 300"/>
          <w:sz w:val="16"/>
          <w:szCs w:val="16"/>
          <w:lang w:val="es-419"/>
        </w:rPr>
        <w:t xml:space="preserve"> </w:t>
      </w:r>
      <w:r w:rsidR="00DA766E">
        <w:rPr>
          <w:rFonts w:ascii="Museo 300" w:hAnsi="Museo 300"/>
          <w:sz w:val="16"/>
          <w:szCs w:val="16"/>
          <w:lang w:val="es-419"/>
        </w:rPr>
        <w:t>(…)</w:t>
      </w:r>
      <w:bookmarkEnd w:id="6"/>
    </w:p>
    <w:p w14:paraId="6ED35209" w14:textId="2D3BBAE7" w:rsidR="00AA6CE3" w:rsidRPr="005333F0" w:rsidRDefault="00AA6CE3" w:rsidP="00AA6CE3">
      <w:pPr>
        <w:tabs>
          <w:tab w:val="left" w:pos="993"/>
          <w:tab w:val="left" w:pos="9072"/>
        </w:tabs>
        <w:spacing w:line="240" w:lineRule="auto"/>
        <w:ind w:left="993" w:right="709"/>
        <w:jc w:val="both"/>
        <w:rPr>
          <w:rFonts w:ascii="Museo 300" w:hAnsi="Museo 300"/>
          <w:sz w:val="16"/>
          <w:szCs w:val="16"/>
          <w:lang w:val="es-419"/>
        </w:rPr>
      </w:pPr>
      <w:r w:rsidRPr="005333F0">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DC82805" w14:textId="4293F239" w:rsidR="00C34300" w:rsidRPr="00922113" w:rsidRDefault="00AA6CE3" w:rsidP="00AA6CE3">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5333F0">
        <w:rPr>
          <w:rFonts w:ascii="Museo 300" w:hAnsi="Museo 300"/>
          <w:sz w:val="16"/>
          <w:szCs w:val="16"/>
          <w:lang w:val="es-419"/>
        </w:rPr>
        <w:t>Dentro de ese contexto, fue posible establecer que la condición descrita por la sociedad AES CLESA, la cual provocaba una variación en el registro de la energía demandada por la usuaria</w:t>
      </w:r>
      <w:r w:rsidRPr="00884063">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3C9EF176" w14:textId="764A3959" w:rsidR="00101809" w:rsidRPr="007B65E0"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cuanto a la señora </w:t>
      </w:r>
      <w:r w:rsidR="00B169FF">
        <w:rPr>
          <w:rFonts w:ascii="Museo Sans 300" w:eastAsia="Times New Roman" w:hAnsi="Museo Sans 300" w:cs="Segoe UI"/>
          <w:sz w:val="20"/>
          <w:szCs w:val="20"/>
          <w:lang w:val="es-ES" w:eastAsia="es-ES"/>
        </w:rPr>
        <w:t>XXX</w:t>
      </w:r>
      <w:r w:rsidRPr="007B65E0">
        <w:rPr>
          <w:rFonts w:ascii="Museo Sans 300" w:eastAsia="Times New Roman" w:hAnsi="Museo Sans 300" w:cs="Segoe UI"/>
          <w:sz w:val="20"/>
          <w:szCs w:val="20"/>
          <w:lang w:val="es-ES" w:eastAsia="es-ES"/>
        </w:rPr>
        <w:t>, cabe aclarar que no presentó elementos probatorios que debieran ser analizados.</w:t>
      </w:r>
    </w:p>
    <w:p w14:paraId="3E4B0E3F" w14:textId="77777777" w:rsidR="00101809" w:rsidRPr="007B65E0"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501C9774"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B169FF">
        <w:rPr>
          <w:rFonts w:ascii="Museo Sans 300" w:eastAsia="Times New Roman" w:hAnsi="Museo Sans 300" w:cs="Segoe UI"/>
          <w:sz w:val="20"/>
          <w:szCs w:val="20"/>
          <w:lang w:val="es-ES" w:eastAsia="es-ES"/>
        </w:rPr>
        <w:t>XXX</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893C8D">
        <w:rPr>
          <w:rFonts w:ascii="Museo Sans 300" w:eastAsia="Times New Roman" w:hAnsi="Museo Sans 300" w:cs="Segoe UI"/>
          <w:sz w:val="20"/>
          <w:szCs w:val="20"/>
          <w:lang w:val="es-ES" w:eastAsia="es-ES"/>
        </w:rPr>
        <w:t>acometida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7"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226EF1C"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423DE6" w14:textId="4C39F333" w:rsidR="00893C8D" w:rsidRDefault="00D764AA" w:rsidP="00893C8D">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893C8D">
        <w:rPr>
          <w:rFonts w:ascii="Museo Sans 300" w:eastAsia="Arial" w:hAnsi="Museo Sans 300" w:cs="Times New Roman"/>
          <w:color w:val="000000"/>
          <w:sz w:val="20"/>
          <w:szCs w:val="20"/>
          <w:lang w:eastAsia="es-SV"/>
        </w:rPr>
        <w:t xml:space="preserve">en corriente instantánea, </w:t>
      </w:r>
      <w:r w:rsidR="00893C8D" w:rsidRPr="00D2368D">
        <w:rPr>
          <w:rFonts w:ascii="Museo Sans 300" w:hAnsi="Museo Sans 300" w:cs="Segoe UI"/>
          <w:sz w:val="20"/>
          <w:szCs w:val="20"/>
          <w:lang w:eastAsia="es-MX"/>
        </w:rPr>
        <w:t>debido a que:</w:t>
      </w:r>
    </w:p>
    <w:p w14:paraId="6633D540" w14:textId="77777777" w:rsidR="00AA6CE3" w:rsidRPr="00D2368D" w:rsidRDefault="00AA6CE3" w:rsidP="00893C8D">
      <w:pPr>
        <w:spacing w:after="0" w:line="240" w:lineRule="auto"/>
        <w:ind w:left="426"/>
        <w:jc w:val="both"/>
        <w:rPr>
          <w:rFonts w:ascii="Museo Sans 300" w:hAnsi="Museo Sans 300" w:cs="Segoe UI"/>
          <w:sz w:val="20"/>
          <w:szCs w:val="20"/>
          <w:lang w:eastAsia="es-MX"/>
        </w:rPr>
      </w:pPr>
    </w:p>
    <w:p w14:paraId="499A4012" w14:textId="1F6F4BE8" w:rsidR="00F42EF5" w:rsidRDefault="00F42EF5"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La corriente instantánea registrada por el personal de la distribuidora carece de fundamento técnico debido a que no estableció el criterio que utilizó para determinar que las cargas conectadas en la </w:t>
      </w:r>
      <w:r>
        <w:rPr>
          <w:rFonts w:ascii="Museo Sans 300" w:hAnsi="Museo Sans 300"/>
          <w:sz w:val="20"/>
          <w:szCs w:val="20"/>
          <w:shd w:val="clear" w:color="auto" w:fill="FFFFFF"/>
          <w:lang w:val="es-ES"/>
        </w:rPr>
        <w:t>acometid</w:t>
      </w:r>
      <w:r w:rsidRPr="008F15A2">
        <w:rPr>
          <w:rFonts w:ascii="Museo Sans 300" w:hAnsi="Museo Sans 300"/>
          <w:sz w:val="20"/>
          <w:szCs w:val="20"/>
          <w:shd w:val="clear" w:color="auto" w:fill="FFFFFF"/>
          <w:lang w:val="es-ES"/>
        </w:rPr>
        <w:t xml:space="preserve">a demandaban una corriente de </w:t>
      </w:r>
      <w:r>
        <w:rPr>
          <w:rFonts w:ascii="Museo Sans 300" w:hAnsi="Museo Sans 300" w:cs="Segoe UI"/>
          <w:sz w:val="20"/>
          <w:szCs w:val="20"/>
          <w:lang w:val="es-ES" w:eastAsia="es-MX"/>
        </w:rPr>
        <w:t>7.53 amperios</w:t>
      </w:r>
      <w:r w:rsidRPr="00D2368D">
        <w:rPr>
          <w:rFonts w:ascii="Museo Sans 300" w:hAnsi="Museo Sans 300" w:cs="Segoe UI"/>
          <w:sz w:val="20"/>
          <w:szCs w:val="20"/>
          <w:lang w:val="es-ES" w:eastAsia="es-MX"/>
        </w:rPr>
        <w:t xml:space="preserve"> </w:t>
      </w:r>
      <w:r w:rsidRPr="008F15A2">
        <w:rPr>
          <w:rFonts w:ascii="Museo Sans 300" w:hAnsi="Museo Sans 300"/>
          <w:sz w:val="20"/>
          <w:szCs w:val="20"/>
          <w:shd w:val="clear" w:color="auto" w:fill="FFFFFF"/>
          <w:lang w:val="es-ES"/>
        </w:rPr>
        <w:t>por 1</w:t>
      </w:r>
      <w:r w:rsidR="758DFB83" w:rsidRPr="008F15A2">
        <w:rPr>
          <w:rFonts w:ascii="Museo Sans 300" w:hAnsi="Museo Sans 300"/>
          <w:sz w:val="20"/>
          <w:szCs w:val="20"/>
          <w:shd w:val="clear" w:color="auto" w:fill="FFFFFF"/>
          <w:lang w:val="es-ES"/>
        </w:rPr>
        <w:t>6</w:t>
      </w:r>
      <w:r w:rsidRPr="008F15A2">
        <w:rPr>
          <w:rFonts w:ascii="Museo Sans 300" w:hAnsi="Museo Sans 300"/>
          <w:sz w:val="20"/>
          <w:szCs w:val="20"/>
          <w:shd w:val="clear" w:color="auto" w:fill="FFFFFF"/>
          <w:lang w:val="es-ES"/>
        </w:rPr>
        <w:t xml:space="preserve"> horas diarias.</w:t>
      </w:r>
      <w:r w:rsidRPr="008F15A2">
        <w:rPr>
          <w:rFonts w:ascii="Museo Sans 300" w:hAnsi="Museo Sans 300"/>
          <w:sz w:val="20"/>
          <w:szCs w:val="20"/>
          <w:shd w:val="clear" w:color="auto" w:fill="FFFFFF"/>
        </w:rPr>
        <w:t> </w:t>
      </w:r>
    </w:p>
    <w:p w14:paraId="3D98DA51" w14:textId="77777777" w:rsidR="00F42EF5" w:rsidRDefault="00F42EF5" w:rsidP="00F42EF5">
      <w:pPr>
        <w:tabs>
          <w:tab w:val="num" w:pos="851"/>
        </w:tabs>
        <w:autoSpaceDE w:val="0"/>
        <w:spacing w:after="0" w:line="240" w:lineRule="auto"/>
        <w:ind w:left="851"/>
        <w:jc w:val="both"/>
        <w:rPr>
          <w:rFonts w:ascii="Museo Sans 300" w:hAnsi="Museo Sans 300"/>
          <w:sz w:val="20"/>
          <w:szCs w:val="20"/>
          <w:shd w:val="clear" w:color="auto" w:fill="FFFFFF"/>
        </w:rPr>
      </w:pPr>
    </w:p>
    <w:p w14:paraId="2BFC1EDB" w14:textId="77777777" w:rsidR="00F42EF5" w:rsidRPr="00F42EF5" w:rsidRDefault="00F42EF5"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sidRPr="00F42EF5">
        <w:rPr>
          <w:rFonts w:ascii="Museo Sans 300" w:hAnsi="Museo Sans 300" w:cs="Segoe UI"/>
          <w:sz w:val="20"/>
          <w:szCs w:val="20"/>
          <w:lang w:val="es-ES" w:eastAsia="es-MX"/>
        </w:rPr>
        <w:t xml:space="preserve">El cálculo no considera las diferencias entre la operación nominal y arranque de los equipos de tipo inductivo, </w:t>
      </w:r>
      <w:r>
        <w:rPr>
          <w:rFonts w:ascii="Museo Sans 300" w:hAnsi="Museo Sans 300" w:cs="Segoe UI"/>
          <w:sz w:val="20"/>
          <w:szCs w:val="20"/>
          <w:lang w:val="es-ES" w:eastAsia="es-MX"/>
        </w:rPr>
        <w:t>ni detalla</w:t>
      </w:r>
      <w:r w:rsidRPr="00F42EF5">
        <w:rPr>
          <w:rFonts w:ascii="Museo Sans 300" w:hAnsi="Museo Sans 300" w:cs="Segoe UI"/>
          <w:sz w:val="20"/>
          <w:szCs w:val="20"/>
          <w:lang w:val="es-ES" w:eastAsia="es-MX"/>
        </w:rPr>
        <w:t xml:space="preserve"> la tensión promedio suministrada, en ese orden, se estableció que el valor calculado no representa la energía consumida que no fue registrada.  </w:t>
      </w:r>
    </w:p>
    <w:p w14:paraId="023891B4" w14:textId="77777777" w:rsidR="00F42EF5" w:rsidRDefault="00F42EF5" w:rsidP="00F42EF5">
      <w:pPr>
        <w:pStyle w:val="Prrafodelista"/>
        <w:tabs>
          <w:tab w:val="num" w:pos="851"/>
        </w:tabs>
        <w:ind w:left="851"/>
        <w:rPr>
          <w:rFonts w:ascii="Museo Sans 300" w:hAnsi="Museo Sans 300" w:cs="Segoe UI"/>
          <w:sz w:val="20"/>
          <w:szCs w:val="20"/>
          <w:lang w:eastAsia="es-MX"/>
        </w:rPr>
      </w:pPr>
    </w:p>
    <w:p w14:paraId="4F3A4735" w14:textId="77777777" w:rsidR="00F42EF5" w:rsidRPr="00F42EF5" w:rsidRDefault="00F42EF5"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sidRPr="00F42EF5">
        <w:rPr>
          <w:rFonts w:ascii="Museo Sans 300" w:hAnsi="Museo Sans 300" w:cs="Segoe UI"/>
          <w:sz w:val="20"/>
          <w:szCs w:val="20"/>
          <w:lang w:val="es-ES" w:eastAsia="es-MX"/>
        </w:rPr>
        <w:t>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w:t>
      </w:r>
    </w:p>
    <w:p w14:paraId="65387FB1" w14:textId="3F49B8B7" w:rsidR="00B13147" w:rsidRPr="00F42EF5" w:rsidRDefault="00F42EF5" w:rsidP="00F42EF5">
      <w:pPr>
        <w:autoSpaceDE w:val="0"/>
        <w:spacing w:after="0" w:line="240" w:lineRule="auto"/>
        <w:ind w:left="492"/>
        <w:jc w:val="both"/>
        <w:rPr>
          <w:rFonts w:ascii="Museo Sans 300" w:hAnsi="Museo Sans 300" w:cs="Segoe UI"/>
          <w:sz w:val="20"/>
          <w:szCs w:val="20"/>
          <w:lang w:eastAsia="es-MX"/>
        </w:rPr>
      </w:pPr>
      <w:r w:rsidRPr="008F15A2">
        <w:rPr>
          <w:rFonts w:ascii="Museo Sans 300" w:hAnsi="Museo Sans 300"/>
          <w:sz w:val="20"/>
          <w:szCs w:val="20"/>
          <w:shd w:val="clear" w:color="auto" w:fill="FFFFFF"/>
        </w:rPr>
        <w:t> </w:t>
      </w: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782E3F80" w14:textId="3CB7B54A" w:rsidR="009464AB" w:rsidRDefault="009464AB">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B13147">
        <w:rPr>
          <w:rFonts w:ascii="Museo Sans 300" w:hAnsi="Museo Sans 300"/>
          <w:color w:val="000000"/>
          <w:sz w:val="20"/>
          <w:szCs w:val="20"/>
          <w:shd w:val="clear" w:color="auto" w:fill="FFFFFF"/>
        </w:rPr>
        <w:t>539</w:t>
      </w:r>
      <w:r w:rsidRPr="008829EC">
        <w:rPr>
          <w:rFonts w:ascii="Museo Sans 300" w:hAnsi="Museo Sans 300"/>
          <w:color w:val="000000"/>
          <w:sz w:val="20"/>
          <w:szCs w:val="20"/>
          <w:shd w:val="clear" w:color="auto" w:fill="FFFFFF"/>
        </w:rPr>
        <w:t xml:space="preserve"> kWh.</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112FDC0F" w14:textId="48CFFCD2"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B13147" w:rsidRPr="008F15A2">
        <w:rPr>
          <w:rFonts w:ascii="Museo Sans 300" w:eastAsia="Times New Roman" w:hAnsi="Museo Sans 300" w:cs="Times New Roman"/>
          <w:sz w:val="20"/>
          <w:szCs w:val="20"/>
          <w:lang w:val="es-ES"/>
        </w:rPr>
        <w:t>dieciséis de enero</w:t>
      </w:r>
      <w:r w:rsidR="00353E73" w:rsidRPr="008F15A2">
        <w:rPr>
          <w:rFonts w:ascii="Museo Sans 300" w:eastAsia="Times New Roman" w:hAnsi="Museo Sans 300" w:cs="Times New Roman"/>
          <w:sz w:val="20"/>
          <w:szCs w:val="20"/>
          <w:lang w:val="es-ES"/>
        </w:rPr>
        <w:t xml:space="preserve"> al </w:t>
      </w:r>
      <w:r w:rsidR="00B13147" w:rsidRPr="008F15A2">
        <w:rPr>
          <w:rFonts w:ascii="Museo Sans 300" w:eastAsia="Times New Roman" w:hAnsi="Museo Sans 300" w:cs="Times New Roman"/>
          <w:sz w:val="20"/>
          <w:szCs w:val="20"/>
          <w:lang w:val="es-ES"/>
        </w:rPr>
        <w:t>nueve de juli</w:t>
      </w:r>
      <w:r w:rsidR="00A71179" w:rsidRPr="008F15A2">
        <w:rPr>
          <w:rFonts w:ascii="Museo Sans 300" w:eastAsia="Times New Roman" w:hAnsi="Museo Sans 300" w:cs="Times New Roman"/>
          <w:sz w:val="20"/>
          <w:szCs w:val="20"/>
          <w:lang w:val="es-ES"/>
        </w:rPr>
        <w:t>o</w:t>
      </w:r>
      <w:r w:rsidR="00D764AA" w:rsidRPr="008F15A2">
        <w:rPr>
          <w:rFonts w:ascii="Museo Sans 300" w:eastAsia="Times New Roman" w:hAnsi="Museo Sans 300" w:cs="Times New Roman"/>
          <w:sz w:val="20"/>
          <w:szCs w:val="20"/>
          <w:lang w:val="es-ES"/>
        </w:rPr>
        <w:t xml:space="preserve"> del presente año.</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4B70CEE0" w:rsidR="00BC227B" w:rsidRPr="00712912"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8F15A2" w:rsidRPr="00712912">
        <w:rPr>
          <w:rFonts w:ascii="Museo Sans 300" w:eastAsia="Arial" w:hAnsi="Museo Sans 300" w:cs="Times New Roman"/>
          <w:color w:val="000000"/>
          <w:sz w:val="20"/>
          <w:szCs w:val="20"/>
          <w:lang w:eastAsia="es-SV"/>
        </w:rPr>
        <w:t>DOSCIENTOS OCHENTA Y UNO 31/100 DÓLARES DE LOS ESTADOS UNIDOS DE AMÉRICA (USD 281.31)</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37116D1C" w14:textId="77777777" w:rsidR="009464AB" w:rsidRDefault="009464AB" w:rsidP="00BC227B">
      <w:pPr>
        <w:suppressAutoHyphens w:val="0"/>
        <w:autoSpaceDN/>
        <w:spacing w:after="0" w:line="240" w:lineRule="auto"/>
        <w:ind w:left="420"/>
        <w:jc w:val="both"/>
        <w:rPr>
          <w:rFonts w:ascii="Museo Sans 300" w:eastAsia="Times New Roman" w:hAnsi="Museo Sans 300" w:cs="Segoe UI"/>
          <w:sz w:val="20"/>
          <w:szCs w:val="20"/>
        </w:rPr>
      </w:pPr>
    </w:p>
    <w:p w14:paraId="316631D6" w14:textId="1F1A7FEB" w:rsidR="00641BF3" w:rsidRPr="00532409" w:rsidRDefault="00641BF3" w:rsidP="00641BF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p>
    <w:p w14:paraId="38929990" w14:textId="77777777" w:rsidR="00641BF3" w:rsidRDefault="00641BF3" w:rsidP="00641BF3">
      <w:pPr>
        <w:autoSpaceDE w:val="0"/>
        <w:adjustRightInd w:val="0"/>
        <w:spacing w:after="0" w:line="240" w:lineRule="auto"/>
        <w:jc w:val="both"/>
        <w:rPr>
          <w:rFonts w:ascii="Museo Sans 500" w:hAnsi="Museo Sans 500"/>
          <w:b/>
          <w:bCs/>
          <w:sz w:val="20"/>
          <w:szCs w:val="20"/>
        </w:rPr>
      </w:pPr>
    </w:p>
    <w:p w14:paraId="75678872" w14:textId="1D56276D" w:rsidR="00641BF3" w:rsidRDefault="00641BF3" w:rsidP="00145DDC">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5C03A4">
        <w:rPr>
          <w:rFonts w:ascii="Museo Sans 300" w:eastAsia="Calibri" w:hAnsi="Museo Sans 300" w:cs="Arial"/>
          <w:sz w:val="20"/>
          <w:szCs w:val="20"/>
          <w:lang w:val="es-SV" w:eastAsia="en-US"/>
        </w:rPr>
        <w:t>c</w:t>
      </w:r>
      <w:r w:rsidR="00F42EF5">
        <w:rPr>
          <w:rFonts w:ascii="Museo Sans 300" w:eastAsia="Calibri" w:hAnsi="Museo Sans 300" w:cs="Arial"/>
          <w:sz w:val="20"/>
          <w:szCs w:val="20"/>
          <w:lang w:val="es-SV" w:eastAsia="en-US"/>
        </w:rPr>
        <w:t>inco de dic</w:t>
      </w:r>
      <w:r w:rsidR="005C03A4">
        <w:rPr>
          <w:rFonts w:ascii="Museo Sans 300" w:eastAsia="Calibri" w:hAnsi="Museo Sans 300" w:cs="Arial"/>
          <w:sz w:val="20"/>
          <w:szCs w:val="20"/>
          <w:lang w:val="es-SV" w:eastAsia="en-US"/>
        </w:rPr>
        <w:t>iem</w:t>
      </w:r>
      <w:r w:rsidR="004A41B3">
        <w:rPr>
          <w:rFonts w:ascii="Museo Sans 300" w:eastAsia="Calibri" w:hAnsi="Museo Sans 300" w:cs="Arial"/>
          <w:sz w:val="20"/>
          <w:szCs w:val="20"/>
          <w:lang w:val="es-SV" w:eastAsia="en-US"/>
        </w:rPr>
        <w:t>bre</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el monto en concepto de energía no registrada establecido en el informe técnico </w:t>
      </w:r>
      <w:proofErr w:type="spellStart"/>
      <w:r w:rsidRPr="00CE062E">
        <w:rPr>
          <w:rFonts w:ascii="Museo Sans 300" w:eastAsia="Calibri" w:hAnsi="Museo Sans 300" w:cs="Arial"/>
          <w:sz w:val="20"/>
          <w:szCs w:val="20"/>
          <w:lang w:val="es-SV" w:eastAsia="en-US"/>
        </w:rPr>
        <w:t>N.°</w:t>
      </w:r>
      <w:proofErr w:type="spellEnd"/>
      <w:r w:rsidRPr="00CE062E">
        <w:rPr>
          <w:rFonts w:ascii="Museo Sans 300" w:eastAsia="Calibri" w:hAnsi="Museo Sans 300" w:cs="Arial"/>
          <w:sz w:val="20"/>
          <w:szCs w:val="20"/>
          <w:lang w:val="es-SV" w:eastAsia="en-US"/>
        </w:rPr>
        <w:t xml:space="preserve"> </w:t>
      </w:r>
      <w:r w:rsidR="00B169FF">
        <w:rPr>
          <w:rFonts w:ascii="Museo Sans 300" w:hAnsi="Museo Sans 300"/>
          <w:sz w:val="20"/>
          <w:szCs w:val="20"/>
        </w:rPr>
        <w:t>XXX</w:t>
      </w:r>
      <w:r w:rsidR="00ED066B">
        <w:rPr>
          <w:rFonts w:ascii="Museo Sans 300" w:eastAsia="Calibri" w:hAnsi="Museo Sans 300" w:cs="Arial"/>
          <w:sz w:val="20"/>
          <w:szCs w:val="20"/>
          <w:lang w:val="es-SV" w:eastAsia="en-US"/>
        </w:rPr>
        <w:t xml:space="preserve">, </w:t>
      </w:r>
      <w:r w:rsidR="008F15A2">
        <w:rPr>
          <w:rFonts w:ascii="Museo Sans 300" w:eastAsia="Calibri" w:hAnsi="Museo Sans 300" w:cs="Arial"/>
          <w:sz w:val="20"/>
          <w:szCs w:val="20"/>
          <w:lang w:val="es-SV" w:eastAsia="en-US"/>
        </w:rPr>
        <w:t xml:space="preserve">y </w:t>
      </w:r>
      <w:r w:rsidR="008F15A2">
        <w:rPr>
          <w:rFonts w:ascii="Museo Sans 300" w:hAnsi="Museo Sans 300"/>
          <w:sz w:val="20"/>
          <w:szCs w:val="20"/>
          <w:lang w:val="es-SV"/>
        </w:rPr>
        <w:t xml:space="preserve">propuso efectuar un cobro de ENR por la cantidad de TRESCIENTOS CINCUENTA Y SIETE 72/100 </w:t>
      </w:r>
      <w:r w:rsidR="008F15A2" w:rsidRPr="007160D7">
        <w:rPr>
          <w:rFonts w:ascii="Museo Sans 300" w:hAnsi="Museo Sans 300"/>
          <w:sz w:val="20"/>
          <w:szCs w:val="20"/>
          <w:lang w:val="es-SV"/>
        </w:rPr>
        <w:t>DÓLARES</w:t>
      </w:r>
      <w:r w:rsidR="008F15A2">
        <w:rPr>
          <w:rFonts w:ascii="Museo Sans 300" w:hAnsi="Museo Sans 300"/>
          <w:sz w:val="20"/>
          <w:szCs w:val="20"/>
        </w:rPr>
        <w:t xml:space="preserve"> DE LOS ESTADOS UNIDOS DE AMÉRICA (USD 357.72) </w:t>
      </w:r>
      <w:r w:rsidR="008F15A2" w:rsidRPr="00AF5A34">
        <w:rPr>
          <w:rFonts w:ascii="Museo Sans 300" w:eastAsia="Calibri" w:hAnsi="Museo Sans 300" w:cs="Arial"/>
          <w:sz w:val="20"/>
          <w:szCs w:val="20"/>
          <w:lang w:val="es-SV" w:eastAsia="en-US"/>
        </w:rPr>
        <w:t>IVA incluido</w:t>
      </w:r>
      <w:r w:rsidR="00394B23" w:rsidRPr="007160D7">
        <w:rPr>
          <w:rFonts w:ascii="Museo Sans 300" w:hAnsi="Museo Sans 300"/>
          <w:sz w:val="20"/>
          <w:szCs w:val="20"/>
          <w:lang w:val="es-SV"/>
        </w:rPr>
        <w:t>.</w:t>
      </w:r>
    </w:p>
    <w:p w14:paraId="58C0868A" w14:textId="77777777" w:rsidR="00145DDC" w:rsidRDefault="00145DDC" w:rsidP="00803832">
      <w:pPr>
        <w:pStyle w:val="Prrafodelista"/>
        <w:tabs>
          <w:tab w:val="left" w:pos="426"/>
        </w:tabs>
        <w:ind w:left="426"/>
        <w:jc w:val="both"/>
        <w:rPr>
          <w:rFonts w:ascii="Museo Sans 300" w:hAnsi="Museo Sans 300"/>
          <w:sz w:val="20"/>
          <w:szCs w:val="20"/>
        </w:rPr>
      </w:pPr>
    </w:p>
    <w:p w14:paraId="55840221" w14:textId="031EEF06" w:rsidR="008F15A2" w:rsidRPr="008F15A2" w:rsidRDefault="00F42EF5" w:rsidP="00F42EF5">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Al respecto, debe señalarse que e</w:t>
      </w:r>
      <w:r w:rsidR="008F15A2" w:rsidRPr="008F15A2">
        <w:rPr>
          <w:rFonts w:ascii="Museo Sans 300" w:hAnsi="Museo Sans 300"/>
          <w:sz w:val="20"/>
          <w:szCs w:val="20"/>
          <w:shd w:val="clear" w:color="auto" w:fill="FFFFFF"/>
        </w:rPr>
        <w:t>l CAU de forma posterior al análisis de la información recopilada en el transcurso de procedimiento, concluyó</w:t>
      </w:r>
      <w:r>
        <w:rPr>
          <w:rFonts w:ascii="Museo Sans 300" w:hAnsi="Museo Sans 300"/>
          <w:sz w:val="20"/>
          <w:szCs w:val="20"/>
          <w:shd w:val="clear" w:color="auto" w:fill="FFFFFF"/>
        </w:rPr>
        <w:t xml:space="preserve"> en </w:t>
      </w:r>
      <w:r w:rsidRPr="007B65E0">
        <w:rPr>
          <w:rFonts w:ascii="Museo Sans 300" w:eastAsia="Times New Roman" w:hAnsi="Museo Sans 300" w:cs="Segoe UI"/>
          <w:sz w:val="20"/>
          <w:szCs w:val="20"/>
          <w:lang w:val="es-ES" w:eastAsia="es-ES"/>
        </w:rPr>
        <w:t xml:space="preserve">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B169FF">
        <w:rPr>
          <w:rFonts w:ascii="Museo Sans 300" w:eastAsia="Times New Roman" w:hAnsi="Museo Sans 300" w:cs="Segoe UI"/>
          <w:sz w:val="20"/>
          <w:szCs w:val="20"/>
          <w:lang w:val="es-ES" w:eastAsia="es-ES"/>
        </w:rPr>
        <w:t>XXX</w:t>
      </w:r>
      <w:r>
        <w:rPr>
          <w:rFonts w:ascii="Museo Sans 300" w:eastAsia="Times New Roman" w:hAnsi="Museo Sans 300" w:cs="Segoe UI"/>
          <w:sz w:val="20"/>
          <w:szCs w:val="20"/>
          <w:lang w:val="es-ES" w:eastAsia="es-ES"/>
        </w:rPr>
        <w:t>,</w:t>
      </w:r>
      <w:r w:rsidR="008F15A2" w:rsidRPr="008F15A2">
        <w:rPr>
          <w:rFonts w:ascii="Museo Sans 300" w:hAnsi="Museo Sans 300"/>
          <w:sz w:val="20"/>
          <w:szCs w:val="20"/>
          <w:shd w:val="clear" w:color="auto" w:fill="FFFFFF"/>
        </w:rPr>
        <w:t xml:space="preserve"> lo siguiente: </w:t>
      </w:r>
    </w:p>
    <w:p w14:paraId="44528F32" w14:textId="77777777"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p>
    <w:p w14:paraId="1AABA808" w14:textId="266F0590" w:rsidR="00F42EF5" w:rsidRDefault="008F15A2" w:rsidP="00F42EF5">
      <w:pPr>
        <w:numPr>
          <w:ilvl w:val="0"/>
          <w:numId w:val="17"/>
        </w:numPr>
        <w:tabs>
          <w:tab w:val="clear" w:pos="720"/>
          <w:tab w:val="num" w:pos="786"/>
        </w:tabs>
        <w:autoSpaceDE w:val="0"/>
        <w:spacing w:after="0" w:line="240" w:lineRule="auto"/>
        <w:ind w:left="78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La corriente instantánea registrada por el personal de la distribuidora carece de fundamento técnico debido a que no estableció el criterio que utilizó para determinar que las cargas conectadas en la </w:t>
      </w:r>
      <w:r w:rsidR="00F42EF5">
        <w:rPr>
          <w:rFonts w:ascii="Museo Sans 300" w:hAnsi="Museo Sans 300"/>
          <w:sz w:val="20"/>
          <w:szCs w:val="20"/>
          <w:shd w:val="clear" w:color="auto" w:fill="FFFFFF"/>
          <w:lang w:val="es-ES"/>
        </w:rPr>
        <w:t>acometid</w:t>
      </w:r>
      <w:r w:rsidRPr="008F15A2">
        <w:rPr>
          <w:rFonts w:ascii="Museo Sans 300" w:hAnsi="Museo Sans 300"/>
          <w:sz w:val="20"/>
          <w:szCs w:val="20"/>
          <w:shd w:val="clear" w:color="auto" w:fill="FFFFFF"/>
          <w:lang w:val="es-ES"/>
        </w:rPr>
        <w:t xml:space="preserve">a demandaban una corriente de </w:t>
      </w:r>
      <w:r w:rsidR="00F42EF5">
        <w:rPr>
          <w:rFonts w:ascii="Museo Sans 300" w:hAnsi="Museo Sans 300" w:cs="Segoe UI"/>
          <w:sz w:val="20"/>
          <w:szCs w:val="20"/>
          <w:lang w:val="es-ES" w:eastAsia="es-MX"/>
        </w:rPr>
        <w:t>7.53 amperios</w:t>
      </w:r>
      <w:r w:rsidR="00F42EF5" w:rsidRPr="00D2368D">
        <w:rPr>
          <w:rFonts w:ascii="Museo Sans 300" w:hAnsi="Museo Sans 300" w:cs="Segoe UI"/>
          <w:sz w:val="20"/>
          <w:szCs w:val="20"/>
          <w:lang w:val="es-ES" w:eastAsia="es-MX"/>
        </w:rPr>
        <w:t xml:space="preserve"> </w:t>
      </w:r>
      <w:r w:rsidRPr="008F15A2">
        <w:rPr>
          <w:rFonts w:ascii="Museo Sans 300" w:hAnsi="Museo Sans 300"/>
          <w:sz w:val="20"/>
          <w:szCs w:val="20"/>
          <w:shd w:val="clear" w:color="auto" w:fill="FFFFFF"/>
          <w:lang w:val="es-ES"/>
        </w:rPr>
        <w:t>por 1</w:t>
      </w:r>
      <w:r w:rsidR="51F2EAA7" w:rsidRPr="008F15A2">
        <w:rPr>
          <w:rFonts w:ascii="Museo Sans 300" w:hAnsi="Museo Sans 300"/>
          <w:sz w:val="20"/>
          <w:szCs w:val="20"/>
          <w:shd w:val="clear" w:color="auto" w:fill="FFFFFF"/>
          <w:lang w:val="es-ES"/>
        </w:rPr>
        <w:t>6</w:t>
      </w:r>
      <w:r w:rsidRPr="008F15A2">
        <w:rPr>
          <w:rFonts w:ascii="Museo Sans 300" w:hAnsi="Museo Sans 300"/>
          <w:sz w:val="20"/>
          <w:szCs w:val="20"/>
          <w:shd w:val="clear" w:color="auto" w:fill="FFFFFF"/>
          <w:lang w:val="es-ES"/>
        </w:rPr>
        <w:t xml:space="preserve"> horas diarias.</w:t>
      </w:r>
      <w:r w:rsidRPr="008F15A2">
        <w:rPr>
          <w:rFonts w:ascii="Museo Sans 300" w:hAnsi="Museo Sans 300"/>
          <w:sz w:val="20"/>
          <w:szCs w:val="20"/>
          <w:shd w:val="clear" w:color="auto" w:fill="FFFFFF"/>
        </w:rPr>
        <w:t> </w:t>
      </w:r>
    </w:p>
    <w:p w14:paraId="0309B80E" w14:textId="77777777" w:rsidR="00F42EF5" w:rsidRDefault="00F42EF5" w:rsidP="00F42EF5">
      <w:pPr>
        <w:autoSpaceDE w:val="0"/>
        <w:spacing w:after="0" w:line="240" w:lineRule="auto"/>
        <w:ind w:left="786"/>
        <w:jc w:val="both"/>
        <w:rPr>
          <w:rFonts w:ascii="Museo Sans 300" w:hAnsi="Museo Sans 300"/>
          <w:sz w:val="20"/>
          <w:szCs w:val="20"/>
          <w:shd w:val="clear" w:color="auto" w:fill="FFFFFF"/>
        </w:rPr>
      </w:pPr>
    </w:p>
    <w:p w14:paraId="52A3B0AD" w14:textId="6E2371E3" w:rsidR="00F42EF5" w:rsidRPr="00F42EF5" w:rsidRDefault="00F42EF5" w:rsidP="00F42EF5">
      <w:pPr>
        <w:numPr>
          <w:ilvl w:val="0"/>
          <w:numId w:val="17"/>
        </w:numPr>
        <w:tabs>
          <w:tab w:val="clear" w:pos="720"/>
          <w:tab w:val="num" w:pos="786"/>
        </w:tabs>
        <w:autoSpaceDE w:val="0"/>
        <w:spacing w:after="0" w:line="240" w:lineRule="auto"/>
        <w:ind w:left="786"/>
        <w:jc w:val="both"/>
        <w:rPr>
          <w:rFonts w:ascii="Museo Sans 300" w:hAnsi="Museo Sans 300"/>
          <w:sz w:val="20"/>
          <w:szCs w:val="20"/>
          <w:shd w:val="clear" w:color="auto" w:fill="FFFFFF"/>
        </w:rPr>
      </w:pPr>
      <w:r w:rsidRPr="00F42EF5">
        <w:rPr>
          <w:rFonts w:ascii="Museo Sans 300" w:hAnsi="Museo Sans 300" w:cs="Segoe UI"/>
          <w:sz w:val="20"/>
          <w:szCs w:val="20"/>
          <w:lang w:val="es-ES" w:eastAsia="es-MX"/>
        </w:rPr>
        <w:t xml:space="preserve">El cálculo no considera las diferencias entre la operación nominal y arranque de los equipos de tipo inductivo, </w:t>
      </w:r>
      <w:r>
        <w:rPr>
          <w:rFonts w:ascii="Museo Sans 300" w:hAnsi="Museo Sans 300" w:cs="Segoe UI"/>
          <w:sz w:val="20"/>
          <w:szCs w:val="20"/>
          <w:lang w:val="es-ES" w:eastAsia="es-MX"/>
        </w:rPr>
        <w:t>ni detalla</w:t>
      </w:r>
      <w:r w:rsidRPr="00F42EF5">
        <w:rPr>
          <w:rFonts w:ascii="Museo Sans 300" w:hAnsi="Museo Sans 300" w:cs="Segoe UI"/>
          <w:sz w:val="20"/>
          <w:szCs w:val="20"/>
          <w:lang w:val="es-ES" w:eastAsia="es-MX"/>
        </w:rPr>
        <w:t xml:space="preserve"> la tensión promedio suministrada, en ese orden, se estableció que el valor calculado no representa la energía consumida que no fue registrada.  </w:t>
      </w:r>
    </w:p>
    <w:p w14:paraId="6CBDCA77" w14:textId="77777777" w:rsidR="00F42EF5" w:rsidRDefault="00F42EF5" w:rsidP="00F42EF5">
      <w:pPr>
        <w:pStyle w:val="Prrafodelista"/>
        <w:rPr>
          <w:rFonts w:ascii="Museo Sans 300" w:hAnsi="Museo Sans 300" w:cs="Segoe UI"/>
          <w:sz w:val="20"/>
          <w:szCs w:val="20"/>
          <w:lang w:eastAsia="es-MX"/>
        </w:rPr>
      </w:pPr>
    </w:p>
    <w:p w14:paraId="4424657F" w14:textId="5B046501" w:rsidR="00F42EF5" w:rsidRPr="00F42EF5" w:rsidRDefault="00F42EF5" w:rsidP="00F42EF5">
      <w:pPr>
        <w:numPr>
          <w:ilvl w:val="0"/>
          <w:numId w:val="17"/>
        </w:numPr>
        <w:tabs>
          <w:tab w:val="clear" w:pos="720"/>
          <w:tab w:val="num" w:pos="786"/>
        </w:tabs>
        <w:autoSpaceDE w:val="0"/>
        <w:spacing w:after="0" w:line="240" w:lineRule="auto"/>
        <w:ind w:left="786"/>
        <w:jc w:val="both"/>
        <w:rPr>
          <w:rFonts w:ascii="Museo Sans 300" w:hAnsi="Museo Sans 300"/>
          <w:sz w:val="20"/>
          <w:szCs w:val="20"/>
          <w:shd w:val="clear" w:color="auto" w:fill="FFFFFF"/>
        </w:rPr>
      </w:pPr>
      <w:r w:rsidRPr="00F42EF5">
        <w:rPr>
          <w:rFonts w:ascii="Museo Sans 300" w:hAnsi="Museo Sans 300" w:cs="Segoe UI"/>
          <w:sz w:val="20"/>
          <w:szCs w:val="20"/>
          <w:lang w:val="es-ES" w:eastAsia="es-MX"/>
        </w:rPr>
        <w:t xml:space="preserve">Las lecturas de corriente instantánea mediante amperímetros no reflejan el factor de potencia de la energía consumida en los suministros residenciales, la cual es un 30% menor a las lecturas de </w:t>
      </w:r>
      <w:r w:rsidRPr="00F42EF5">
        <w:rPr>
          <w:rFonts w:ascii="Museo Sans 300" w:hAnsi="Museo Sans 300" w:cs="Segoe UI"/>
          <w:sz w:val="20"/>
          <w:szCs w:val="20"/>
          <w:lang w:val="es-ES" w:eastAsia="es-MX"/>
        </w:rPr>
        <w:lastRenderedPageBreak/>
        <w:t>corriente instantánea, pues las instalaciones de los suministros no poseen equipos para compensación de reactivos.</w:t>
      </w:r>
    </w:p>
    <w:p w14:paraId="5C9505E6" w14:textId="7727924C" w:rsidR="008F15A2" w:rsidRPr="008F15A2" w:rsidRDefault="008F15A2" w:rsidP="00F42EF5">
      <w:pPr>
        <w:autoSpaceDE w:val="0"/>
        <w:spacing w:after="0" w:line="240" w:lineRule="auto"/>
        <w:ind w:left="492"/>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p>
    <w:p w14:paraId="64CBB087" w14:textId="3E5BFEB3" w:rsidR="00BD264D" w:rsidRDefault="008F15A2" w:rsidP="00BD264D">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En</w:t>
      </w:r>
      <w:r w:rsidR="00BD264D">
        <w:rPr>
          <w:rFonts w:ascii="Museo Sans 300" w:hAnsi="Museo Sans 300"/>
          <w:sz w:val="20"/>
          <w:szCs w:val="20"/>
          <w:shd w:val="clear" w:color="auto" w:fill="FFFFFF"/>
          <w:lang w:val="es-ES"/>
        </w:rPr>
        <w:t xml:space="preserve"> ese sentido, </w:t>
      </w:r>
      <w:r w:rsidRPr="008F15A2">
        <w:rPr>
          <w:rFonts w:ascii="Museo Sans 300" w:hAnsi="Museo Sans 300"/>
          <w:sz w:val="20"/>
          <w:szCs w:val="20"/>
          <w:shd w:val="clear" w:color="auto" w:fill="FFFFFF"/>
          <w:lang w:val="es-ES"/>
        </w:rPr>
        <w:t xml:space="preserve">cuanto al método de cálculo de ENR propuesto por la distribuidora, el CAU estableció que éste se encuentra definido en El Procedimiento para Investigar la Existencia de Condiciones Irregulares en el Suministro de Energía Eléctrica del Usuario Final, específicamente en el literal c) carga no medida o registrada; sin embargo, debido a las condiciones técnicas del presente caso, la corriente instantánea de </w:t>
      </w:r>
      <w:r w:rsidR="00BD264D">
        <w:rPr>
          <w:rFonts w:ascii="Museo Sans 300" w:hAnsi="Museo Sans 300" w:cs="Segoe UI"/>
          <w:sz w:val="20"/>
          <w:szCs w:val="20"/>
          <w:lang w:val="es-ES" w:eastAsia="es-MX"/>
        </w:rPr>
        <w:t xml:space="preserve">7.53 </w:t>
      </w:r>
      <w:r w:rsidRPr="008F15A2">
        <w:rPr>
          <w:rFonts w:ascii="Museo Sans 300" w:hAnsi="Museo Sans 300"/>
          <w:sz w:val="20"/>
          <w:szCs w:val="20"/>
          <w:shd w:val="clear" w:color="auto" w:fill="FFFFFF"/>
          <w:lang w:val="es-ES"/>
        </w:rPr>
        <w:t>amperios no puede considerarse constante y representativa de la carga real en uso en la vivienda.</w:t>
      </w:r>
      <w:r w:rsidRPr="008F15A2">
        <w:rPr>
          <w:rFonts w:ascii="Museo Sans 300" w:hAnsi="Museo Sans 300"/>
          <w:sz w:val="20"/>
          <w:szCs w:val="20"/>
          <w:shd w:val="clear" w:color="auto" w:fill="FFFFFF"/>
        </w:rPr>
        <w:t> </w:t>
      </w:r>
    </w:p>
    <w:p w14:paraId="3888CFEA" w14:textId="77777777" w:rsidR="00BD264D" w:rsidRDefault="00BD264D" w:rsidP="00BD264D">
      <w:pPr>
        <w:autoSpaceDE w:val="0"/>
        <w:spacing w:after="0" w:line="240" w:lineRule="auto"/>
        <w:ind w:left="426"/>
        <w:jc w:val="both"/>
        <w:rPr>
          <w:rFonts w:ascii="Museo Sans 300" w:hAnsi="Museo Sans 300"/>
          <w:sz w:val="20"/>
          <w:szCs w:val="20"/>
          <w:shd w:val="clear" w:color="auto" w:fill="FFFFFF"/>
        </w:rPr>
      </w:pPr>
    </w:p>
    <w:p w14:paraId="109AD82A" w14:textId="77777777" w:rsidR="00031955" w:rsidRDefault="00BD264D" w:rsidP="00031955">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En ese orden, </w:t>
      </w:r>
      <w:r w:rsidRPr="008F15A2">
        <w:rPr>
          <w:rFonts w:ascii="Museo Sans 300" w:hAnsi="Museo Sans 300"/>
          <w:sz w:val="20"/>
          <w:szCs w:val="20"/>
          <w:shd w:val="clear" w:color="auto" w:fill="FFFFFF"/>
          <w:lang w:val="es-ES"/>
        </w:rPr>
        <w:t>la</w:t>
      </w:r>
      <w:r w:rsidR="008F15A2" w:rsidRPr="008F15A2">
        <w:rPr>
          <w:rFonts w:ascii="Museo Sans 300" w:hAnsi="Museo Sans 300"/>
          <w:sz w:val="20"/>
          <w:szCs w:val="20"/>
          <w:shd w:val="clear" w:color="auto" w:fill="FFFFFF"/>
          <w:lang w:val="es-ES"/>
        </w:rPr>
        <w:t xml:space="preserve"> nueva memoria de cálculo propuesta por </w:t>
      </w:r>
      <w:r w:rsidRPr="00031955">
        <w:rPr>
          <w:rFonts w:ascii="Museo Sans 300" w:hAnsi="Museo Sans 300"/>
          <w:sz w:val="20"/>
          <w:szCs w:val="20"/>
          <w:shd w:val="clear" w:color="auto" w:fill="FFFFFF"/>
          <w:lang w:val="es-ES"/>
        </w:rPr>
        <w:t>la distribuidora</w:t>
      </w:r>
      <w:r w:rsidR="008F15A2" w:rsidRPr="008F15A2">
        <w:rPr>
          <w:rFonts w:ascii="Museo Sans 300" w:hAnsi="Museo Sans 300"/>
          <w:sz w:val="20"/>
          <w:szCs w:val="20"/>
          <w:shd w:val="clear" w:color="auto" w:fill="FFFFFF"/>
          <w:lang w:val="es-ES"/>
        </w:rPr>
        <w:t xml:space="preserve"> </w:t>
      </w:r>
      <w:r w:rsidRPr="00031955">
        <w:rPr>
          <w:rFonts w:ascii="Museo Sans 300" w:hAnsi="Museo Sans 300"/>
          <w:sz w:val="20"/>
          <w:szCs w:val="20"/>
          <w:shd w:val="clear" w:color="auto" w:fill="FFFFFF"/>
          <w:lang w:val="es-ES"/>
        </w:rPr>
        <w:t>es</w:t>
      </w:r>
      <w:r w:rsidR="008F15A2" w:rsidRPr="008F15A2">
        <w:rPr>
          <w:rFonts w:ascii="Museo Sans 300" w:hAnsi="Museo Sans 300"/>
          <w:sz w:val="20"/>
          <w:szCs w:val="20"/>
          <w:shd w:val="clear" w:color="auto" w:fill="FFFFFF"/>
          <w:lang w:val="es-ES"/>
        </w:rPr>
        <w:t xml:space="preserve"> inaceptable debido a que en ést</w:t>
      </w:r>
      <w:r w:rsidRPr="00031955">
        <w:rPr>
          <w:rFonts w:ascii="Museo Sans 300" w:hAnsi="Museo Sans 300"/>
          <w:sz w:val="20"/>
          <w:szCs w:val="20"/>
          <w:shd w:val="clear" w:color="auto" w:fill="FFFFFF"/>
          <w:lang w:val="es-ES"/>
        </w:rPr>
        <w:t>a</w:t>
      </w:r>
      <w:r w:rsidR="008F15A2" w:rsidRPr="008F15A2">
        <w:rPr>
          <w:rFonts w:ascii="Museo Sans 300" w:hAnsi="Museo Sans 300"/>
          <w:sz w:val="20"/>
          <w:szCs w:val="20"/>
          <w:shd w:val="clear" w:color="auto" w:fill="FFFFFF"/>
          <w:lang w:val="es-ES"/>
        </w:rPr>
        <w:t xml:space="preserve"> se mantienen algunos criterios sin fundamento</w:t>
      </w:r>
      <w:r w:rsidRPr="00031955">
        <w:rPr>
          <w:rFonts w:ascii="Museo Sans 300" w:hAnsi="Museo Sans 300"/>
          <w:sz w:val="20"/>
          <w:szCs w:val="20"/>
          <w:shd w:val="clear" w:color="auto" w:fill="FFFFFF"/>
          <w:lang w:val="es-ES"/>
        </w:rPr>
        <w:t xml:space="preserve"> técnico</w:t>
      </w:r>
      <w:r w:rsidR="008F15A2" w:rsidRPr="008F15A2">
        <w:rPr>
          <w:rFonts w:ascii="Museo Sans 300" w:hAnsi="Museo Sans 300"/>
          <w:sz w:val="20"/>
          <w:szCs w:val="20"/>
          <w:shd w:val="clear" w:color="auto" w:fill="FFFFFF"/>
          <w:lang w:val="es-ES"/>
        </w:rPr>
        <w:t>, tales como</w:t>
      </w:r>
      <w:r w:rsidR="00031955">
        <w:rPr>
          <w:rFonts w:ascii="Museo Sans 300" w:hAnsi="Museo Sans 300"/>
          <w:sz w:val="20"/>
          <w:szCs w:val="20"/>
          <w:shd w:val="clear" w:color="auto" w:fill="FFFFFF"/>
          <w:lang w:val="es-ES"/>
        </w:rPr>
        <w:t xml:space="preserve"> e</w:t>
      </w:r>
      <w:r w:rsidR="008F15A2" w:rsidRPr="008F15A2">
        <w:rPr>
          <w:rFonts w:ascii="Museo Sans 300" w:hAnsi="Museo Sans 300"/>
          <w:sz w:val="20"/>
          <w:szCs w:val="20"/>
          <w:shd w:val="clear" w:color="auto" w:fill="FFFFFF"/>
          <w:lang w:val="es-ES"/>
        </w:rPr>
        <w:t xml:space="preserve">l </w:t>
      </w:r>
      <w:r>
        <w:rPr>
          <w:rFonts w:ascii="Museo Sans 300" w:hAnsi="Museo Sans 300"/>
          <w:sz w:val="20"/>
          <w:szCs w:val="20"/>
          <w:shd w:val="clear" w:color="auto" w:fill="FFFFFF"/>
          <w:lang w:val="es-ES"/>
        </w:rPr>
        <w:t xml:space="preserve">valor de </w:t>
      </w:r>
      <w:r w:rsidRPr="008F15A2">
        <w:rPr>
          <w:rFonts w:ascii="Museo Sans 300" w:hAnsi="Museo Sans 300"/>
          <w:sz w:val="20"/>
          <w:szCs w:val="20"/>
          <w:shd w:val="clear" w:color="auto" w:fill="FFFFFF"/>
          <w:lang w:val="es-ES"/>
        </w:rPr>
        <w:t xml:space="preserve">corriente instantánea de </w:t>
      </w:r>
      <w:r>
        <w:rPr>
          <w:rFonts w:ascii="Museo Sans 300" w:hAnsi="Museo Sans 300" w:cs="Segoe UI"/>
          <w:sz w:val="20"/>
          <w:szCs w:val="20"/>
          <w:lang w:val="es-ES" w:eastAsia="es-MX"/>
        </w:rPr>
        <w:t xml:space="preserve">7.53 </w:t>
      </w:r>
      <w:r w:rsidRPr="008F15A2">
        <w:rPr>
          <w:rFonts w:ascii="Museo Sans 300" w:hAnsi="Museo Sans 300"/>
          <w:sz w:val="20"/>
          <w:szCs w:val="20"/>
          <w:shd w:val="clear" w:color="auto" w:fill="FFFFFF"/>
          <w:lang w:val="es-ES"/>
        </w:rPr>
        <w:t xml:space="preserve">amperios </w:t>
      </w:r>
      <w:r>
        <w:rPr>
          <w:rFonts w:ascii="Museo Sans 300" w:hAnsi="Museo Sans 300"/>
          <w:sz w:val="20"/>
          <w:szCs w:val="20"/>
          <w:shd w:val="clear" w:color="auto" w:fill="FFFFFF"/>
          <w:lang w:val="es-ES"/>
        </w:rPr>
        <w:t xml:space="preserve">y el </w:t>
      </w:r>
      <w:r w:rsidR="008F15A2" w:rsidRPr="008F15A2">
        <w:rPr>
          <w:rFonts w:ascii="Museo Sans 300" w:hAnsi="Museo Sans 300"/>
          <w:sz w:val="20"/>
          <w:szCs w:val="20"/>
          <w:shd w:val="clear" w:color="auto" w:fill="FFFFFF"/>
          <w:lang w:val="es-ES"/>
        </w:rPr>
        <w:t xml:space="preserve">tiempo de uso de </w:t>
      </w:r>
      <w:r>
        <w:rPr>
          <w:rFonts w:ascii="Museo Sans 300" w:hAnsi="Museo Sans 300"/>
          <w:sz w:val="20"/>
          <w:szCs w:val="20"/>
          <w:shd w:val="clear" w:color="auto" w:fill="FFFFFF"/>
          <w:lang w:val="es-ES"/>
        </w:rPr>
        <w:t>8</w:t>
      </w:r>
      <w:r w:rsidR="008F15A2" w:rsidRPr="008F15A2">
        <w:rPr>
          <w:rFonts w:ascii="Museo Sans 300" w:hAnsi="Museo Sans 300"/>
          <w:sz w:val="20"/>
          <w:szCs w:val="20"/>
          <w:shd w:val="clear" w:color="auto" w:fill="FFFFFF"/>
          <w:lang w:val="es-ES"/>
        </w:rPr>
        <w:t xml:space="preserve"> horas diarias de la corriente instantánea como si fuera constante</w:t>
      </w:r>
      <w:r w:rsidR="00031955">
        <w:rPr>
          <w:rFonts w:ascii="Museo Sans 300" w:hAnsi="Museo Sans 300"/>
          <w:sz w:val="20"/>
          <w:szCs w:val="20"/>
          <w:shd w:val="clear" w:color="auto" w:fill="FFFFFF"/>
          <w:lang w:val="es-ES"/>
        </w:rPr>
        <w:t>.</w:t>
      </w:r>
    </w:p>
    <w:p w14:paraId="4572E01B" w14:textId="77777777" w:rsidR="00031955" w:rsidRDefault="00031955" w:rsidP="00031955">
      <w:pPr>
        <w:autoSpaceDE w:val="0"/>
        <w:spacing w:after="0" w:line="240" w:lineRule="auto"/>
        <w:ind w:left="426"/>
        <w:jc w:val="both"/>
        <w:rPr>
          <w:rFonts w:ascii="Museo Sans 300" w:hAnsi="Museo Sans 300"/>
          <w:sz w:val="20"/>
          <w:szCs w:val="20"/>
          <w:shd w:val="clear" w:color="auto" w:fill="FFFFFF"/>
        </w:rPr>
      </w:pPr>
    </w:p>
    <w:p w14:paraId="262455BF" w14:textId="4D8CD29B" w:rsidR="008F15A2" w:rsidRPr="008F15A2" w:rsidRDefault="00031955" w:rsidP="00031955">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Por lo cual, se </w:t>
      </w:r>
      <w:r w:rsidRPr="008F15A2">
        <w:rPr>
          <w:rFonts w:ascii="Museo Sans 300" w:hAnsi="Museo Sans 300"/>
          <w:sz w:val="20"/>
          <w:szCs w:val="20"/>
          <w:shd w:val="clear" w:color="auto" w:fill="FFFFFF"/>
          <w:lang w:val="es-ES"/>
        </w:rPr>
        <w:t>reitera</w:t>
      </w:r>
      <w:r>
        <w:rPr>
          <w:rFonts w:ascii="Museo Sans 300" w:hAnsi="Museo Sans 300"/>
          <w:sz w:val="20"/>
          <w:szCs w:val="20"/>
          <w:shd w:val="clear" w:color="auto" w:fill="FFFFFF"/>
          <w:lang w:val="es-ES"/>
        </w:rPr>
        <w:t xml:space="preserve"> a la distribuidora </w:t>
      </w:r>
      <w:r w:rsidR="008F15A2" w:rsidRPr="008F15A2">
        <w:rPr>
          <w:rFonts w:ascii="Museo Sans 300" w:hAnsi="Museo Sans 300"/>
          <w:sz w:val="20"/>
          <w:szCs w:val="20"/>
          <w:shd w:val="clear" w:color="auto" w:fill="FFFFFF"/>
          <w:lang w:val="es-ES"/>
        </w:rPr>
        <w:t xml:space="preserve">que el momento idóneo que tiene para fundamentar técnicamente la corriente instantánea y el tiempo de uso diario de los equipos eléctricos abastecidos bajo una condición irregular detectada, es </w:t>
      </w:r>
      <w:r>
        <w:rPr>
          <w:rFonts w:ascii="Museo Sans 300" w:hAnsi="Museo Sans 300"/>
          <w:sz w:val="20"/>
          <w:szCs w:val="20"/>
          <w:shd w:val="clear" w:color="auto" w:fill="FFFFFF"/>
          <w:lang w:val="es-ES"/>
        </w:rPr>
        <w:t xml:space="preserve">durante </w:t>
      </w:r>
      <w:r w:rsidR="008F15A2" w:rsidRPr="008F15A2">
        <w:rPr>
          <w:rFonts w:ascii="Museo Sans 300" w:hAnsi="Museo Sans 300"/>
          <w:sz w:val="20"/>
          <w:szCs w:val="20"/>
          <w:shd w:val="clear" w:color="auto" w:fill="FFFFFF"/>
          <w:lang w:val="es-ES"/>
        </w:rPr>
        <w:t xml:space="preserve">la inspección técnica, </w:t>
      </w:r>
      <w:r w:rsidR="00832AAA">
        <w:rPr>
          <w:rFonts w:ascii="Museo Sans 300" w:hAnsi="Museo Sans 300"/>
          <w:sz w:val="20"/>
          <w:szCs w:val="20"/>
          <w:shd w:val="clear" w:color="auto" w:fill="FFFFFF"/>
          <w:lang w:val="es-ES"/>
        </w:rPr>
        <w:t>en la cual deberá de</w:t>
      </w:r>
      <w:r w:rsidR="008F15A2" w:rsidRPr="008F15A2">
        <w:rPr>
          <w:rFonts w:ascii="Museo Sans 300" w:hAnsi="Museo Sans 300"/>
          <w:sz w:val="20"/>
          <w:szCs w:val="20"/>
          <w:shd w:val="clear" w:color="auto" w:fill="FFFFFF"/>
          <w:lang w:val="es-ES"/>
        </w:rPr>
        <w:t xml:space="preserve"> </w:t>
      </w:r>
      <w:r w:rsidR="00832AAA">
        <w:rPr>
          <w:rFonts w:ascii="Museo Sans 300" w:hAnsi="Museo Sans 300"/>
          <w:sz w:val="20"/>
          <w:szCs w:val="20"/>
          <w:shd w:val="clear" w:color="auto" w:fill="FFFFFF"/>
          <w:lang w:val="es-ES"/>
        </w:rPr>
        <w:t>recopilar</w:t>
      </w:r>
      <w:r w:rsidR="008F15A2" w:rsidRPr="008F15A2">
        <w:rPr>
          <w:rFonts w:ascii="Museo Sans 300" w:hAnsi="Museo Sans 300"/>
          <w:sz w:val="20"/>
          <w:szCs w:val="20"/>
          <w:shd w:val="clear" w:color="auto" w:fill="FFFFFF"/>
          <w:lang w:val="es-ES"/>
        </w:rPr>
        <w:t xml:space="preserve"> evidencia del tipo de equipos que están siendo alimentados y verificar de esa manera si la carga </w:t>
      </w:r>
      <w:r w:rsidR="00832AAA">
        <w:rPr>
          <w:rFonts w:ascii="Museo Sans 300" w:hAnsi="Museo Sans 300"/>
          <w:sz w:val="20"/>
          <w:szCs w:val="20"/>
          <w:shd w:val="clear" w:color="auto" w:fill="FFFFFF"/>
          <w:lang w:val="es-ES"/>
        </w:rPr>
        <w:t xml:space="preserve">fuera de medición </w:t>
      </w:r>
      <w:r w:rsidR="008F15A2" w:rsidRPr="008F15A2">
        <w:rPr>
          <w:rFonts w:ascii="Museo Sans 300" w:hAnsi="Museo Sans 300"/>
          <w:sz w:val="20"/>
          <w:szCs w:val="20"/>
          <w:shd w:val="clear" w:color="auto" w:fill="FFFFFF"/>
          <w:lang w:val="es-ES"/>
        </w:rPr>
        <w:t>es del tipo inductiva, capacitiva o resistiva. </w:t>
      </w:r>
      <w:r w:rsidR="008F15A2" w:rsidRPr="008F15A2">
        <w:rPr>
          <w:rFonts w:ascii="Museo Sans 300" w:hAnsi="Museo Sans 300"/>
          <w:sz w:val="20"/>
          <w:szCs w:val="20"/>
          <w:shd w:val="clear" w:color="auto" w:fill="FFFFFF"/>
        </w:rPr>
        <w:t> </w:t>
      </w:r>
    </w:p>
    <w:p w14:paraId="5AFA3E93" w14:textId="77777777"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p>
    <w:p w14:paraId="4D3F8477" w14:textId="5FFCC9B3"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Establecido lo anterior, </w:t>
      </w:r>
      <w:r w:rsidRPr="008F15A2">
        <w:rPr>
          <w:rFonts w:ascii="Museo Sans 300" w:hAnsi="Museo Sans 300"/>
          <w:sz w:val="20"/>
          <w:szCs w:val="20"/>
          <w:shd w:val="clear" w:color="auto" w:fill="FFFFFF"/>
        </w:rPr>
        <w:t xml:space="preserve">la distribuidora no aportó ninguna prueba técnica que permita validar el cálculo </w:t>
      </w:r>
      <w:r w:rsidR="00832AAA">
        <w:rPr>
          <w:rFonts w:ascii="Museo Sans 300" w:hAnsi="Museo Sans 300"/>
          <w:sz w:val="20"/>
          <w:szCs w:val="20"/>
          <w:shd w:val="clear" w:color="auto" w:fill="FFFFFF"/>
        </w:rPr>
        <w:t xml:space="preserve">por </w:t>
      </w:r>
      <w:r w:rsidR="00832AAA">
        <w:rPr>
          <w:rFonts w:ascii="Museo Sans 300" w:hAnsi="Museo Sans 300"/>
          <w:sz w:val="20"/>
          <w:szCs w:val="20"/>
        </w:rPr>
        <w:t xml:space="preserve">la cantidad de TRESCIENTOS CINCUENTA Y SIETE 72/100 </w:t>
      </w:r>
      <w:r w:rsidR="00832AAA" w:rsidRPr="007160D7">
        <w:rPr>
          <w:rFonts w:ascii="Museo Sans 300" w:hAnsi="Museo Sans 300"/>
          <w:sz w:val="20"/>
          <w:szCs w:val="20"/>
        </w:rPr>
        <w:t>DÓLARES</w:t>
      </w:r>
      <w:r w:rsidR="00832AAA">
        <w:rPr>
          <w:rFonts w:ascii="Museo Sans 300" w:hAnsi="Museo Sans 300"/>
          <w:sz w:val="20"/>
          <w:szCs w:val="20"/>
        </w:rPr>
        <w:t xml:space="preserve"> DE LOS ESTADOS UNIDOS DE AMÉRICA (USD 357.72) </w:t>
      </w:r>
      <w:r w:rsidR="00832AAA" w:rsidRPr="00AF5A34">
        <w:rPr>
          <w:rFonts w:ascii="Museo Sans 300" w:hAnsi="Museo Sans 300"/>
          <w:sz w:val="20"/>
          <w:szCs w:val="20"/>
        </w:rPr>
        <w:t>IVA incluido</w:t>
      </w:r>
      <w:r w:rsidR="00832AAA">
        <w:rPr>
          <w:rFonts w:ascii="Museo Sans 300" w:hAnsi="Museo Sans 300"/>
          <w:sz w:val="20"/>
          <w:szCs w:val="20"/>
        </w:rPr>
        <w:t>,</w:t>
      </w:r>
      <w:r w:rsidR="00832AAA" w:rsidRPr="008F15A2">
        <w:rPr>
          <w:rFonts w:ascii="Museo Sans 300" w:hAnsi="Museo Sans 300"/>
          <w:sz w:val="20"/>
          <w:szCs w:val="20"/>
          <w:shd w:val="clear" w:color="auto" w:fill="FFFFFF"/>
        </w:rPr>
        <w:t xml:space="preserve"> </w:t>
      </w:r>
      <w:r w:rsidRPr="008F15A2">
        <w:rPr>
          <w:rFonts w:ascii="Museo Sans 300" w:hAnsi="Museo Sans 300"/>
          <w:sz w:val="20"/>
          <w:szCs w:val="20"/>
          <w:shd w:val="clear" w:color="auto" w:fill="FFFFFF"/>
        </w:rPr>
        <w:t xml:space="preserve">propuesto en el escrito de </w:t>
      </w:r>
      <w:r w:rsidR="00031955">
        <w:rPr>
          <w:rFonts w:ascii="Museo Sans 300" w:hAnsi="Museo Sans 300"/>
          <w:sz w:val="20"/>
          <w:szCs w:val="20"/>
          <w:shd w:val="clear" w:color="auto" w:fill="FFFFFF"/>
        </w:rPr>
        <w:t>fecha cinco de diciembre de este año</w:t>
      </w:r>
      <w:r w:rsidRPr="008F15A2">
        <w:rPr>
          <w:rFonts w:ascii="Museo Sans 300" w:hAnsi="Museo Sans 300"/>
          <w:sz w:val="20"/>
          <w:szCs w:val="20"/>
          <w:shd w:val="clear" w:color="auto" w:fill="FFFFFF"/>
        </w:rPr>
        <w:t xml:space="preserve">, y tampoco presentó pruebas que desvirtúen el criterio del CAU, el cual está apegado a la normativa </w:t>
      </w:r>
      <w:r w:rsidR="00832AAA">
        <w:rPr>
          <w:rFonts w:ascii="Museo Sans 300" w:hAnsi="Museo Sans 300"/>
          <w:sz w:val="20"/>
          <w:szCs w:val="20"/>
          <w:shd w:val="clear" w:color="auto" w:fill="FFFFFF"/>
        </w:rPr>
        <w:t>sectorial</w:t>
      </w:r>
      <w:r w:rsidRPr="008F15A2">
        <w:rPr>
          <w:rFonts w:ascii="Museo Sans 300" w:hAnsi="Museo Sans 300"/>
          <w:sz w:val="20"/>
          <w:szCs w:val="20"/>
          <w:shd w:val="clear" w:color="auto" w:fill="FFFFFF"/>
        </w:rPr>
        <w:t>.  </w:t>
      </w:r>
    </w:p>
    <w:p w14:paraId="18C994C3" w14:textId="77777777"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p>
    <w:p w14:paraId="085CB3EA" w14:textId="0D418974"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xml:space="preserve">En consecuencia, es preciso declarar improcedente dicho argumento, y como se desarrolló en el informe técnico </w:t>
      </w:r>
      <w:proofErr w:type="spellStart"/>
      <w:r w:rsidRPr="008F15A2">
        <w:rPr>
          <w:rFonts w:ascii="Museo Sans 300" w:hAnsi="Museo Sans 300"/>
          <w:sz w:val="20"/>
          <w:szCs w:val="20"/>
          <w:shd w:val="clear" w:color="auto" w:fill="FFFFFF"/>
        </w:rPr>
        <w:t>N.°</w:t>
      </w:r>
      <w:proofErr w:type="spellEnd"/>
      <w:r w:rsidRPr="008F15A2">
        <w:rPr>
          <w:rFonts w:ascii="Museo Sans 300" w:hAnsi="Museo Sans 300"/>
          <w:sz w:val="20"/>
          <w:szCs w:val="20"/>
          <w:shd w:val="clear" w:color="auto" w:fill="FFFFFF"/>
        </w:rPr>
        <w:t xml:space="preserve"> </w:t>
      </w:r>
      <w:r w:rsidR="00B169FF">
        <w:rPr>
          <w:rFonts w:ascii="Museo Sans 300" w:hAnsi="Museo Sans 300"/>
          <w:sz w:val="20"/>
          <w:szCs w:val="20"/>
          <w:shd w:val="clear" w:color="auto" w:fill="FFFFFF"/>
        </w:rPr>
        <w:t>XXX</w:t>
      </w:r>
      <w:r w:rsidRPr="008F15A2">
        <w:rPr>
          <w:rFonts w:ascii="Museo Sans 300" w:hAnsi="Museo Sans 300"/>
          <w:sz w:val="20"/>
          <w:szCs w:val="20"/>
          <w:shd w:val="clear" w:color="auto" w:fill="FFFFFF"/>
        </w:rPr>
        <w:t>, el método utilizado por la distribuidora para el cálculo de la ENR no tiene fundamento técnico y no es representativo del consumo real del inmueble. </w:t>
      </w:r>
    </w:p>
    <w:p w14:paraId="676EDEE3" w14:textId="77777777"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p>
    <w:p w14:paraId="4B3F80D8" w14:textId="1C73B288" w:rsidR="00F42EF5" w:rsidRPr="008F15A2" w:rsidRDefault="00832AAA" w:rsidP="00F42EF5">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Asimismo, se reitera que </w:t>
      </w:r>
      <w:r w:rsidR="00F42EF5" w:rsidRPr="008F15A2">
        <w:rPr>
          <w:rFonts w:ascii="Museo Sans 300" w:hAnsi="Museo Sans 300"/>
          <w:sz w:val="20"/>
          <w:szCs w:val="20"/>
          <w:shd w:val="clear" w:color="auto" w:fill="FFFFFF"/>
        </w:rPr>
        <w:t xml:space="preserve">debido a las deficiencias que presentaba el método de cálculo de la distribuidora, el CAU utilizó el método de censo de carga, por considerarse más representativo del consumo real del inmueble donde se encuentra instalado el suministro identificado con el NIC </w:t>
      </w:r>
      <w:r w:rsidR="00B169FF">
        <w:rPr>
          <w:rStyle w:val="normaltextrun"/>
          <w:rFonts w:ascii="Museo Sans 300" w:hAnsi="Museo Sans 300"/>
          <w:color w:val="000000"/>
          <w:sz w:val="20"/>
          <w:szCs w:val="20"/>
          <w:shd w:val="clear" w:color="auto" w:fill="FFFFFF"/>
        </w:rPr>
        <w:t>XXX</w:t>
      </w:r>
      <w:r w:rsidR="00F42EF5" w:rsidRPr="008F15A2">
        <w:rPr>
          <w:rFonts w:ascii="Museo Sans 300" w:hAnsi="Museo Sans 300"/>
          <w:sz w:val="20"/>
          <w:szCs w:val="20"/>
          <w:shd w:val="clear" w:color="auto" w:fill="FFFFFF"/>
        </w:rPr>
        <w:t>. </w:t>
      </w:r>
    </w:p>
    <w:p w14:paraId="208EA22B" w14:textId="77777777" w:rsidR="00F42EF5" w:rsidRPr="00F42EF5" w:rsidRDefault="00F42EF5" w:rsidP="008F15A2">
      <w:pPr>
        <w:autoSpaceDE w:val="0"/>
        <w:spacing w:after="0" w:line="240" w:lineRule="auto"/>
        <w:ind w:left="426"/>
        <w:jc w:val="both"/>
        <w:rPr>
          <w:rFonts w:ascii="Museo Sans 300" w:hAnsi="Museo Sans 300"/>
          <w:sz w:val="20"/>
          <w:szCs w:val="20"/>
          <w:shd w:val="clear" w:color="auto" w:fill="FFFFFF"/>
        </w:rPr>
      </w:pPr>
    </w:p>
    <w:p w14:paraId="2369A43A" w14:textId="4B085382"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Por las razones expuestas, el CAU sostuvo que el método válido para realizar el cálculo de ENR es con base al valor de censo de carga instalada equivalente a </w:t>
      </w:r>
      <w:r w:rsidR="00031955">
        <w:rPr>
          <w:rFonts w:ascii="Museo Sans 300" w:hAnsi="Museo Sans 300"/>
          <w:sz w:val="20"/>
          <w:szCs w:val="20"/>
          <w:shd w:val="clear" w:color="auto" w:fill="FFFFFF"/>
          <w:lang w:val="es-ES"/>
        </w:rPr>
        <w:t>539</w:t>
      </w:r>
      <w:r w:rsidRPr="008F15A2">
        <w:rPr>
          <w:rFonts w:ascii="Museo Sans 300" w:hAnsi="Museo Sans 300"/>
          <w:sz w:val="20"/>
          <w:szCs w:val="20"/>
          <w:shd w:val="clear" w:color="auto" w:fill="FFFFFF"/>
          <w:lang w:val="es-ES"/>
        </w:rPr>
        <w:t xml:space="preserve"> kWh con base en el artículo 5.2 letra i) del Procedimiento para Investigar la existencia de Condiciones Irregulares en el Suministro de Energía Eléctrica del Usuario Final. </w:t>
      </w:r>
      <w:r w:rsidRPr="008F15A2">
        <w:rPr>
          <w:rFonts w:ascii="Museo Sans 300" w:hAnsi="Museo Sans 300"/>
          <w:sz w:val="20"/>
          <w:szCs w:val="20"/>
          <w:shd w:val="clear" w:color="auto" w:fill="FFFFFF"/>
        </w:rPr>
        <w:t> </w:t>
      </w:r>
    </w:p>
    <w:p w14:paraId="6877593F" w14:textId="7DA2F721" w:rsidR="00E973D9" w:rsidRPr="00E973D9" w:rsidRDefault="008F15A2" w:rsidP="00031955">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r w:rsidR="00F42EF5">
        <w:rPr>
          <w:rFonts w:ascii="Museo Sans 300" w:hAnsi="Museo Sans 300"/>
          <w:sz w:val="20"/>
          <w:szCs w:val="20"/>
          <w:shd w:val="clear" w:color="auto" w:fill="FFFFFF"/>
          <w:lang w:val="es-ES"/>
        </w:rPr>
        <w:t xml:space="preserve"> </w:t>
      </w:r>
      <w:r w:rsidR="00031955">
        <w:rPr>
          <w:rFonts w:ascii="Museo Sans 300" w:hAnsi="Museo Sans 300"/>
          <w:sz w:val="20"/>
          <w:szCs w:val="20"/>
          <w:shd w:val="clear" w:color="auto" w:fill="FFFFFF"/>
        </w:rPr>
        <w:t xml:space="preserve"> </w:t>
      </w:r>
    </w:p>
    <w:p w14:paraId="288D38B8" w14:textId="77777777" w:rsidR="00145DDC"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 </w:t>
      </w:r>
    </w:p>
    <w:p w14:paraId="049FCFF4" w14:textId="16E61F76" w:rsidR="00E973D9" w:rsidRPr="00B47E2B" w:rsidRDefault="00E973D9" w:rsidP="00E973D9">
      <w:pPr>
        <w:tabs>
          <w:tab w:val="left" w:pos="426"/>
        </w:tabs>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19EF0EA"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169F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5CCCCC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77777777"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6CD55C10"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B169FF">
        <w:rPr>
          <w:rFonts w:ascii="Museo Sans 300" w:eastAsia="Arial" w:hAnsi="Museo Sans 300" w:cs="Times New Roman"/>
          <w:color w:val="000000"/>
          <w:sz w:val="20"/>
          <w:szCs w:val="20"/>
          <w:lang w:eastAsia="es-SV"/>
        </w:rPr>
        <w:t>XXX</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B169FF">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eastAsia="Times New Roman" w:hAnsi="Museo Sans 300" w:cs="Segoe UI"/>
          <w:sz w:val="20"/>
          <w:szCs w:val="20"/>
          <w:lang w:val="es-ES" w:eastAsia="es-ES"/>
        </w:rPr>
        <w:t xml:space="preserve">en </w:t>
      </w:r>
      <w:r w:rsidR="00893C8D" w:rsidRPr="007B65E0">
        <w:rPr>
          <w:rFonts w:ascii="Museo Sans 300" w:eastAsia="Times New Roman" w:hAnsi="Museo Sans 300" w:cs="Segoe UI"/>
          <w:sz w:val="20"/>
          <w:szCs w:val="20"/>
          <w:lang w:val="es-ES" w:eastAsia="es-ES"/>
        </w:rPr>
        <w:t xml:space="preserve">la </w:t>
      </w:r>
      <w:r w:rsidR="00893C8D">
        <w:rPr>
          <w:rFonts w:ascii="Museo Sans 300" w:eastAsia="Times New Roman" w:hAnsi="Museo Sans 300" w:cs="Segoe UI"/>
          <w:sz w:val="20"/>
          <w:szCs w:val="20"/>
          <w:lang w:val="es-ES" w:eastAsia="es-ES"/>
        </w:rPr>
        <w:t>acometida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14508E98"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8F15A2">
        <w:rPr>
          <w:rFonts w:ascii="Museo Sans 300" w:eastAsia="Arial" w:hAnsi="Museo Sans 300" w:cs="Times New Roman"/>
          <w:color w:val="000000"/>
          <w:sz w:val="20"/>
          <w:szCs w:val="20"/>
          <w:lang w:eastAsia="es-SV"/>
        </w:rPr>
        <w:t>DOSCIENTOS OCHENTA Y UNO 31/100 DÓLARES DE LOS ESTADOS UNIDOS DE AMÉRICA (USD 281.31)</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35741D6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81E85FB" w14:textId="77777777" w:rsidR="00947FD4" w:rsidRPr="00947FD4" w:rsidRDefault="00947FD4" w:rsidP="00947FD4">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947FD4">
        <w:rPr>
          <w:rFonts w:ascii="Museo Sans 500" w:eastAsia="Arial" w:hAnsi="Museo Sans 500" w:cs="Times New Roman"/>
          <w:b/>
          <w:sz w:val="20"/>
          <w:szCs w:val="20"/>
        </w:rPr>
        <w:t>CÓMPUTO DE PLAZOS DE LOS ADMINISTRADOS </w:t>
      </w:r>
    </w:p>
    <w:p w14:paraId="0606B60B" w14:textId="77777777" w:rsidR="00947FD4" w:rsidRPr="00947FD4" w:rsidRDefault="00947FD4" w:rsidP="00947FD4">
      <w:pPr>
        <w:suppressAutoHyphens w:val="0"/>
        <w:autoSpaceDN/>
        <w:spacing w:after="0" w:line="240" w:lineRule="auto"/>
        <w:ind w:left="555"/>
        <w:jc w:val="both"/>
        <w:rPr>
          <w:rFonts w:ascii="Museo Sans 500" w:eastAsia="Times New Roman" w:hAnsi="Museo Sans 500" w:cs="Times New Roman"/>
          <w:sz w:val="20"/>
          <w:szCs w:val="20"/>
          <w:lang w:eastAsia="es-SV"/>
        </w:rPr>
      </w:pPr>
      <w:r w:rsidRPr="00947FD4">
        <w:rPr>
          <w:rFonts w:ascii="Museo Sans 300" w:eastAsia="Times New Roman" w:hAnsi="Museo Sans 300" w:cs="Times New Roman"/>
          <w:sz w:val="20"/>
          <w:szCs w:val="20"/>
          <w:lang w:eastAsia="es-SV"/>
        </w:rPr>
        <w:t> </w:t>
      </w:r>
    </w:p>
    <w:p w14:paraId="4A827EE4" w14:textId="77777777" w:rsidR="00947FD4" w:rsidRPr="00947FD4" w:rsidRDefault="00947FD4" w:rsidP="00947FD4">
      <w:pPr>
        <w:pStyle w:val="Prrafodelista"/>
        <w:tabs>
          <w:tab w:val="left" w:pos="426"/>
        </w:tabs>
        <w:ind w:left="426"/>
        <w:jc w:val="both"/>
        <w:rPr>
          <w:rFonts w:ascii="Museo Sans 300" w:hAnsi="Museo Sans 300"/>
          <w:sz w:val="20"/>
          <w:szCs w:val="20"/>
        </w:rPr>
      </w:pPr>
      <w:r w:rsidRPr="00947FD4">
        <w:rPr>
          <w:rFonts w:ascii="Museo Sans 300" w:hAnsi="Museo Sans 300"/>
          <w:sz w:val="20"/>
          <w:szCs w:val="20"/>
        </w:rPr>
        <w:t>La Ley de Procedimientos Administrativos, en su artículo 81, establece que los actos, tanto de la Administración como de los particulares, deberán llevarse a cabo en días y horas hábiles. </w:t>
      </w:r>
    </w:p>
    <w:p w14:paraId="0B4AC1D4" w14:textId="77777777" w:rsidR="00947FD4" w:rsidRPr="00947FD4" w:rsidRDefault="00947FD4" w:rsidP="00947FD4">
      <w:pPr>
        <w:pStyle w:val="Prrafodelista"/>
        <w:tabs>
          <w:tab w:val="left" w:pos="426"/>
        </w:tabs>
        <w:ind w:left="426"/>
        <w:jc w:val="both"/>
        <w:rPr>
          <w:rFonts w:ascii="Museo Sans 300" w:hAnsi="Museo Sans 300"/>
          <w:sz w:val="20"/>
          <w:szCs w:val="20"/>
        </w:rPr>
      </w:pPr>
      <w:r w:rsidRPr="00947FD4">
        <w:rPr>
          <w:rFonts w:ascii="Museo Sans 300" w:hAnsi="Museo Sans 300"/>
          <w:sz w:val="20"/>
          <w:szCs w:val="20"/>
        </w:rPr>
        <w:t> </w:t>
      </w:r>
    </w:p>
    <w:p w14:paraId="4DFAA30E" w14:textId="77777777" w:rsidR="00947FD4" w:rsidRPr="00947FD4" w:rsidRDefault="00947FD4" w:rsidP="00947FD4">
      <w:pPr>
        <w:pStyle w:val="Prrafodelista"/>
        <w:tabs>
          <w:tab w:val="left" w:pos="426"/>
        </w:tabs>
        <w:ind w:left="426"/>
        <w:jc w:val="both"/>
        <w:rPr>
          <w:rFonts w:ascii="Museo Sans 300" w:hAnsi="Museo Sans 300"/>
          <w:sz w:val="20"/>
          <w:szCs w:val="20"/>
        </w:rPr>
      </w:pPr>
      <w:r w:rsidRPr="00947FD4">
        <w:rPr>
          <w:rFonts w:ascii="Museo Sans 300" w:hAnsi="Museo Sans 300"/>
          <w:sz w:val="20"/>
          <w:szCs w:val="20"/>
        </w:rPr>
        <w:t xml:space="preserve">De conformidad con lo establecido en el Reglamento Interno de Trabajo de la SIGET y el acuerdo </w:t>
      </w:r>
      <w:proofErr w:type="spellStart"/>
      <w:r w:rsidRPr="00947FD4">
        <w:rPr>
          <w:rFonts w:ascii="Museo Sans 300" w:hAnsi="Museo Sans 300"/>
          <w:sz w:val="20"/>
          <w:szCs w:val="20"/>
        </w:rPr>
        <w:t>N.°</w:t>
      </w:r>
      <w:proofErr w:type="spellEnd"/>
      <w:r w:rsidRPr="00947FD4">
        <w:rPr>
          <w:rFonts w:ascii="Museo Sans 300" w:hAnsi="Museo Sans 300"/>
          <w:sz w:val="20"/>
          <w:szCs w:val="20"/>
        </w:rPr>
        <w:t xml:space="preserve"> 47-2022/GTH-ADM, se informa que para efectos del cómputo de plazos de los administrados no se contarán como días hábiles los comprendidos entre el 26 al 30 de diciembre de este año. </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02A4F73"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169FF">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1242D439"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B169FF">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hAnsi="Museo Sans 300" w:cs="Segoe UI"/>
          <w:sz w:val="20"/>
          <w:szCs w:val="20"/>
        </w:rPr>
        <w:t xml:space="preserve">en </w:t>
      </w:r>
      <w:r w:rsidR="00893C8D" w:rsidRPr="007B65E0">
        <w:rPr>
          <w:rFonts w:ascii="Museo Sans 300" w:hAnsi="Museo Sans 300" w:cs="Segoe UI"/>
          <w:sz w:val="20"/>
          <w:szCs w:val="20"/>
        </w:rPr>
        <w:t xml:space="preserve">la </w:t>
      </w:r>
      <w:r w:rsidR="00893C8D">
        <w:rPr>
          <w:rFonts w:ascii="Museo Sans 300" w:hAnsi="Museo Sans 300" w:cs="Segoe UI"/>
          <w:sz w:val="20"/>
          <w:szCs w:val="20"/>
        </w:rPr>
        <w:t>acometida</w:t>
      </w:r>
      <w:r w:rsidR="000062DF"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1CAEC6A3"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8F15A2">
        <w:rPr>
          <w:rFonts w:ascii="Museo Sans 300" w:eastAsia="Arial" w:hAnsi="Museo Sans 300"/>
          <w:color w:val="000000"/>
          <w:sz w:val="20"/>
          <w:szCs w:val="20"/>
          <w:lang w:eastAsia="es-SV"/>
        </w:rPr>
        <w:t>DOSCIENTOS OCHENTA Y UNO 31/100 DÓLARES DE LOS ESTADOS UNIDOS DE AMÉRICA (USD 281.31)</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0D3C2A3C"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B169FF">
        <w:rPr>
          <w:rFonts w:ascii="Museo Sans 300" w:eastAsia="Times New Roman" w:hAnsi="Museo Sans 300" w:cs="Segoe UI"/>
          <w:sz w:val="20"/>
          <w:szCs w:val="20"/>
          <w:lang w:val="es-ES" w:eastAsia="es-SV"/>
        </w:rPr>
        <w:t>XXX</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142B9F3F" w14:textId="77777777"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sz w:val="20"/>
          <w:szCs w:val="20"/>
          <w:lang w:eastAsia="es-SV"/>
        </w:rPr>
        <w:t> </w:t>
      </w:r>
    </w:p>
    <w:p w14:paraId="6888E736" w14:textId="77777777" w:rsidR="00947FD4" w:rsidRPr="00947FD4" w:rsidRDefault="00947FD4" w:rsidP="00947FD4">
      <w:pPr>
        <w:pStyle w:val="Prrafodelista"/>
        <w:numPr>
          <w:ilvl w:val="1"/>
          <w:numId w:val="2"/>
        </w:numPr>
        <w:ind w:left="426"/>
        <w:jc w:val="both"/>
        <w:rPr>
          <w:rFonts w:ascii="Museo Sans 300" w:hAnsi="Museo Sans 300" w:cs="Segoe UI"/>
          <w:sz w:val="20"/>
          <w:szCs w:val="20"/>
          <w:lang w:eastAsia="es-SV"/>
        </w:rPr>
      </w:pPr>
      <w:r w:rsidRPr="00947FD4">
        <w:rPr>
          <w:rFonts w:ascii="Museo Sans 300" w:hAnsi="Museo Sans 300" w:cs="Segoe UI"/>
          <w:sz w:val="20"/>
          <w:szCs w:val="20"/>
          <w:lang w:eastAsia="es-SV"/>
        </w:rPr>
        <w:t>Hacer saber a las partes que para efectos del cómputo de plazos de los administrados no se contarán como días hábiles los comprendidos entre el 26 al 30 de diciembre de este año. </w:t>
      </w:r>
    </w:p>
    <w:p w14:paraId="59F297DC" w14:textId="77777777" w:rsidR="00DD34CB" w:rsidRPr="00947FD4"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5BCD88CE" w14:textId="10FA6B46"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B169FF">
        <w:rPr>
          <w:rFonts w:ascii="Museo Sans 300" w:eastAsia="Arial" w:hAnsi="Museo Sans 300"/>
          <w:color w:val="000000"/>
          <w:sz w:val="20"/>
          <w:szCs w:val="20"/>
          <w:lang w:eastAsia="es-SV"/>
        </w:rPr>
        <w:t>XXX</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B169F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405C" w14:textId="77777777" w:rsidR="008B5D9D" w:rsidRDefault="008B5D9D">
      <w:pPr>
        <w:spacing w:after="0" w:line="240" w:lineRule="auto"/>
      </w:pPr>
      <w:r>
        <w:separator/>
      </w:r>
    </w:p>
  </w:endnote>
  <w:endnote w:type="continuationSeparator" w:id="0">
    <w:p w14:paraId="1FC3C1D4" w14:textId="77777777" w:rsidR="008B5D9D" w:rsidRDefault="008B5D9D">
      <w:pPr>
        <w:spacing w:after="0" w:line="240" w:lineRule="auto"/>
      </w:pPr>
      <w:r>
        <w:continuationSeparator/>
      </w:r>
    </w:p>
  </w:endnote>
  <w:endnote w:type="continuationNotice" w:id="1">
    <w:p w14:paraId="0E4E9A83" w14:textId="77777777" w:rsidR="008B5D9D" w:rsidRDefault="008B5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80B6" w14:textId="77777777" w:rsidR="008B5D9D" w:rsidRDefault="008B5D9D">
      <w:pPr>
        <w:spacing w:after="0" w:line="240" w:lineRule="auto"/>
      </w:pPr>
      <w:r>
        <w:rPr>
          <w:color w:val="000000"/>
        </w:rPr>
        <w:separator/>
      </w:r>
    </w:p>
  </w:footnote>
  <w:footnote w:type="continuationSeparator" w:id="0">
    <w:p w14:paraId="114C9320" w14:textId="77777777" w:rsidR="008B5D9D" w:rsidRDefault="008B5D9D">
      <w:pPr>
        <w:spacing w:after="0" w:line="240" w:lineRule="auto"/>
      </w:pPr>
      <w:r>
        <w:continuationSeparator/>
      </w:r>
    </w:p>
  </w:footnote>
  <w:footnote w:type="continuationNotice" w:id="1">
    <w:p w14:paraId="527F358A" w14:textId="77777777" w:rsidR="008B5D9D" w:rsidRDefault="008B5D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3"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22"/>
  </w:num>
  <w:num w:numId="2" w16cid:durableId="2034181796">
    <w:abstractNumId w:val="14"/>
  </w:num>
  <w:num w:numId="3" w16cid:durableId="1709142625">
    <w:abstractNumId w:val="18"/>
  </w:num>
  <w:num w:numId="4" w16cid:durableId="221210230">
    <w:abstractNumId w:val="11"/>
  </w:num>
  <w:num w:numId="5" w16cid:durableId="1664696473">
    <w:abstractNumId w:val="3"/>
  </w:num>
  <w:num w:numId="6" w16cid:durableId="1508325136">
    <w:abstractNumId w:val="15"/>
  </w:num>
  <w:num w:numId="7" w16cid:durableId="8263693">
    <w:abstractNumId w:val="17"/>
  </w:num>
  <w:num w:numId="8" w16cid:durableId="1583832942">
    <w:abstractNumId w:val="9"/>
  </w:num>
  <w:num w:numId="9" w16cid:durableId="1428694578">
    <w:abstractNumId w:val="1"/>
  </w:num>
  <w:num w:numId="10" w16cid:durableId="1511872759">
    <w:abstractNumId w:val="10"/>
  </w:num>
  <w:num w:numId="11" w16cid:durableId="822039766">
    <w:abstractNumId w:val="21"/>
  </w:num>
  <w:num w:numId="12" w16cid:durableId="247429714">
    <w:abstractNumId w:val="12"/>
  </w:num>
  <w:num w:numId="13" w16cid:durableId="1460491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7"/>
  </w:num>
  <w:num w:numId="15" w16cid:durableId="677774234">
    <w:abstractNumId w:val="4"/>
  </w:num>
  <w:num w:numId="16" w16cid:durableId="1987317113">
    <w:abstractNumId w:val="19"/>
  </w:num>
  <w:num w:numId="17" w16cid:durableId="241525318">
    <w:abstractNumId w:val="13"/>
  </w:num>
  <w:num w:numId="18" w16cid:durableId="1857386195">
    <w:abstractNumId w:val="2"/>
  </w:num>
  <w:num w:numId="19" w16cid:durableId="1566797619">
    <w:abstractNumId w:val="0"/>
  </w:num>
  <w:num w:numId="20" w16cid:durableId="1399133561">
    <w:abstractNumId w:val="16"/>
  </w:num>
  <w:num w:numId="21" w16cid:durableId="1966960936">
    <w:abstractNumId w:val="6"/>
  </w:num>
  <w:num w:numId="22" w16cid:durableId="1317537287">
    <w:abstractNumId w:val="8"/>
  </w:num>
  <w:num w:numId="23" w16cid:durableId="1592280372">
    <w:abstractNumId w:val="5"/>
  </w:num>
  <w:num w:numId="24" w16cid:durableId="10632876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36E"/>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6DAC"/>
    <w:rsid w:val="00197FF0"/>
    <w:rsid w:val="001A3FCF"/>
    <w:rsid w:val="001B098B"/>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2E7"/>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2B63"/>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6CD5"/>
    <w:rsid w:val="005A165E"/>
    <w:rsid w:val="005A7558"/>
    <w:rsid w:val="005B0AFE"/>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3A66"/>
    <w:rsid w:val="007643C9"/>
    <w:rsid w:val="00770697"/>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9FF"/>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60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3D61"/>
    <w:rsid w:val="00FB42B0"/>
    <w:rsid w:val="00FB4814"/>
    <w:rsid w:val="00FB4EAE"/>
    <w:rsid w:val="00FC0A3F"/>
    <w:rsid w:val="00FC123B"/>
    <w:rsid w:val="00FC1240"/>
    <w:rsid w:val="00FC288B"/>
    <w:rsid w:val="00FC4337"/>
    <w:rsid w:val="00FC48DD"/>
    <w:rsid w:val="00FC60AC"/>
    <w:rsid w:val="00FC6C62"/>
    <w:rsid w:val="00FC72BF"/>
    <w:rsid w:val="00FC73B8"/>
    <w:rsid w:val="00FD11B6"/>
    <w:rsid w:val="00FD37F4"/>
    <w:rsid w:val="00FD75A2"/>
    <w:rsid w:val="00FE0336"/>
    <w:rsid w:val="00FE08E9"/>
    <w:rsid w:val="00FE16E2"/>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EP-1995-2022, elaborado 7dic2022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00A9F31F-1B23-43B2-84C9-B07CEE6B8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10</Pages>
  <Words>4626</Words>
  <Characters>25445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8</cp:revision>
  <cp:lastPrinted>2022-10-17T17:17:00Z</cp:lastPrinted>
  <dcterms:created xsi:type="dcterms:W3CDTF">2022-12-09T20:11:00Z</dcterms:created>
  <dcterms:modified xsi:type="dcterms:W3CDTF">2023-01-23T21:03:00Z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