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0CBA7599"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83E3191" w14:textId="3500705A" w:rsidR="00EA5C8E" w:rsidRDefault="00EA5C8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CE2FD04" w14:textId="77777777" w:rsidR="00EA5C8E" w:rsidRDefault="00EA5C8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B9EB320"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5F2796">
        <w:rPr>
          <w:rFonts w:ascii="Museo Sans 900" w:eastAsia="Times New Roman" w:hAnsi="Museo Sans 900" w:cs="Times New Roman"/>
          <w:b/>
          <w:bCs/>
          <w:sz w:val="20"/>
          <w:szCs w:val="20"/>
          <w:lang w:val="es-MX" w:eastAsia="es-ES"/>
        </w:rPr>
        <w:t>1794</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5F2796">
        <w:rPr>
          <w:rFonts w:ascii="Museo Sans 300" w:eastAsia="Times New Roman" w:hAnsi="Museo Sans 300" w:cs="Times New Roman"/>
          <w:sz w:val="20"/>
          <w:szCs w:val="20"/>
          <w:lang w:val="es-MX" w:eastAsia="es-ES"/>
        </w:rPr>
        <w:t>nueve</w:t>
      </w:r>
      <w:r w:rsidR="005F2796"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5F2796">
        <w:rPr>
          <w:rFonts w:ascii="Museo Sans 300" w:eastAsia="Times New Roman" w:hAnsi="Museo Sans 300" w:cs="Times New Roman"/>
          <w:sz w:val="20"/>
          <w:szCs w:val="20"/>
          <w:lang w:val="es-MX" w:eastAsia="es-ES"/>
        </w:rPr>
        <w:t xml:space="preserve">treinta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5F2796">
        <w:rPr>
          <w:rFonts w:ascii="Museo Sans 300" w:eastAsia="Times New Roman" w:hAnsi="Museo Sans 300" w:cs="Times New Roman"/>
          <w:sz w:val="20"/>
          <w:szCs w:val="20"/>
          <w:lang w:val="es-MX" w:eastAsia="es-ES"/>
        </w:rPr>
        <w:t xml:space="preserve">veintiuno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5F2796">
        <w:rPr>
          <w:rFonts w:ascii="Museo Sans 300" w:eastAsia="Times New Roman" w:hAnsi="Museo Sans 300" w:cs="Times New Roman"/>
          <w:sz w:val="20"/>
          <w:szCs w:val="20"/>
          <w:lang w:val="es-MX" w:eastAsia="es-ES"/>
        </w:rPr>
        <w:t>septiembre</w:t>
      </w:r>
      <w:r w:rsidR="005F2796"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1969B351"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D2029C">
        <w:rPr>
          <w:rFonts w:ascii="Museo Sans 300" w:hAnsi="Museo Sans 300"/>
          <w:sz w:val="20"/>
          <w:szCs w:val="20"/>
        </w:rPr>
        <w:t>catorce de diciem</w:t>
      </w:r>
      <w:r w:rsidR="003A1C56" w:rsidRPr="004445AB">
        <w:rPr>
          <w:rFonts w:ascii="Museo Sans 300" w:hAnsi="Museo Sans 300"/>
          <w:sz w:val="20"/>
          <w:szCs w:val="20"/>
        </w:rPr>
        <w:t>bre</w:t>
      </w:r>
      <w:r w:rsidR="002245F5" w:rsidRPr="004445AB">
        <w:rPr>
          <w:rFonts w:ascii="Museo Sans 300" w:hAnsi="Museo Sans 300"/>
          <w:sz w:val="20"/>
          <w:szCs w:val="20"/>
        </w:rPr>
        <w:t xml:space="preserve"> 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6725E1">
        <w:rPr>
          <w:rStyle w:val="normaltextrun"/>
          <w:rFonts w:ascii="Museo Sans 300" w:hAnsi="Museo Sans 300"/>
          <w:color w:val="000000"/>
          <w:sz w:val="20"/>
          <w:szCs w:val="20"/>
          <w:shd w:val="clear" w:color="auto" w:fill="FFFFFF"/>
        </w:rPr>
        <w:t>XXX</w:t>
      </w:r>
      <w:r w:rsidR="00741F23" w:rsidRPr="004445AB">
        <w:rPr>
          <w:rStyle w:val="normaltextrun"/>
          <w:rFonts w:ascii="Museo Sans 300" w:hAnsi="Museo Sans 300"/>
          <w:color w:val="000000"/>
          <w:sz w:val="20"/>
          <w:szCs w:val="20"/>
          <w:shd w:val="clear" w:color="auto" w:fill="FFFFFF"/>
        </w:rPr>
        <w:t>,</w:t>
      </w:r>
      <w:r w:rsidR="00BA28A1" w:rsidRPr="004445AB">
        <w:rPr>
          <w:rStyle w:val="normaltextrun"/>
          <w:rFonts w:ascii="Museo Sans 300" w:hAnsi="Museo Sans 300"/>
          <w:color w:val="000000"/>
          <w:sz w:val="20"/>
          <w:szCs w:val="20"/>
        </w:rPr>
        <w:t xml:space="preserve"> usuaria del suministro identificado con el NIC</w:t>
      </w:r>
      <w:r w:rsidR="00C7493F">
        <w:rPr>
          <w:rStyle w:val="normaltextrun"/>
          <w:rFonts w:ascii="Museo Sans 300" w:hAnsi="Museo Sans 300"/>
          <w:color w:val="000000"/>
          <w:sz w:val="20"/>
          <w:szCs w:val="20"/>
        </w:rPr>
        <w:t xml:space="preserve"> </w:t>
      </w:r>
      <w:r w:rsidR="006725E1">
        <w:rPr>
          <w:rStyle w:val="normaltextrun"/>
          <w:rFonts w:ascii="Museo Sans 300" w:hAnsi="Museo Sans 300"/>
          <w:color w:val="000000"/>
          <w:sz w:val="20"/>
          <w:szCs w:val="20"/>
        </w:rPr>
        <w:t>XXX</w:t>
      </w:r>
      <w:r w:rsidR="00BA28A1" w:rsidRPr="004445AB">
        <w:rPr>
          <w:rStyle w:val="normaltextrun"/>
          <w:rFonts w:ascii="Museo Sans 300" w:hAnsi="Museo Sans 300"/>
          <w:color w:val="000000"/>
          <w:sz w:val="20"/>
          <w:szCs w:val="20"/>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D2029C">
        <w:rPr>
          <w:rFonts w:ascii="Museo Sans 300" w:hAnsi="Museo Sans 300"/>
          <w:sz w:val="20"/>
          <w:szCs w:val="20"/>
        </w:rPr>
        <w:t>MIL SEISCIENTOS SESENTA Y NUEVE 18/100 DÓLARES DE LOS ESTADOS UNIDOS DE AMÉRICA (USD 1,669.18)</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4445AB">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75BE2A0"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919E9">
        <w:rPr>
          <w:rFonts w:ascii="Museo Sans 300" w:hAnsi="Museo Sans 300"/>
          <w:sz w:val="20"/>
          <w:szCs w:val="20"/>
          <w:lang w:val="es-SV"/>
        </w:rPr>
        <w:t>0078-2022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252FC">
        <w:rPr>
          <w:rFonts w:ascii="Museo Sans 300" w:hAnsi="Museo Sans 300"/>
          <w:sz w:val="20"/>
          <w:szCs w:val="20"/>
          <w:lang w:val="es-SV"/>
        </w:rPr>
        <w:t>dieci</w:t>
      </w:r>
      <w:r w:rsidR="00B919E9">
        <w:rPr>
          <w:rFonts w:ascii="Museo Sans 300" w:hAnsi="Museo Sans 300"/>
          <w:sz w:val="20"/>
          <w:szCs w:val="20"/>
          <w:lang w:val="es-SV"/>
        </w:rPr>
        <w:t>siete de enero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4F709C4A"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B919E9">
        <w:rPr>
          <w:rFonts w:ascii="Museo Sans 300" w:hAnsi="Museo Sans 300"/>
          <w:sz w:val="20"/>
          <w:szCs w:val="20"/>
        </w:rPr>
        <w:t xml:space="preserve"> distribuidora y a la usuaria los días veinte y veintiuno </w:t>
      </w:r>
      <w:r w:rsidR="001678E5">
        <w:rPr>
          <w:rFonts w:ascii="Museo Sans 300" w:hAnsi="Museo Sans 300"/>
          <w:sz w:val="20"/>
          <w:szCs w:val="20"/>
        </w:rPr>
        <w:t>del mismo</w:t>
      </w:r>
      <w:r w:rsidR="7D7DEF8F" w:rsidRPr="4F3569FC">
        <w:rPr>
          <w:rFonts w:ascii="Museo Sans 300" w:hAnsi="Museo Sans 300"/>
          <w:sz w:val="20"/>
          <w:szCs w:val="20"/>
        </w:rPr>
        <w:t xml:space="preserve"> </w:t>
      </w:r>
      <w:r w:rsidR="00B919E9">
        <w:rPr>
          <w:rFonts w:ascii="Museo Sans 300" w:hAnsi="Museo Sans 300"/>
          <w:sz w:val="20"/>
          <w:szCs w:val="20"/>
        </w:rPr>
        <w:t xml:space="preserve">mes y </w:t>
      </w:r>
      <w:r w:rsidR="7D7DEF8F" w:rsidRPr="4F3569FC">
        <w:rPr>
          <w:rFonts w:ascii="Museo Sans 300" w:hAnsi="Museo Sans 300"/>
          <w:sz w:val="20"/>
          <w:szCs w:val="20"/>
        </w:rPr>
        <w:t>año</w:t>
      </w:r>
      <w:r w:rsidRPr="4F3569FC">
        <w:rPr>
          <w:rFonts w:ascii="Museo Sans 300" w:hAnsi="Museo Sans 300"/>
          <w:sz w:val="20"/>
          <w:szCs w:val="20"/>
        </w:rPr>
        <w:t>,</w:t>
      </w:r>
      <w:r w:rsidR="00B919E9">
        <w:rPr>
          <w:rFonts w:ascii="Museo Sans 300" w:hAnsi="Museo Sans 300"/>
          <w:sz w:val="20"/>
          <w:szCs w:val="20"/>
        </w:rPr>
        <w:t xml:space="preserve"> respectivamente,</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B919E9">
        <w:rPr>
          <w:rFonts w:ascii="Museo Sans 300" w:hAnsi="Museo Sans 300"/>
          <w:sz w:val="20"/>
          <w:szCs w:val="20"/>
        </w:rPr>
        <w:t>tres de febrero de este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024A595"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666A71">
        <w:rPr>
          <w:rFonts w:ascii="Museo Sans 300" w:hAnsi="Museo Sans 300"/>
          <w:sz w:val="20"/>
          <w:szCs w:val="20"/>
          <w:lang w:val="es-SV"/>
        </w:rPr>
        <w:t>tres de febrero de este año</w:t>
      </w:r>
      <w:r w:rsidRPr="006B3E15">
        <w:rPr>
          <w:rFonts w:ascii="Museo Sans 300" w:hAnsi="Museo Sans 300"/>
          <w:sz w:val="20"/>
          <w:szCs w:val="20"/>
          <w:lang w:val="es-SV"/>
        </w:rPr>
        <w:t>, el ingeniero</w:t>
      </w:r>
      <w:r w:rsidR="006725E1">
        <w:rPr>
          <w:rFonts w:ascii="Museo Sans 300" w:hAnsi="Museo Sans 300"/>
          <w:sz w:val="20"/>
          <w:szCs w:val="20"/>
          <w:lang w:val="es-SV"/>
        </w:rPr>
        <w:t xml:space="preserve"> 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666A71">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396CD0E0" w14:textId="56FD32E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C21728">
        <w:rPr>
          <w:rFonts w:ascii="Museo Sans 300" w:eastAsia="Arial" w:hAnsi="Museo Sans 300"/>
          <w:sz w:val="20"/>
          <w:szCs w:val="20"/>
          <w:lang w:eastAsia="es-SV"/>
        </w:rPr>
        <w:t>9</w:t>
      </w:r>
      <w:r w:rsidR="00FA3CAB">
        <w:rPr>
          <w:rFonts w:ascii="Museo Sans 300" w:eastAsia="Arial" w:hAnsi="Museo Sans 300"/>
          <w:sz w:val="20"/>
          <w:szCs w:val="20"/>
          <w:lang w:eastAsia="es-SV"/>
        </w:rPr>
        <w:t>6</w:t>
      </w:r>
      <w:r w:rsidR="00666A71">
        <w:rPr>
          <w:rFonts w:ascii="Museo Sans 300" w:eastAsia="Arial" w:hAnsi="Museo Sans 300"/>
          <w:sz w:val="20"/>
          <w:szCs w:val="20"/>
          <w:lang w:eastAsia="es-SV"/>
        </w:rPr>
        <w:t>5238</w:t>
      </w:r>
      <w:r w:rsidR="00383936">
        <w:rPr>
          <w:rFonts w:ascii="Museo Sans 300" w:eastAsia="Arial" w:hAnsi="Museo Sans 300"/>
          <w:sz w:val="20"/>
          <w:szCs w:val="20"/>
          <w:lang w:eastAsia="es-SV"/>
        </w:rPr>
        <w:t>27</w:t>
      </w:r>
      <w:r w:rsidRPr="00A36EB4">
        <w:rPr>
          <w:rFonts w:ascii="Museo Sans 300" w:eastAsia="Arial" w:hAnsi="Museo Sans 300"/>
          <w:sz w:val="20"/>
          <w:szCs w:val="20"/>
          <w:lang w:eastAsia="es-SV"/>
        </w:rPr>
        <w:t>.</w:t>
      </w:r>
    </w:p>
    <w:p w14:paraId="1E95E8C9" w14:textId="507DAD9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La</w:t>
      </w:r>
      <w:r w:rsidR="00A605C6" w:rsidRPr="03C6DB0D">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A605C6">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A605C6">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383936" w:rsidRPr="00383936">
        <w:rPr>
          <w:rFonts w:ascii="Museo Sans 300" w:eastAsia="Arial" w:hAnsi="Museo Sans 300"/>
          <w:sz w:val="20"/>
          <w:szCs w:val="20"/>
          <w:lang w:eastAsia="es-SV"/>
        </w:rPr>
        <w:t>20276297, 20309853, 20331062, 20351740, 20352821 y 20366318.</w:t>
      </w:r>
    </w:p>
    <w:p w14:paraId="78101E77" w14:textId="36705D7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Acta</w:t>
      </w:r>
      <w:r w:rsidRPr="00A36EB4">
        <w:rPr>
          <w:rFonts w:ascii="Museo Sans 300" w:eastAsia="Arial" w:hAnsi="Museo Sans 300"/>
          <w:sz w:val="20"/>
          <w:szCs w:val="20"/>
          <w:lang w:eastAsia="es-SV"/>
        </w:rPr>
        <w:t xml:space="preserve"> de inspección de condiciones irregulares bajo la orden </w:t>
      </w:r>
      <w:r w:rsidR="00383936" w:rsidRPr="00383936">
        <w:rPr>
          <w:rFonts w:ascii="Museo Sans 300" w:eastAsia="Arial" w:hAnsi="Museo Sans 300"/>
          <w:sz w:val="20"/>
          <w:szCs w:val="20"/>
          <w:lang w:eastAsia="es-SV"/>
        </w:rPr>
        <w:t>20352821</w:t>
      </w:r>
      <w:r w:rsidRPr="00A36EB4">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52544B2F"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lastRenderedPageBreak/>
        <w:t>Mediante memorando con referencia N.° M-</w:t>
      </w:r>
      <w:r w:rsidRPr="00653314">
        <w:rPr>
          <w:rFonts w:ascii="Museo Sans 300" w:hAnsi="Museo Sans 300"/>
          <w:sz w:val="20"/>
          <w:szCs w:val="20"/>
          <w:lang w:eastAsia="es-SV"/>
        </w:rPr>
        <w:t>0</w:t>
      </w:r>
      <w:r w:rsidR="00AD0B2E">
        <w:rPr>
          <w:rFonts w:ascii="Museo Sans 300" w:hAnsi="Museo Sans 300"/>
          <w:sz w:val="20"/>
          <w:szCs w:val="20"/>
          <w:lang w:eastAsia="es-SV"/>
        </w:rPr>
        <w:t>100</w:t>
      </w:r>
      <w:r w:rsidRPr="00653314">
        <w:rPr>
          <w:rFonts w:ascii="Museo Sans 300" w:hAnsi="Museo Sans 300"/>
          <w:sz w:val="20"/>
          <w:szCs w:val="20"/>
          <w:lang w:eastAsia="es-SV"/>
        </w:rPr>
        <w:t>-CAU-2</w:t>
      </w:r>
      <w:r w:rsidR="00AD0B2E">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AD0B2E">
        <w:rPr>
          <w:rFonts w:ascii="Museo Sans 300" w:hAnsi="Museo Sans 300"/>
          <w:sz w:val="20"/>
          <w:szCs w:val="20"/>
          <w:lang w:eastAsia="es-SV"/>
        </w:rPr>
        <w:t>cuatro de febrero del presente año</w:t>
      </w:r>
      <w:r w:rsidRPr="00653314">
        <w:rPr>
          <w:rFonts w:ascii="Museo Sans 300" w:hAnsi="Museo Sans 300"/>
          <w:sz w:val="20"/>
          <w:szCs w:val="20"/>
          <w:lang w:eastAsia="es-SV"/>
        </w:rPr>
        <w:t>, el CAU informó que elaboraría el informe técnico correspondiente.</w:t>
      </w:r>
    </w:p>
    <w:p w14:paraId="5868E52A" w14:textId="1D5A9141" w:rsidR="009E284D" w:rsidRDefault="009E284D"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0FC73466"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D37B05">
        <w:rPr>
          <w:rFonts w:ascii="Museo Sans 300" w:hAnsi="Museo Sans 300"/>
          <w:sz w:val="20"/>
          <w:szCs w:val="20"/>
        </w:rPr>
        <w:t>360</w:t>
      </w:r>
      <w:r w:rsidR="009A0B79">
        <w:rPr>
          <w:rFonts w:ascii="Museo Sans 300" w:hAnsi="Museo Sans 300"/>
          <w:sz w:val="20"/>
          <w:szCs w:val="20"/>
        </w:rPr>
        <w:t>-2022</w:t>
      </w:r>
      <w:r w:rsidRPr="70478C62">
        <w:rPr>
          <w:rFonts w:ascii="Museo Sans 300" w:hAnsi="Museo Sans 300"/>
          <w:sz w:val="20"/>
          <w:szCs w:val="20"/>
        </w:rPr>
        <w:t xml:space="preserve">-CAU de fecha </w:t>
      </w:r>
      <w:r w:rsidR="00D37B05">
        <w:rPr>
          <w:rFonts w:ascii="Museo Sans 300" w:hAnsi="Museo Sans 300"/>
          <w:sz w:val="20"/>
          <w:szCs w:val="20"/>
        </w:rPr>
        <w:t>veintidós de febr</w:t>
      </w:r>
      <w:r w:rsidR="009A0B79">
        <w:rPr>
          <w:rFonts w:ascii="Museo Sans 300" w:hAnsi="Museo Sans 300"/>
          <w:sz w:val="20"/>
          <w:szCs w:val="20"/>
        </w:rPr>
        <w:t>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0A33BFF" w14:textId="225C51EE" w:rsidR="009D3978" w:rsidRDefault="00D9648C" w:rsidP="009D3978">
      <w:pPr>
        <w:pStyle w:val="Prrafodelista"/>
        <w:tabs>
          <w:tab w:val="left" w:pos="426"/>
        </w:tabs>
        <w:ind w:left="426"/>
        <w:jc w:val="both"/>
        <w:rPr>
          <w:rFonts w:ascii="Museo Sans 300" w:hAnsi="Museo Sans 300"/>
          <w:sz w:val="20"/>
          <w:szCs w:val="20"/>
          <w:lang w:val="es-SV"/>
        </w:rPr>
      </w:pPr>
      <w:r w:rsidRPr="00105623">
        <w:rPr>
          <w:rFonts w:ascii="Museo Sans 300" w:hAnsi="Museo Sans 300"/>
          <w:sz w:val="20"/>
          <w:szCs w:val="20"/>
        </w:rPr>
        <w:t xml:space="preserve">El mencionado acuerdo fue notificado </w:t>
      </w:r>
      <w:r w:rsidR="009D3978">
        <w:rPr>
          <w:rFonts w:ascii="Museo Sans 300" w:hAnsi="Museo Sans 300" w:cs="Arial"/>
          <w:sz w:val="20"/>
          <w:szCs w:val="20"/>
        </w:rPr>
        <w:t xml:space="preserve">a la distribuidora y </w:t>
      </w:r>
      <w:r w:rsidR="009D3978" w:rsidRPr="00A20C07">
        <w:rPr>
          <w:rFonts w:ascii="Museo Sans 300" w:hAnsi="Museo Sans 300" w:cs="Arial"/>
          <w:sz w:val="20"/>
          <w:szCs w:val="20"/>
        </w:rPr>
        <w:t>a la</w:t>
      </w:r>
      <w:r w:rsidR="009D3978">
        <w:rPr>
          <w:rFonts w:ascii="Museo Sans 300" w:hAnsi="Museo Sans 300" w:cs="Arial"/>
          <w:sz w:val="20"/>
          <w:szCs w:val="20"/>
        </w:rPr>
        <w:t xml:space="preserve"> usuaria </w:t>
      </w:r>
      <w:r w:rsidR="009D3978" w:rsidRPr="00B428B3">
        <w:rPr>
          <w:rFonts w:ascii="Museo Sans 300" w:hAnsi="Museo Sans 300" w:cs="Arial"/>
          <w:sz w:val="20"/>
          <w:szCs w:val="20"/>
          <w:lang w:val="es-ES_tradnl"/>
        </w:rPr>
        <w:t xml:space="preserve">los días </w:t>
      </w:r>
      <w:r w:rsidR="009D3978">
        <w:rPr>
          <w:rFonts w:ascii="Museo Sans 300" w:hAnsi="Museo Sans 300" w:cs="Arial"/>
          <w:sz w:val="20"/>
          <w:szCs w:val="20"/>
          <w:lang w:val="es-ES_tradnl"/>
        </w:rPr>
        <w:t xml:space="preserve">veinticinco y veintiocho </w:t>
      </w:r>
      <w:r w:rsidR="009D3978" w:rsidRPr="00B428B3">
        <w:rPr>
          <w:rFonts w:ascii="Museo Sans 300" w:hAnsi="Museo Sans 300" w:cs="Arial"/>
          <w:sz w:val="20"/>
          <w:szCs w:val="20"/>
          <w:lang w:val="es-ES_tradnl"/>
        </w:rPr>
        <w:t>del mismo mes y año, respectivamente,</w:t>
      </w:r>
      <w:r w:rsidR="009D3978" w:rsidRPr="00B428B3">
        <w:rPr>
          <w:rFonts w:ascii="Museo Sans 300" w:hAnsi="Museo Sans 300" w:cs="Arial"/>
          <w:sz w:val="20"/>
          <w:szCs w:val="20"/>
        </w:rPr>
        <w:t xml:space="preserve"> por lo que el plazo finalizó, en el mismo orden, los días </w:t>
      </w:r>
      <w:r w:rsidR="009D3978">
        <w:rPr>
          <w:rFonts w:ascii="Museo Sans 300" w:hAnsi="Museo Sans 300" w:cs="Arial"/>
          <w:sz w:val="20"/>
          <w:szCs w:val="20"/>
          <w:lang w:val="es-ES_tradnl"/>
        </w:rPr>
        <w:t xml:space="preserve">veinticinco y veintiocho de marzo </w:t>
      </w:r>
      <w:r w:rsidR="009D3978">
        <w:rPr>
          <w:rStyle w:val="normaltextrun"/>
          <w:rFonts w:ascii="Museo Sans 300" w:eastAsia="Museo Sans" w:hAnsi="Museo Sans 300" w:cs="Segoe UI"/>
          <w:sz w:val="20"/>
          <w:szCs w:val="20"/>
        </w:rPr>
        <w:t>de este año.</w:t>
      </w:r>
      <w:r w:rsidR="009D3978" w:rsidRPr="24487779">
        <w:rPr>
          <w:rStyle w:val="normaltextrun"/>
          <w:rFonts w:ascii="Museo Sans 300" w:eastAsia="Museo Sans" w:hAnsi="Museo Sans 300" w:cs="Segoe UI"/>
          <w:sz w:val="20"/>
          <w:szCs w:val="20"/>
        </w:rPr>
        <w:t xml:space="preserve">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70456962"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9F147A">
        <w:rPr>
          <w:rFonts w:ascii="Museo Sans 300" w:hAnsi="Museo Sans 300"/>
          <w:sz w:val="20"/>
          <w:szCs w:val="20"/>
        </w:rPr>
        <w:t>veinti</w:t>
      </w:r>
      <w:r w:rsidR="009D3978">
        <w:rPr>
          <w:rFonts w:ascii="Museo Sans 300" w:hAnsi="Museo Sans 300"/>
          <w:sz w:val="20"/>
          <w:szCs w:val="20"/>
        </w:rPr>
        <w:t>uno 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CF85A46"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D51EA">
        <w:rPr>
          <w:rFonts w:ascii="Museo Sans 300" w:hAnsi="Museo Sans 300"/>
          <w:sz w:val="20"/>
          <w:szCs w:val="20"/>
          <w:lang w:val="es-SV"/>
        </w:rPr>
        <w:t>E-0714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D51EA">
        <w:rPr>
          <w:rFonts w:ascii="Museo Sans 300" w:hAnsi="Museo Sans 300"/>
          <w:sz w:val="20"/>
          <w:szCs w:val="20"/>
          <w:lang w:val="es-SV"/>
        </w:rPr>
        <w:t>seis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6725E1">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B4C6180"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FD51EA">
        <w:rPr>
          <w:rFonts w:ascii="Museo Sans 300" w:hAnsi="Museo Sans 300"/>
          <w:sz w:val="20"/>
          <w:szCs w:val="20"/>
          <w:lang w:val="es-SV"/>
        </w:rPr>
        <w:t>veinte</w:t>
      </w:r>
      <w:r w:rsidR="00CC1FA1">
        <w:rPr>
          <w:rFonts w:ascii="Museo Sans 300" w:hAnsi="Museo Sans 300"/>
          <w:sz w:val="20"/>
          <w:szCs w:val="20"/>
          <w:lang w:val="es-SV"/>
        </w:rPr>
        <w:t xml:space="preserve"> </w:t>
      </w:r>
      <w:r w:rsidR="009F147A">
        <w:rPr>
          <w:rFonts w:ascii="Museo Sans 300" w:hAnsi="Museo Sans 300"/>
          <w:sz w:val="20"/>
          <w:szCs w:val="20"/>
          <w:lang w:val="es-SV"/>
        </w:rPr>
        <w:t xml:space="preserve">y veintiuno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785F9ACF" w14:textId="4600E4FD" w:rsidR="00602875" w:rsidRPr="00602875" w:rsidRDefault="00FD51EA" w:rsidP="00602875">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 </w:t>
      </w:r>
    </w:p>
    <w:p w14:paraId="06C2EC51" w14:textId="7050BCD0" w:rsidR="00602875" w:rsidRPr="00602875" w:rsidRDefault="00602875" w:rsidP="00602875">
      <w:pPr>
        <w:pStyle w:val="Prrafodelista"/>
        <w:tabs>
          <w:tab w:val="left" w:pos="426"/>
        </w:tabs>
        <w:ind w:left="426"/>
        <w:jc w:val="both"/>
        <w:rPr>
          <w:rFonts w:ascii="Museo Sans 300" w:hAnsi="Museo Sans 300"/>
          <w:sz w:val="20"/>
          <w:szCs w:val="20"/>
        </w:rPr>
      </w:pPr>
      <w:r w:rsidRPr="00602875">
        <w:rPr>
          <w:rFonts w:ascii="Museo Sans 300" w:hAnsi="Museo Sans 300"/>
          <w:sz w:val="20"/>
          <w:szCs w:val="20"/>
        </w:rPr>
        <w:t xml:space="preserve">El día </w:t>
      </w:r>
      <w:r w:rsidR="009745D1">
        <w:rPr>
          <w:rFonts w:ascii="Museo Sans 300" w:hAnsi="Museo Sans 300"/>
          <w:sz w:val="20"/>
          <w:szCs w:val="20"/>
        </w:rPr>
        <w:t>dieciocho de mayo</w:t>
      </w:r>
      <w:r w:rsidRPr="00602875">
        <w:rPr>
          <w:rFonts w:ascii="Museo Sans 300" w:hAnsi="Museo Sans 300"/>
          <w:sz w:val="20"/>
          <w:szCs w:val="20"/>
        </w:rPr>
        <w:t xml:space="preserve"> del presente año, el CAU remitió el memorando N.° M-0</w:t>
      </w:r>
      <w:r w:rsidR="009745D1">
        <w:rPr>
          <w:rFonts w:ascii="Museo Sans 300" w:hAnsi="Museo Sans 300"/>
          <w:sz w:val="20"/>
          <w:szCs w:val="20"/>
        </w:rPr>
        <w:t>466</w:t>
      </w:r>
      <w:r w:rsidRPr="00602875">
        <w:rPr>
          <w:rFonts w:ascii="Museo Sans 300" w:hAnsi="Museo Sans 300"/>
          <w:sz w:val="20"/>
          <w:szCs w:val="20"/>
        </w:rPr>
        <w:t xml:space="preserve">-CAU-22, en el cual solicitó que se le conceda prórroga para rendir el informe técnico requerido en el acuerdo N.° </w:t>
      </w:r>
      <w:r w:rsidR="00FD51EA">
        <w:rPr>
          <w:rFonts w:ascii="Museo Sans 300" w:hAnsi="Museo Sans 300"/>
          <w:sz w:val="20"/>
          <w:szCs w:val="20"/>
        </w:rPr>
        <w:t>E-0714</w:t>
      </w:r>
      <w:r w:rsidRPr="00602875">
        <w:rPr>
          <w:rFonts w:ascii="Museo Sans 300" w:hAnsi="Museo Sans 300"/>
          <w:sz w:val="20"/>
          <w:szCs w:val="20"/>
        </w:rPr>
        <w:t>-2022-CAU, por la razón siguiente: </w:t>
      </w:r>
    </w:p>
    <w:p w14:paraId="7EF08F4D" w14:textId="77777777" w:rsidR="00602875" w:rsidRPr="00602875" w:rsidRDefault="00602875" w:rsidP="00602875">
      <w:pPr>
        <w:suppressAutoHyphens w:val="0"/>
        <w:autoSpaceDN/>
        <w:spacing w:after="0" w:line="240" w:lineRule="auto"/>
        <w:ind w:left="420" w:right="135"/>
        <w:jc w:val="both"/>
        <w:rPr>
          <w:rFonts w:ascii="Segoe UI" w:eastAsia="Times New Roman" w:hAnsi="Segoe UI" w:cs="Segoe UI"/>
          <w:sz w:val="20"/>
          <w:szCs w:val="20"/>
          <w:lang w:eastAsia="es-SV"/>
        </w:rPr>
      </w:pPr>
      <w:r w:rsidRPr="00602875">
        <w:rPr>
          <w:rFonts w:ascii="Museo Sans 300" w:eastAsia="Times New Roman" w:hAnsi="Museo Sans 300" w:cs="Segoe UI"/>
          <w:color w:val="000000"/>
          <w:sz w:val="20"/>
          <w:szCs w:val="20"/>
          <w:lang w:eastAsia="es-SV"/>
        </w:rPr>
        <w:t> </w:t>
      </w:r>
    </w:p>
    <w:p w14:paraId="6DB67FCC" w14:textId="77777777" w:rsidR="00602875" w:rsidRPr="00602875" w:rsidRDefault="00602875" w:rsidP="00602875">
      <w:pPr>
        <w:suppressAutoHyphens w:val="0"/>
        <w:autoSpaceDN/>
        <w:spacing w:after="0" w:line="240" w:lineRule="auto"/>
        <w:ind w:left="840" w:right="555"/>
        <w:jc w:val="both"/>
        <w:rPr>
          <w:rFonts w:ascii="Segoe UI" w:eastAsia="Times New Roman" w:hAnsi="Segoe UI" w:cs="Segoe UI"/>
          <w:sz w:val="20"/>
          <w:szCs w:val="20"/>
          <w:lang w:eastAsia="es-SV"/>
        </w:rPr>
      </w:pPr>
      <w:r w:rsidRPr="00602875">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602875">
        <w:rPr>
          <w:rFonts w:ascii="Museo Sans 300" w:eastAsia="Times New Roman" w:hAnsi="Museo Sans 300" w:cs="Segoe UI"/>
          <w:sz w:val="16"/>
          <w:szCs w:val="16"/>
          <w:lang w:eastAsia="es-SV"/>
        </w:rPr>
        <w:t> </w:t>
      </w:r>
    </w:p>
    <w:p w14:paraId="76785272" w14:textId="77777777" w:rsidR="00602875" w:rsidRDefault="00602875" w:rsidP="00602875">
      <w:pPr>
        <w:suppressAutoHyphens w:val="0"/>
        <w:autoSpaceDN/>
        <w:spacing w:after="0" w:line="240" w:lineRule="auto"/>
        <w:ind w:left="420" w:right="135"/>
        <w:jc w:val="both"/>
        <w:rPr>
          <w:rFonts w:ascii="Museo Sans 300" w:eastAsia="Times New Roman" w:hAnsi="Museo Sans 300" w:cs="Segoe UI"/>
          <w:color w:val="000000"/>
          <w:sz w:val="20"/>
          <w:szCs w:val="20"/>
          <w:shd w:val="clear" w:color="auto" w:fill="FFFFFF"/>
          <w:lang w:val="es-ES" w:eastAsia="es-SV"/>
        </w:rPr>
      </w:pPr>
    </w:p>
    <w:p w14:paraId="249E803B" w14:textId="6A8486EE" w:rsidR="00602875" w:rsidRPr="00602875" w:rsidRDefault="00602875" w:rsidP="00FD51EA">
      <w:pPr>
        <w:pStyle w:val="Prrafodelista"/>
        <w:tabs>
          <w:tab w:val="left" w:pos="426"/>
        </w:tabs>
        <w:ind w:left="426"/>
        <w:jc w:val="both"/>
        <w:rPr>
          <w:rFonts w:ascii="Segoe UI" w:hAnsi="Segoe UI" w:cs="Segoe UI"/>
          <w:sz w:val="20"/>
          <w:szCs w:val="20"/>
          <w:lang w:eastAsia="es-SV"/>
        </w:rPr>
      </w:pPr>
      <w:r w:rsidRPr="00602875">
        <w:rPr>
          <w:rFonts w:ascii="Museo Sans 300" w:hAnsi="Museo Sans 300"/>
          <w:sz w:val="20"/>
          <w:szCs w:val="20"/>
        </w:rPr>
        <w:t>Por medio del acuerdo N.° E-</w:t>
      </w:r>
      <w:r w:rsidR="009745D1">
        <w:rPr>
          <w:rFonts w:ascii="Museo Sans 300" w:hAnsi="Museo Sans 300"/>
          <w:sz w:val="20"/>
          <w:szCs w:val="20"/>
        </w:rPr>
        <w:t>1103</w:t>
      </w:r>
      <w:r w:rsidRPr="00602875">
        <w:rPr>
          <w:rFonts w:ascii="Museo Sans 300" w:hAnsi="Museo Sans 300"/>
          <w:sz w:val="20"/>
          <w:szCs w:val="20"/>
        </w:rPr>
        <w:t xml:space="preserve">-2022-CAU de fecha dos de </w:t>
      </w:r>
      <w:r w:rsidR="009745D1">
        <w:rPr>
          <w:rFonts w:ascii="Museo Sans 300" w:hAnsi="Museo Sans 300"/>
          <w:sz w:val="20"/>
          <w:szCs w:val="20"/>
        </w:rPr>
        <w:t>juni</w:t>
      </w:r>
      <w:r w:rsidRPr="00602875">
        <w:rPr>
          <w:rFonts w:ascii="Museo Sans 300" w:hAnsi="Museo Sans 300"/>
          <w:sz w:val="20"/>
          <w:szCs w:val="20"/>
        </w:rPr>
        <w:t xml:space="preserve">o de este año, se </w:t>
      </w:r>
      <w:r w:rsidRPr="00602875">
        <w:rPr>
          <w:rFonts w:ascii="Museo Sans 300" w:hAnsi="Museo Sans 300" w:cs="Segoe UI"/>
          <w:sz w:val="20"/>
          <w:szCs w:val="20"/>
          <w:lang w:eastAsia="es-SV"/>
        </w:rPr>
        <w:t xml:space="preserve">prorrogó el plazo para que el CAU rindiera el informe técnico requerido en el acuerdo N.° </w:t>
      </w:r>
      <w:r w:rsidR="00FD51EA">
        <w:rPr>
          <w:rFonts w:ascii="Museo Sans 300" w:hAnsi="Museo Sans 300" w:cs="Segoe UI"/>
          <w:color w:val="000000"/>
          <w:sz w:val="20"/>
          <w:szCs w:val="20"/>
          <w:shd w:val="clear" w:color="auto" w:fill="FFFFFF"/>
          <w:lang w:eastAsia="es-SV"/>
        </w:rPr>
        <w:t>E-0714</w:t>
      </w:r>
      <w:r w:rsidRPr="00602875">
        <w:rPr>
          <w:rFonts w:ascii="Museo Sans 300" w:hAnsi="Museo Sans 300" w:cs="Segoe UI"/>
          <w:color w:val="000000"/>
          <w:sz w:val="20"/>
          <w:szCs w:val="20"/>
          <w:shd w:val="clear" w:color="auto" w:fill="FFFFFF"/>
          <w:lang w:eastAsia="es-SV"/>
        </w:rPr>
        <w:t>-2022</w:t>
      </w:r>
      <w:r w:rsidRPr="00602875">
        <w:rPr>
          <w:rFonts w:ascii="Museo Sans 300" w:hAnsi="Museo Sans 300" w:cs="Segoe UI"/>
          <w:sz w:val="20"/>
          <w:szCs w:val="20"/>
          <w:lang w:eastAsia="es-SV"/>
        </w:rPr>
        <w:t>-CAU. </w:t>
      </w:r>
    </w:p>
    <w:p w14:paraId="6FAA17A5" w14:textId="77777777" w:rsidR="00602875" w:rsidRPr="00602875" w:rsidRDefault="00602875" w:rsidP="00602875">
      <w:pPr>
        <w:suppressAutoHyphens w:val="0"/>
        <w:autoSpaceDN/>
        <w:spacing w:after="0" w:line="240" w:lineRule="auto"/>
        <w:ind w:left="420" w:right="135"/>
        <w:jc w:val="both"/>
        <w:rPr>
          <w:rFonts w:ascii="Segoe UI" w:eastAsia="Times New Roman" w:hAnsi="Segoe UI" w:cs="Segoe UI"/>
          <w:sz w:val="20"/>
          <w:szCs w:val="20"/>
          <w:lang w:eastAsia="es-SV"/>
        </w:rPr>
      </w:pPr>
      <w:r w:rsidRPr="00602875">
        <w:rPr>
          <w:rFonts w:ascii="Museo Sans 300" w:eastAsia="Times New Roman" w:hAnsi="Museo Sans 300" w:cs="Segoe UI"/>
          <w:sz w:val="20"/>
          <w:szCs w:val="20"/>
          <w:lang w:eastAsia="es-SV"/>
        </w:rPr>
        <w:t> </w:t>
      </w:r>
    </w:p>
    <w:p w14:paraId="6B5A0854" w14:textId="40873079" w:rsidR="00602875" w:rsidRPr="00602875" w:rsidRDefault="00F27352" w:rsidP="00602875">
      <w:pPr>
        <w:suppressAutoHyphens w:val="0"/>
        <w:autoSpaceDN/>
        <w:spacing w:after="0" w:line="240" w:lineRule="auto"/>
        <w:ind w:left="420" w:right="135"/>
        <w:jc w:val="both"/>
        <w:rPr>
          <w:rFonts w:ascii="Segoe UI" w:eastAsia="Times New Roman" w:hAnsi="Segoe UI" w:cs="Segoe UI"/>
          <w:sz w:val="20"/>
          <w:szCs w:val="20"/>
          <w:lang w:eastAsia="es-SV"/>
        </w:rPr>
      </w:pPr>
      <w:r>
        <w:rPr>
          <w:rFonts w:ascii="Museo Sans 300" w:eastAsia="Times New Roman" w:hAnsi="Museo Sans 300" w:cs="Segoe UI"/>
          <w:sz w:val="20"/>
          <w:szCs w:val="20"/>
          <w:lang w:val="es-ES" w:eastAsia="es-SV"/>
        </w:rPr>
        <w:t>El referido</w:t>
      </w:r>
      <w:r w:rsidR="00602875" w:rsidRPr="00602875">
        <w:rPr>
          <w:rFonts w:ascii="Museo Sans 300" w:eastAsia="Times New Roman" w:hAnsi="Museo Sans 300" w:cs="Segoe UI"/>
          <w:sz w:val="20"/>
          <w:szCs w:val="20"/>
          <w:lang w:val="es-ES" w:eastAsia="es-SV"/>
        </w:rPr>
        <w:t xml:space="preserve"> acuerdo fue notificado a </w:t>
      </w:r>
      <w:r w:rsidR="00602875" w:rsidRPr="00602875">
        <w:rPr>
          <w:rFonts w:ascii="Museo Sans 300" w:eastAsia="Times New Roman" w:hAnsi="Museo Sans 300" w:cs="Segoe UI"/>
          <w:color w:val="000000"/>
          <w:sz w:val="20"/>
          <w:szCs w:val="20"/>
          <w:shd w:val="clear" w:color="auto" w:fill="FFFFFF"/>
          <w:lang w:val="es-ES" w:eastAsia="es-SV"/>
        </w:rPr>
        <w:t>la</w:t>
      </w:r>
      <w:r w:rsidR="00E556E9">
        <w:rPr>
          <w:rFonts w:ascii="Museo Sans 300" w:eastAsia="Times New Roman" w:hAnsi="Museo Sans 300" w:cs="Segoe UI"/>
          <w:color w:val="000000"/>
          <w:sz w:val="20"/>
          <w:szCs w:val="20"/>
          <w:shd w:val="clear" w:color="auto" w:fill="FFFFFF"/>
          <w:lang w:val="es-ES" w:eastAsia="es-SV"/>
        </w:rPr>
        <w:t xml:space="preserve">s partes el día siete </w:t>
      </w:r>
      <w:r w:rsidR="00602875" w:rsidRPr="00602875">
        <w:rPr>
          <w:rFonts w:ascii="Museo Sans 300" w:eastAsia="Times New Roman" w:hAnsi="Museo Sans 300" w:cs="Segoe UI"/>
          <w:color w:val="000000"/>
          <w:sz w:val="20"/>
          <w:szCs w:val="20"/>
          <w:shd w:val="clear" w:color="auto" w:fill="FFFFFF"/>
          <w:lang w:val="es-ES" w:eastAsia="es-SV"/>
        </w:rPr>
        <w:t xml:space="preserve">del mismo </w:t>
      </w:r>
      <w:r w:rsidR="00E556E9">
        <w:rPr>
          <w:rFonts w:ascii="Museo Sans 300" w:eastAsia="Times New Roman" w:hAnsi="Museo Sans 300" w:cs="Segoe UI"/>
          <w:color w:val="000000"/>
          <w:sz w:val="20"/>
          <w:szCs w:val="20"/>
          <w:shd w:val="clear" w:color="auto" w:fill="FFFFFF"/>
          <w:lang w:val="es-ES" w:eastAsia="es-SV"/>
        </w:rPr>
        <w:t xml:space="preserve">mes y </w:t>
      </w:r>
      <w:r w:rsidR="00602875" w:rsidRPr="00602875">
        <w:rPr>
          <w:rFonts w:ascii="Museo Sans 300" w:eastAsia="Times New Roman" w:hAnsi="Museo Sans 300" w:cs="Segoe UI"/>
          <w:color w:val="000000"/>
          <w:sz w:val="20"/>
          <w:szCs w:val="20"/>
          <w:shd w:val="clear" w:color="auto" w:fill="FFFFFF"/>
          <w:lang w:val="es-ES" w:eastAsia="es-SV"/>
        </w:rPr>
        <w:t>año</w:t>
      </w:r>
      <w:r w:rsidR="00E556E9">
        <w:rPr>
          <w:rFonts w:ascii="Museo Sans 300" w:eastAsia="Times New Roman" w:hAnsi="Museo Sans 300" w:cs="Segoe UI"/>
          <w:color w:val="000000"/>
          <w:sz w:val="20"/>
          <w:szCs w:val="20"/>
          <w:shd w:val="clear" w:color="auto" w:fill="FFFFFF"/>
          <w:lang w:val="es-ES" w:eastAsia="es-SV"/>
        </w:rPr>
        <w:t>.</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7D1A7830"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EA5C8E">
        <w:rPr>
          <w:rFonts w:ascii="Museo Sans 300" w:hAnsi="Museo Sans 300"/>
          <w:sz w:val="20"/>
          <w:szCs w:val="20"/>
        </w:rPr>
        <w:t>veintisiete de jul</w:t>
      </w:r>
      <w:r w:rsidR="005433B6">
        <w:rPr>
          <w:rFonts w:ascii="Museo Sans 300" w:hAnsi="Museo Sans 300"/>
          <w:sz w:val="20"/>
          <w:szCs w:val="20"/>
        </w:rPr>
        <w:t>i</w:t>
      </w:r>
      <w:r w:rsidR="00177D36">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77009C">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6406876C"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9862A1A" w14:textId="5B0A088D" w:rsidR="00EA5C8E" w:rsidRDefault="00EA5C8E" w:rsidP="00600E08">
      <w:pPr>
        <w:pStyle w:val="Prrafodelista"/>
        <w:tabs>
          <w:tab w:val="left" w:pos="426"/>
        </w:tabs>
        <w:ind w:left="426"/>
        <w:jc w:val="both"/>
        <w:rPr>
          <w:rFonts w:ascii="Museo Sans 300" w:hAnsi="Museo Sans 300"/>
          <w:sz w:val="20"/>
          <w:szCs w:val="20"/>
          <w:lang w:val="es-SV"/>
        </w:rPr>
      </w:pPr>
    </w:p>
    <w:p w14:paraId="2AF6F2A6" w14:textId="5EC79395" w:rsidR="00EA5C8E" w:rsidRDefault="00EA5C8E" w:rsidP="00600E08">
      <w:pPr>
        <w:pStyle w:val="Prrafodelista"/>
        <w:tabs>
          <w:tab w:val="left" w:pos="426"/>
        </w:tabs>
        <w:ind w:left="426"/>
        <w:jc w:val="both"/>
        <w:rPr>
          <w:rFonts w:ascii="Museo Sans 300" w:hAnsi="Museo Sans 300"/>
          <w:sz w:val="20"/>
          <w:szCs w:val="20"/>
          <w:lang w:val="es-SV"/>
        </w:rPr>
      </w:pPr>
    </w:p>
    <w:p w14:paraId="2975ADB2" w14:textId="22955517" w:rsidR="00EA5C8E" w:rsidRDefault="00EA5C8E" w:rsidP="00600E08">
      <w:pPr>
        <w:pStyle w:val="Prrafodelista"/>
        <w:tabs>
          <w:tab w:val="left" w:pos="426"/>
        </w:tabs>
        <w:ind w:left="426"/>
        <w:jc w:val="both"/>
        <w:rPr>
          <w:rFonts w:ascii="Museo Sans 300" w:hAnsi="Museo Sans 300"/>
          <w:sz w:val="20"/>
          <w:szCs w:val="20"/>
          <w:lang w:val="es-SV"/>
        </w:rPr>
      </w:pPr>
    </w:p>
    <w:p w14:paraId="55EE1B83" w14:textId="2AA2475C" w:rsidR="00EA5C8E" w:rsidRDefault="00EA5C8E" w:rsidP="00600E08">
      <w:pPr>
        <w:pStyle w:val="Prrafodelista"/>
        <w:tabs>
          <w:tab w:val="left" w:pos="426"/>
        </w:tabs>
        <w:ind w:left="426"/>
        <w:jc w:val="both"/>
        <w:rPr>
          <w:rFonts w:ascii="Museo Sans 300" w:hAnsi="Museo Sans 300"/>
          <w:sz w:val="20"/>
          <w:szCs w:val="20"/>
          <w:lang w:val="es-SV"/>
        </w:rPr>
      </w:pPr>
    </w:p>
    <w:p w14:paraId="2E9854F0" w14:textId="24FF3DBA" w:rsidR="00EA5C8E" w:rsidRDefault="00EA5C8E" w:rsidP="00600E08">
      <w:pPr>
        <w:pStyle w:val="Prrafodelista"/>
        <w:tabs>
          <w:tab w:val="left" w:pos="426"/>
        </w:tabs>
        <w:ind w:left="426"/>
        <w:jc w:val="both"/>
        <w:rPr>
          <w:rFonts w:ascii="Museo Sans 300" w:hAnsi="Museo Sans 300"/>
          <w:sz w:val="20"/>
          <w:szCs w:val="20"/>
          <w:lang w:val="es-SV"/>
        </w:rPr>
      </w:pPr>
    </w:p>
    <w:p w14:paraId="6EEFC76F" w14:textId="7FC2D65F" w:rsidR="00EA5C8E" w:rsidRDefault="00EA5C8E" w:rsidP="00600E08">
      <w:pPr>
        <w:pStyle w:val="Prrafodelista"/>
        <w:tabs>
          <w:tab w:val="left" w:pos="426"/>
        </w:tabs>
        <w:ind w:left="426"/>
        <w:jc w:val="both"/>
        <w:rPr>
          <w:rFonts w:ascii="Museo Sans 300" w:hAnsi="Museo Sans 300"/>
          <w:sz w:val="20"/>
          <w:szCs w:val="20"/>
          <w:lang w:val="es-SV"/>
        </w:rPr>
      </w:pPr>
    </w:p>
    <w:p w14:paraId="70A6EDD3" w14:textId="4EFEA679" w:rsidR="00EA5C8E" w:rsidRDefault="00EA5C8E"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F8800FF" w14:textId="77777777" w:rsidR="00300E1D" w:rsidRPr="00300E1D" w:rsidRDefault="007B6E8E" w:rsidP="00300E1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00E1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300E1D" w:rsidRPr="00300E1D">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13 de noviembre de 2021, detallando una supuesta condición irregular, consistente en una línea directa para un nivel de tensión de 120 voltios conectada por medio de pinzas tipo caimán desde a la acometida de la distribuidora la cual ingresaba a la vivienda, con la finalidad de impedir el correcto registro de la totalidad de la energía consumida en el suministro.</w:t>
      </w:r>
    </w:p>
    <w:p w14:paraId="6B03DC20" w14:textId="61317144" w:rsidR="00D25B74" w:rsidRDefault="00D25B74" w:rsidP="00D25B74">
      <w:pPr>
        <w:suppressAutoHyphens w:val="0"/>
        <w:autoSpaceDN/>
        <w:spacing w:after="0" w:line="0" w:lineRule="atLeast"/>
        <w:ind w:left="708" w:right="709" w:firstLine="1"/>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De las pruebas presentadas relacionadas a la condición detectada por EEO en fecha 13 de noviembre de 2021, se puede determinar lo siguiente:</w:t>
      </w:r>
    </w:p>
    <w:p w14:paraId="40D333F1" w14:textId="77777777" w:rsidR="001555CA" w:rsidRPr="00D25B74" w:rsidRDefault="001555CA" w:rsidP="00D25B74">
      <w:pPr>
        <w:suppressAutoHyphens w:val="0"/>
        <w:autoSpaceDN/>
        <w:spacing w:after="0" w:line="0" w:lineRule="atLeast"/>
        <w:ind w:left="708" w:right="709" w:firstLine="1"/>
        <w:jc w:val="both"/>
        <w:textAlignment w:val="auto"/>
        <w:rPr>
          <w:rFonts w:ascii="Museo 300" w:eastAsia="Times New Roman" w:hAnsi="Museo 300" w:cs="Segoe UI"/>
          <w:sz w:val="16"/>
          <w:szCs w:val="16"/>
          <w:lang w:val="es-ES" w:eastAsia="es-SV"/>
        </w:rPr>
      </w:pPr>
    </w:p>
    <w:p w14:paraId="5BB0B196" w14:textId="3061DE38" w:rsidR="00D25B74" w:rsidRDefault="00D25B74" w:rsidP="00D25B74">
      <w:pPr>
        <w:numPr>
          <w:ilvl w:val="0"/>
          <w:numId w:val="8"/>
        </w:numPr>
        <w:suppressAutoHyphens w:val="0"/>
        <w:autoSpaceDN/>
        <w:spacing w:after="0" w:line="0" w:lineRule="atLeast"/>
        <w:ind w:right="709"/>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La distribuidora ha mostrado fotografías con las que se demuestran que existió una conexión irregular, consistente en una línea directa a 120 voltios conectada desde la acometida de la distribuidora la cual se dirigía al interior de la vivienda, esto con la finalidad de impedir el correcto registro de la energía consumida en el suministro bajo análisis.</w:t>
      </w:r>
    </w:p>
    <w:p w14:paraId="3596E36F" w14:textId="77777777" w:rsidR="00D25B74" w:rsidRDefault="00D25B74" w:rsidP="00D25B74">
      <w:pPr>
        <w:suppressAutoHyphens w:val="0"/>
        <w:autoSpaceDN/>
        <w:spacing w:after="0" w:line="0" w:lineRule="atLeast"/>
        <w:ind w:right="709"/>
        <w:jc w:val="both"/>
        <w:textAlignment w:val="auto"/>
        <w:rPr>
          <w:rFonts w:ascii="Museo 300" w:eastAsia="Times New Roman" w:hAnsi="Museo 300" w:cs="Segoe UI"/>
          <w:sz w:val="16"/>
          <w:szCs w:val="16"/>
          <w:lang w:val="es-ES" w:eastAsia="es-SV"/>
        </w:rPr>
      </w:pPr>
    </w:p>
    <w:p w14:paraId="278FD8DA" w14:textId="6D150D6B" w:rsidR="00D25B74" w:rsidRPr="00D25B74" w:rsidRDefault="00D25B74" w:rsidP="00D25B74">
      <w:pPr>
        <w:numPr>
          <w:ilvl w:val="0"/>
          <w:numId w:val="8"/>
        </w:numPr>
        <w:suppressAutoHyphens w:val="0"/>
        <w:autoSpaceDN/>
        <w:spacing w:after="0" w:line="0" w:lineRule="atLeast"/>
        <w:ind w:right="709"/>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El personal de EEO procedió a tomar el registro de corriente instantánea que circulaba en la línea fuera de medición, obteniendo un valor de 24.97 amperios tal y como se muestra en la fotografía #4.</w:t>
      </w:r>
    </w:p>
    <w:p w14:paraId="229C4389" w14:textId="77777777" w:rsidR="00D25B74" w:rsidRPr="00D25B74" w:rsidRDefault="00D25B74" w:rsidP="00D25B74">
      <w:pPr>
        <w:numPr>
          <w:ilvl w:val="0"/>
          <w:numId w:val="8"/>
        </w:numPr>
        <w:suppressAutoHyphens w:val="0"/>
        <w:autoSpaceDN/>
        <w:spacing w:after="0" w:line="0" w:lineRule="atLeast"/>
        <w:ind w:right="709"/>
        <w:jc w:val="both"/>
        <w:textAlignment w:val="auto"/>
        <w:rPr>
          <w:rFonts w:ascii="Museo 300" w:eastAsia="Times New Roman" w:hAnsi="Museo 300" w:cs="Segoe UI"/>
          <w:sz w:val="16"/>
          <w:szCs w:val="16"/>
          <w:lang w:eastAsia="es-SV"/>
        </w:rPr>
      </w:pPr>
      <w:r w:rsidRPr="00D25B74">
        <w:rPr>
          <w:rFonts w:ascii="Museo 300" w:eastAsia="Times New Roman" w:hAnsi="Museo 300" w:cs="Segoe UI"/>
          <w:sz w:val="16"/>
          <w:szCs w:val="16"/>
          <w:lang w:val="es-ES" w:eastAsia="es-SV"/>
        </w:rPr>
        <w:t>El personal de la distribuidora no determinó que equipos eléctricos en el interior de la vivienda estaban consumiendo la energía a través de la línea directa encontrada.</w:t>
      </w:r>
    </w:p>
    <w:p w14:paraId="11126B02" w14:textId="77777777" w:rsidR="00D25B74" w:rsidRDefault="00D25B74" w:rsidP="00D25B74">
      <w:pPr>
        <w:suppressAutoHyphens w:val="0"/>
        <w:autoSpaceDN/>
        <w:spacing w:after="0" w:line="0" w:lineRule="atLeast"/>
        <w:ind w:left="708" w:right="709" w:firstLine="1"/>
        <w:jc w:val="both"/>
        <w:textAlignment w:val="auto"/>
        <w:rPr>
          <w:rFonts w:ascii="Museo 300" w:eastAsia="Times New Roman" w:hAnsi="Museo 300" w:cs="Segoe UI"/>
          <w:sz w:val="16"/>
          <w:szCs w:val="16"/>
          <w:lang w:val="es-ES" w:eastAsia="es-SV"/>
        </w:rPr>
      </w:pPr>
    </w:p>
    <w:p w14:paraId="48246855" w14:textId="36485C87" w:rsidR="00D77F9D" w:rsidRPr="00E00DF7" w:rsidRDefault="00D25B74" w:rsidP="00D25B74">
      <w:pPr>
        <w:suppressAutoHyphens w:val="0"/>
        <w:autoSpaceDN/>
        <w:spacing w:after="0" w:line="0" w:lineRule="atLeast"/>
        <w:ind w:left="708" w:right="709" w:firstLine="1"/>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 </w:t>
      </w:r>
      <w:r w:rsidR="00E8785B" w:rsidRPr="00E00DF7">
        <w:rPr>
          <w:rFonts w:ascii="Museo 300" w:eastAsia="Times New Roman" w:hAnsi="Museo 300" w:cs="Segoe UI"/>
          <w:sz w:val="16"/>
          <w:szCs w:val="16"/>
          <w:lang w:val="es-ES" w:eastAsia="es-SV"/>
        </w:rPr>
        <w:t>[…]</w:t>
      </w:r>
    </w:p>
    <w:p w14:paraId="30CFD03F" w14:textId="77777777" w:rsidR="00D25B74" w:rsidRDefault="00D25B74" w:rsidP="005A107A">
      <w:pPr>
        <w:spacing w:after="0" w:line="240" w:lineRule="auto"/>
        <w:ind w:left="426"/>
        <w:jc w:val="both"/>
        <w:rPr>
          <w:rFonts w:ascii="Museo Sans 300" w:hAnsi="Museo Sans 300"/>
          <w:sz w:val="20"/>
          <w:szCs w:val="20"/>
          <w:u w:val="single"/>
        </w:rPr>
      </w:pPr>
    </w:p>
    <w:p w14:paraId="3B8D8229" w14:textId="0A9FD58A"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F37364D" w14:textId="05FE3FEF" w:rsidR="00D25B74" w:rsidRPr="00D25B74" w:rsidRDefault="00D25B74" w:rsidP="00D25B74">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Pr="00D25B74">
        <w:rPr>
          <w:rFonts w:ascii="Museo 300" w:eastAsia="Times New Roman" w:hAnsi="Museo 300" w:cs="Segoe UI"/>
          <w:sz w:val="16"/>
          <w:szCs w:val="16"/>
          <w:lang w:val="es-ES" w:eastAsia="es-SV"/>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B9ED78A" w14:textId="77777777" w:rsidR="00D25B74" w:rsidRPr="00D25B74" w:rsidRDefault="00D25B74" w:rsidP="00D25B74">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67BF7903" w14:textId="77777777" w:rsidR="00D25B74" w:rsidRPr="00D25B74" w:rsidRDefault="00D25B74" w:rsidP="00D25B74">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El cálculo de la energía no registrada obtenido por EEO, tomando como la corriente instantánea y bajo el criterio que esta es constante durante 12 horas diarias no será considerado para el recálculo de la energía a recuperar. Debido a las inconsistencias expresadas por el CAU en la sección anterior.</w:t>
      </w:r>
    </w:p>
    <w:p w14:paraId="015CB49C" w14:textId="77777777" w:rsidR="00D25B74" w:rsidRPr="00D25B74" w:rsidRDefault="00D25B74" w:rsidP="00D25B74">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708 kWh, y será la base para el recálculo de la energía a recuperar. </w:t>
      </w:r>
    </w:p>
    <w:p w14:paraId="22236C59" w14:textId="77777777" w:rsidR="00D25B74" w:rsidRPr="00D25B74" w:rsidRDefault="00D25B74" w:rsidP="00D25B74">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El período retroactivo de recuperación corresponde a 180 días comprendidos entre el 17 de mayo al 13 de noviembre de 2021, fecha en que se normalizó el suministro.</w:t>
      </w:r>
    </w:p>
    <w:p w14:paraId="4EE83EE4" w14:textId="5DA4B847" w:rsidR="00613FD5" w:rsidRPr="00E00DF7" w:rsidRDefault="00D25B74" w:rsidP="00D25B74">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25B74">
        <w:rPr>
          <w:rFonts w:ascii="Museo 300" w:eastAsia="Times New Roman" w:hAnsi="Museo 300" w:cs="Segoe UI"/>
          <w:sz w:val="16"/>
          <w:szCs w:val="16"/>
          <w:lang w:val="es-ES" w:eastAsia="es-SV"/>
        </w:rPr>
        <w:t xml:space="preserve">Con los datos resultantes del análisis del CAU, se estableció que el monto de la ENR máximo al que tiene derecho EEO a recuperar corresponde a 3,358 kWh, equivalente a la cantidad de ochocientos cincuenta y dos 09/100 dólares de los Estados Unidos de América (USD 852.09) IVA incluido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47FA90E" w14:textId="3562F67A" w:rsidR="00F920A9" w:rsidRPr="00F920A9" w:rsidRDefault="00F920A9" w:rsidP="00F920A9">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920A9">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6725E1">
        <w:rPr>
          <w:rFonts w:ascii="Museo 300" w:hAnsi="Museo 300" w:cs="Segoe UI"/>
          <w:color w:val="000000"/>
          <w:sz w:val="16"/>
          <w:szCs w:val="16"/>
          <w:shd w:val="clear" w:color="auto" w:fill="FFFFFF"/>
        </w:rPr>
        <w:t>XXX</w:t>
      </w:r>
      <w:r w:rsidRPr="00F920A9">
        <w:rPr>
          <w:rFonts w:ascii="Museo 300" w:hAnsi="Museo 300" w:cs="Segoe UI"/>
          <w:color w:val="000000"/>
          <w:sz w:val="16"/>
          <w:szCs w:val="16"/>
          <w:shd w:val="clear" w:color="auto" w:fill="FFFFFF"/>
        </w:rPr>
        <w:t xml:space="preserve">, consistente en una línea directa a 120 </w:t>
      </w:r>
      <w:r w:rsidRPr="00F920A9">
        <w:rPr>
          <w:rFonts w:ascii="Museo 300" w:hAnsi="Museo 300" w:cs="Segoe UI"/>
          <w:color w:val="000000"/>
          <w:sz w:val="16"/>
          <w:szCs w:val="16"/>
          <w:shd w:val="clear" w:color="auto" w:fill="FFFFFF"/>
        </w:rPr>
        <w:lastRenderedPageBreak/>
        <w:t>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3AB11E1" w14:textId="77777777" w:rsidR="00F920A9" w:rsidRPr="00F920A9" w:rsidRDefault="00F920A9" w:rsidP="00F920A9">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920A9">
        <w:rPr>
          <w:rFonts w:ascii="Museo 300" w:hAnsi="Museo 300" w:cs="Segoe UI"/>
          <w:color w:val="000000"/>
          <w:sz w:val="16"/>
          <w:szCs w:val="16"/>
          <w:shd w:val="clear" w:color="auto" w:fill="FFFFFF"/>
        </w:rPr>
        <w:t>Conforme con la investigación efectuada y mostrada en el presente informe, se establece que la cantidad de mil seiscientos sesenta y nueve 18/100 dólares de los Estados Unidos de América (USD 1,669.18) IVA incluido, cobrados por la distribuidora EEO en concepto de ENR en el referido suministro, debe de rectificarse.</w:t>
      </w:r>
    </w:p>
    <w:p w14:paraId="4BAB16C4" w14:textId="603F60EA" w:rsidR="00562498" w:rsidRPr="00F920A9" w:rsidRDefault="00F920A9" w:rsidP="00F920A9">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F920A9">
        <w:rPr>
          <w:rFonts w:ascii="Museo 300" w:hAnsi="Museo 300" w:cs="Segoe UI"/>
          <w:color w:val="000000"/>
          <w:sz w:val="16"/>
          <w:szCs w:val="16"/>
          <w:shd w:val="clear" w:color="auto" w:fill="FFFFFF"/>
        </w:rPr>
        <w:t xml:space="preserve">Se establece que el monto a recuperar por parte de EEO en concepto de energía no registrada, asciende a la cantidad de ochocientos cincuenta y dos 09/100 dólares de los Estados Unidos de América (USD 852.09) IVA incluido. Además, la distribuidora podrá efectuar el cobro de los intereses generados tal y como se indica en el artículo 36 de los Términos y Condiciones Generales al Consumidor Final, del Pliego Tarifario del año </w:t>
      </w:r>
      <w:proofErr w:type="gramStart"/>
      <w:r w:rsidRPr="00F920A9">
        <w:rPr>
          <w:rFonts w:ascii="Museo 300" w:hAnsi="Museo 300" w:cs="Segoe UI"/>
          <w:color w:val="000000"/>
          <w:sz w:val="16"/>
          <w:szCs w:val="16"/>
          <w:shd w:val="clear" w:color="auto" w:fill="FFFFFF"/>
        </w:rPr>
        <w:t>2021.</w:t>
      </w:r>
      <w:r w:rsidR="00562498" w:rsidRPr="00F920A9">
        <w:rPr>
          <w:rFonts w:ascii="Museo 300" w:eastAsia="Arial" w:hAnsi="Museo 300"/>
          <w:color w:val="000000" w:themeColor="text1"/>
          <w:sz w:val="16"/>
          <w:szCs w:val="16"/>
        </w:rPr>
        <w:t>[</w:t>
      </w:r>
      <w:proofErr w:type="gramEnd"/>
      <w:r w:rsidR="00562498" w:rsidRPr="00F920A9">
        <w:rPr>
          <w:rFonts w:ascii="Museo 300" w:eastAsia="Arial" w:hAnsi="Museo 300"/>
          <w:color w:val="000000" w:themeColor="text1"/>
          <w:sz w:val="16"/>
          <w:szCs w:val="16"/>
        </w:rPr>
        <w:t>…]</w:t>
      </w:r>
      <w:r w:rsidR="007B6E8E" w:rsidRPr="00F920A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C63B2DC"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F920A9">
        <w:rPr>
          <w:rFonts w:ascii="Museo Sans 300" w:hAnsi="Museo Sans 300"/>
          <w:sz w:val="20"/>
          <w:szCs w:val="20"/>
          <w:lang w:val="es-SV"/>
        </w:rPr>
        <w:t>632</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920A9">
        <w:rPr>
          <w:rFonts w:ascii="Museo Sans 300" w:hAnsi="Museo Sans 300"/>
          <w:sz w:val="20"/>
          <w:szCs w:val="20"/>
          <w:lang w:val="es-SV"/>
        </w:rPr>
        <w:t>diecinueve de agost</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77009C">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EC8C877" w14:textId="229961C2" w:rsidR="00CE71AD" w:rsidRDefault="00765EB6" w:rsidP="00CE71AD">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CE71AD">
        <w:rPr>
          <w:rFonts w:ascii="Museo Sans 300" w:hAnsi="Museo Sans 300" w:cs="Arial"/>
          <w:sz w:val="20"/>
          <w:szCs w:val="20"/>
        </w:rPr>
        <w:t xml:space="preserve">a la distribuidora y </w:t>
      </w:r>
      <w:r w:rsidR="00CE71AD" w:rsidRPr="00A20C07">
        <w:rPr>
          <w:rFonts w:ascii="Museo Sans 300" w:hAnsi="Museo Sans 300" w:cs="Arial"/>
          <w:sz w:val="20"/>
          <w:szCs w:val="20"/>
        </w:rPr>
        <w:t>a la</w:t>
      </w:r>
      <w:r w:rsidR="00CE71AD">
        <w:rPr>
          <w:rFonts w:ascii="Museo Sans 300" w:hAnsi="Museo Sans 300" w:cs="Arial"/>
          <w:sz w:val="20"/>
          <w:szCs w:val="20"/>
        </w:rPr>
        <w:t xml:space="preserve"> usuaria </w:t>
      </w:r>
      <w:r w:rsidR="00CE71AD" w:rsidRPr="00B428B3">
        <w:rPr>
          <w:rFonts w:ascii="Museo Sans 300" w:hAnsi="Museo Sans 300" w:cs="Arial"/>
          <w:sz w:val="20"/>
          <w:szCs w:val="20"/>
          <w:lang w:val="es-ES_tradnl"/>
        </w:rPr>
        <w:t xml:space="preserve">los días </w:t>
      </w:r>
      <w:r w:rsidR="00CE71AD">
        <w:rPr>
          <w:rFonts w:ascii="Museo Sans 300" w:hAnsi="Museo Sans 300" w:cs="Arial"/>
          <w:sz w:val="20"/>
          <w:szCs w:val="20"/>
          <w:lang w:val="es-ES_tradnl"/>
        </w:rPr>
        <w:t xml:space="preserve">veinticuatro y veinticinco </w:t>
      </w:r>
      <w:r w:rsidR="00CE71AD" w:rsidRPr="00B428B3">
        <w:rPr>
          <w:rFonts w:ascii="Museo Sans 300" w:hAnsi="Museo Sans 300" w:cs="Arial"/>
          <w:sz w:val="20"/>
          <w:szCs w:val="20"/>
          <w:lang w:val="es-ES_tradnl"/>
        </w:rPr>
        <w:t>del mismo mes y año, respectivamente,</w:t>
      </w:r>
      <w:r w:rsidR="00CE71AD" w:rsidRPr="00B428B3">
        <w:rPr>
          <w:rFonts w:ascii="Museo Sans 300" w:hAnsi="Museo Sans 300" w:cs="Arial"/>
          <w:sz w:val="20"/>
          <w:szCs w:val="20"/>
        </w:rPr>
        <w:t xml:space="preserve"> por lo que el plazo finalizó, en el mismo orden, los días </w:t>
      </w:r>
      <w:r w:rsidR="00CE71AD">
        <w:rPr>
          <w:rFonts w:ascii="Museo Sans 300" w:hAnsi="Museo Sans 300" w:cs="Arial"/>
          <w:sz w:val="20"/>
          <w:szCs w:val="20"/>
          <w:lang w:val="es-ES_tradnl"/>
        </w:rPr>
        <w:t xml:space="preserve">siete y ocho de septiembre </w:t>
      </w:r>
      <w:r w:rsidR="00CE71AD">
        <w:rPr>
          <w:rStyle w:val="normaltextrun"/>
          <w:rFonts w:ascii="Museo Sans 300" w:eastAsia="Museo Sans" w:hAnsi="Museo Sans 300" w:cs="Segoe UI"/>
          <w:sz w:val="20"/>
          <w:szCs w:val="20"/>
        </w:rPr>
        <w:t>de este año.</w:t>
      </w:r>
      <w:r w:rsidR="00CE71AD" w:rsidRPr="24487779">
        <w:rPr>
          <w:rStyle w:val="normaltextrun"/>
          <w:rFonts w:ascii="Museo Sans 300" w:eastAsia="Museo Sans" w:hAnsi="Museo Sans 300" w:cs="Segoe UI"/>
          <w:sz w:val="20"/>
          <w:szCs w:val="20"/>
        </w:rPr>
        <w:t xml:space="preserve"> </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449B75B8"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A93512">
        <w:rPr>
          <w:rFonts w:ascii="Museo Sans 300" w:eastAsia="Times New Roman" w:hAnsi="Museo Sans 300" w:cs="Times New Roman"/>
          <w:sz w:val="20"/>
          <w:szCs w:val="20"/>
          <w:lang w:eastAsia="es-ES"/>
        </w:rPr>
        <w:t>treinta y uno de agost</w:t>
      </w:r>
      <w:r w:rsidR="00E615E7">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w:t>
      </w:r>
      <w:r w:rsidR="00275A2D" w:rsidRPr="001555CA">
        <w:rPr>
          <w:rFonts w:ascii="Museo Sans 300" w:eastAsia="Times New Roman" w:hAnsi="Museo Sans 300" w:cs="Times New Roman"/>
          <w:sz w:val="20"/>
          <w:szCs w:val="20"/>
          <w:lang w:eastAsia="es-ES"/>
        </w:rPr>
        <w:t>este año</w:t>
      </w:r>
      <w:r w:rsidRPr="001555CA">
        <w:rPr>
          <w:rFonts w:ascii="Museo Sans 300" w:eastAsia="Times New Roman" w:hAnsi="Museo Sans 300" w:cs="Times New Roman"/>
          <w:sz w:val="20"/>
          <w:szCs w:val="20"/>
          <w:lang w:eastAsia="es-ES"/>
        </w:rPr>
        <w:t xml:space="preserve">, </w:t>
      </w:r>
      <w:r w:rsidRPr="001555CA">
        <w:rPr>
          <w:rFonts w:ascii="Museo Sans 300" w:eastAsia="Times New Roman" w:hAnsi="Museo Sans 300" w:cs="Times New Roman"/>
          <w:sz w:val="20"/>
          <w:szCs w:val="20"/>
          <w:lang w:val="es-ES" w:eastAsia="es-ES"/>
        </w:rPr>
        <w:t xml:space="preserve">la sociedad EEO, S.A. de C.V. presentó un escrito por medio del cual </w:t>
      </w:r>
      <w:r w:rsidR="00275A2D" w:rsidRPr="001555CA">
        <w:rPr>
          <w:rFonts w:ascii="Museo Sans 300" w:hAnsi="Museo Sans 300"/>
          <w:sz w:val="20"/>
          <w:szCs w:val="20"/>
        </w:rPr>
        <w:t>manifestó que mantenía los argumentos y pruebas presentadas con anterioridad</w:t>
      </w:r>
      <w:r w:rsidRPr="001555CA">
        <w:rPr>
          <w:rFonts w:ascii="Museo Sans 300" w:eastAsia="Times New Roman" w:hAnsi="Museo Sans 300" w:cs="Times New Roman"/>
          <w:sz w:val="20"/>
          <w:szCs w:val="20"/>
          <w:lang w:val="es-ES" w:eastAsia="es-ES"/>
        </w:rPr>
        <w:t xml:space="preserve">. Por su parte, </w:t>
      </w:r>
      <w:r w:rsidR="00DA1DDB" w:rsidRPr="001555CA">
        <w:rPr>
          <w:rFonts w:ascii="Museo Sans 300" w:eastAsia="Times New Roman" w:hAnsi="Museo Sans 300" w:cs="Times New Roman"/>
          <w:sz w:val="20"/>
          <w:szCs w:val="20"/>
          <w:lang w:val="es-ES" w:eastAsia="es-ES"/>
        </w:rPr>
        <w:t>la</w:t>
      </w:r>
      <w:r w:rsidRPr="001555CA">
        <w:rPr>
          <w:rFonts w:ascii="Museo Sans 300" w:eastAsia="Times New Roman" w:hAnsi="Museo Sans 300" w:cs="Times New Roman"/>
          <w:sz w:val="20"/>
          <w:szCs w:val="20"/>
          <w:lang w:val="es-ES" w:eastAsia="es-ES"/>
        </w:rPr>
        <w:t xml:space="preserve"> </w:t>
      </w:r>
      <w:r w:rsidR="00741F23" w:rsidRPr="001555CA">
        <w:rPr>
          <w:rFonts w:ascii="Museo Sans 300" w:eastAsia="Times New Roman" w:hAnsi="Museo Sans 300" w:cs="Times New Roman"/>
          <w:sz w:val="20"/>
          <w:szCs w:val="20"/>
          <w:lang w:val="es-ES" w:eastAsia="es-ES"/>
        </w:rPr>
        <w:t>usuaria</w:t>
      </w:r>
      <w:r w:rsidRPr="001555CA">
        <w:rPr>
          <w:rFonts w:ascii="Museo Sans 300" w:eastAsia="Times New Roman" w:hAnsi="Museo Sans 300" w:cs="Times New Roman"/>
          <w:sz w:val="20"/>
          <w:szCs w:val="20"/>
          <w:lang w:val="es-ES" w:eastAsia="es-ES"/>
        </w:rPr>
        <w:t xml:space="preserve"> no presentó documentación para ser analizada.</w:t>
      </w:r>
    </w:p>
    <w:p w14:paraId="6083F5E2" w14:textId="3F9D045E" w:rsidR="00BE3592" w:rsidRDefault="00BE359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4E151D88"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B1AD28F" w14:textId="77777777" w:rsidR="001555CA" w:rsidRDefault="001555CA"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7BFA21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725E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C06E82F"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77009C">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2D7E4BDF" w:rsidR="00CC02C9" w:rsidRPr="00305DC3" w:rsidRDefault="00C34300" w:rsidP="00305DC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1555CA" w:rsidRPr="00300E1D">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en fecha 13 de noviembre de 2021, detallando una supuesta condición irregular, consistente en una línea directa para un nivel de tensión de 120 </w:t>
      </w:r>
      <w:r w:rsidR="001555CA" w:rsidRPr="00300E1D">
        <w:rPr>
          <w:rFonts w:ascii="Museo 300" w:eastAsia="Times New Roman" w:hAnsi="Museo 300" w:cs="Segoe UI"/>
          <w:sz w:val="16"/>
          <w:szCs w:val="16"/>
          <w:lang w:val="es-ES" w:eastAsia="es-SV"/>
        </w:rPr>
        <w:lastRenderedPageBreak/>
        <w:t>voltios conectada por medio de pinzas tipo caimán desde a la acometida de la distribuidora la cual ingresaba a la vivienda, con la finalidad de impedir el correcto registro de la totalidad de la energía consumida en el suministro.</w:t>
      </w:r>
      <w:r w:rsidR="001555CA">
        <w:rPr>
          <w:rFonts w:ascii="Museo 300" w:hAnsi="Museo 300"/>
          <w:spacing w:val="-8"/>
          <w:sz w:val="16"/>
          <w:szCs w:val="16"/>
        </w:rPr>
        <w:t xml:space="preserve"> </w:t>
      </w:r>
      <w:r w:rsidR="00D70E74">
        <w:rPr>
          <w:rFonts w:ascii="Museo 300" w:hAnsi="Museo 300"/>
          <w:spacing w:val="-8"/>
          <w:sz w:val="16"/>
          <w:szCs w:val="16"/>
        </w:rPr>
        <w:t>(…)</w:t>
      </w:r>
    </w:p>
    <w:p w14:paraId="4DC82805" w14:textId="62AB1E57" w:rsidR="00C34300" w:rsidRPr="00DA1DDB" w:rsidRDefault="001555CA" w:rsidP="00D70E74">
      <w:pPr>
        <w:tabs>
          <w:tab w:val="left" w:pos="993"/>
          <w:tab w:val="left" w:pos="9072"/>
        </w:tabs>
        <w:spacing w:line="240" w:lineRule="auto"/>
        <w:ind w:left="993" w:right="709"/>
        <w:jc w:val="both"/>
        <w:rPr>
          <w:rFonts w:ascii="Museo 300" w:hAnsi="Museo 300"/>
          <w:color w:val="000000" w:themeColor="text1"/>
          <w:sz w:val="16"/>
          <w:szCs w:val="16"/>
        </w:rPr>
      </w:pPr>
      <w:r w:rsidRPr="00D25B74">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 </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BBD33E1" w14:textId="159FF995" w:rsidR="007503FB" w:rsidRPr="001555CA" w:rsidRDefault="002E300A" w:rsidP="001555CA">
      <w:pPr>
        <w:suppressAutoHyphens w:val="0"/>
        <w:autoSpaceDN/>
        <w:spacing w:after="0" w:line="240" w:lineRule="auto"/>
        <w:ind w:left="420"/>
        <w:jc w:val="both"/>
        <w:rPr>
          <w:rFonts w:ascii="Museo Sans 300" w:hAnsi="Museo Sans 300"/>
          <w:color w:val="000000"/>
          <w:sz w:val="20"/>
          <w:szCs w:val="20"/>
          <w:shd w:val="clear" w:color="auto" w:fill="FFFFFF"/>
        </w:rPr>
      </w:pPr>
      <w:r w:rsidRPr="001555CA">
        <w:rPr>
          <w:rFonts w:ascii="Museo Sans 300" w:hAnsi="Museo Sans 300"/>
          <w:sz w:val="20"/>
          <w:szCs w:val="20"/>
        </w:rPr>
        <w:t xml:space="preserve">Conforme lo anterior, el CAU estableció en el informe técnico </w:t>
      </w:r>
      <w:r w:rsidR="0077009C">
        <w:rPr>
          <w:rFonts w:ascii="Museo Sans 300" w:hAnsi="Museo Sans 300"/>
          <w:sz w:val="20"/>
          <w:szCs w:val="20"/>
        </w:rPr>
        <w:t>XXX</w:t>
      </w:r>
      <w:r w:rsidRPr="001555CA">
        <w:rPr>
          <w:rFonts w:ascii="Museo Sans 300" w:hAnsi="Museo Sans 300" w:cs="Segoe UI"/>
          <w:sz w:val="20"/>
          <w:szCs w:val="20"/>
          <w:lang w:eastAsia="es-MX"/>
        </w:rPr>
        <w:t xml:space="preserve"> que existió</w:t>
      </w:r>
      <w:r w:rsidR="00C73E6E" w:rsidRPr="001555CA">
        <w:rPr>
          <w:rStyle w:val="normaltextrun"/>
          <w:rFonts w:ascii="Museo Sans 300" w:hAnsi="Museo Sans 300"/>
          <w:color w:val="000000"/>
          <w:sz w:val="20"/>
          <w:szCs w:val="20"/>
          <w:shd w:val="clear" w:color="auto" w:fill="FFFFFF"/>
        </w:rPr>
        <w:t xml:space="preserve"> </w:t>
      </w:r>
      <w:r w:rsidR="00D65418" w:rsidRPr="001555CA">
        <w:rPr>
          <w:rFonts w:ascii="Museo Sans 300" w:hAnsi="Museo Sans 300"/>
          <w:color w:val="000000"/>
          <w:sz w:val="20"/>
          <w:szCs w:val="20"/>
          <w:shd w:val="clear" w:color="auto" w:fill="FFFFFF"/>
        </w:rPr>
        <w:t xml:space="preserve">una condición irregular </w:t>
      </w:r>
      <w:r w:rsidR="00E01BA4" w:rsidRPr="001555CA">
        <w:rPr>
          <w:rFonts w:ascii="Museo Sans 300" w:hAnsi="Museo Sans 300"/>
          <w:color w:val="000000"/>
          <w:sz w:val="20"/>
          <w:szCs w:val="20"/>
          <w:shd w:val="clear" w:color="auto" w:fill="FFFFFF"/>
        </w:rPr>
        <w:t xml:space="preserve">consistente </w:t>
      </w:r>
      <w:r w:rsidR="007503FB" w:rsidRPr="001555CA">
        <w:rPr>
          <w:rFonts w:ascii="Museo Sans 300" w:hAnsi="Museo Sans 300"/>
          <w:color w:val="000000"/>
          <w:sz w:val="20"/>
          <w:szCs w:val="20"/>
          <w:shd w:val="clear" w:color="auto" w:fill="FFFFFF"/>
        </w:rPr>
        <w:t>en la conexi</w:t>
      </w:r>
      <w:r w:rsidR="001555CA">
        <w:rPr>
          <w:rFonts w:ascii="Museo Sans 300" w:hAnsi="Museo Sans 300"/>
          <w:color w:val="000000"/>
          <w:sz w:val="20"/>
          <w:szCs w:val="20"/>
          <w:shd w:val="clear" w:color="auto" w:fill="FFFFFF"/>
        </w:rPr>
        <w:t>ón</w:t>
      </w:r>
      <w:r w:rsidR="00426229" w:rsidRPr="00426229">
        <w:rPr>
          <w:rFonts w:ascii="Museo Sans 300" w:hAnsi="Museo Sans 300"/>
          <w:color w:val="000000"/>
          <w:sz w:val="20"/>
          <w:szCs w:val="20"/>
          <w:shd w:val="clear" w:color="auto" w:fill="FFFFFF"/>
        </w:rPr>
        <w:t xml:space="preserve"> </w:t>
      </w:r>
      <w:r w:rsidR="00426229" w:rsidRPr="001555CA">
        <w:rPr>
          <w:rFonts w:ascii="Museo Sans 300" w:hAnsi="Museo Sans 300"/>
          <w:color w:val="000000"/>
          <w:sz w:val="20"/>
          <w:szCs w:val="20"/>
          <w:shd w:val="clear" w:color="auto" w:fill="FFFFFF"/>
        </w:rPr>
        <w:t xml:space="preserve">de una línea directa </w:t>
      </w:r>
      <w:r w:rsidR="00426229">
        <w:rPr>
          <w:rFonts w:ascii="Museo Sans 300" w:hAnsi="Museo Sans 300"/>
          <w:color w:val="000000"/>
          <w:sz w:val="20"/>
          <w:szCs w:val="20"/>
          <w:shd w:val="clear" w:color="auto" w:fill="FFFFFF"/>
        </w:rPr>
        <w:t>desde la acometida eléctrica,</w:t>
      </w:r>
      <w:r w:rsidR="001555CA">
        <w:rPr>
          <w:rFonts w:ascii="Museo Sans 300" w:hAnsi="Museo Sans 300"/>
          <w:color w:val="000000"/>
          <w:sz w:val="20"/>
          <w:szCs w:val="20"/>
          <w:shd w:val="clear" w:color="auto" w:fill="FFFFFF"/>
        </w:rPr>
        <w:t xml:space="preserve"> a través de pinzas tipo caimán, </w:t>
      </w:r>
      <w:r w:rsidR="007503FB" w:rsidRPr="001555CA">
        <w:rPr>
          <w:rFonts w:ascii="Museo Sans 300" w:hAnsi="Museo Sans 300"/>
          <w:color w:val="000000"/>
          <w:sz w:val="20"/>
          <w:szCs w:val="20"/>
          <w:shd w:val="clear" w:color="auto" w:fill="FFFFFF"/>
        </w:rPr>
        <w:t>con el fin de consumir energía que no fuera registrada por el medidor.</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3AA6E605" w:rsidR="002E300A" w:rsidRDefault="002E300A" w:rsidP="001555CA">
      <w:pPr>
        <w:suppressAutoHyphens w:val="0"/>
        <w:autoSpaceDN/>
        <w:spacing w:after="0" w:line="240" w:lineRule="auto"/>
        <w:ind w:left="420"/>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B348A24" w14:textId="77777777" w:rsidR="00857940" w:rsidRPr="00857940" w:rsidRDefault="00053DB3" w:rsidP="00857940">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857940" w:rsidRPr="00857940">
        <w:rPr>
          <w:rFonts w:ascii="Museo Sans 300" w:hAnsi="Museo Sans 300"/>
          <w:sz w:val="20"/>
          <w:szCs w:val="20"/>
        </w:rPr>
        <w:t xml:space="preserve">no validó el cálculo de ENR realizado por la distribuidora basado en la corriente promedio medida en la línea directa, debido a que: </w:t>
      </w:r>
    </w:p>
    <w:p w14:paraId="59A482A2" w14:textId="77777777" w:rsidR="00857940" w:rsidRPr="00857940" w:rsidRDefault="00857940" w:rsidP="00857940">
      <w:pPr>
        <w:autoSpaceDE w:val="0"/>
        <w:spacing w:after="0" w:line="240" w:lineRule="auto"/>
        <w:ind w:left="426"/>
        <w:jc w:val="both"/>
        <w:rPr>
          <w:rFonts w:ascii="Museo Sans 300" w:hAnsi="Museo Sans 300"/>
          <w:sz w:val="20"/>
          <w:szCs w:val="20"/>
        </w:rPr>
      </w:pPr>
    </w:p>
    <w:p w14:paraId="17346EED" w14:textId="1C62E797" w:rsidR="00857940" w:rsidRPr="00857940" w:rsidRDefault="00857940" w:rsidP="00857940">
      <w:pPr>
        <w:pStyle w:val="Prrafodelista"/>
        <w:numPr>
          <w:ilvl w:val="1"/>
          <w:numId w:val="2"/>
        </w:numPr>
        <w:autoSpaceDE w:val="0"/>
        <w:ind w:left="993" w:hanging="426"/>
        <w:jc w:val="both"/>
        <w:rPr>
          <w:rFonts w:ascii="Museo Sans 300" w:hAnsi="Museo Sans 300"/>
          <w:sz w:val="20"/>
          <w:szCs w:val="20"/>
        </w:rPr>
      </w:pPr>
      <w:r w:rsidRPr="00857940">
        <w:rPr>
          <w:rFonts w:ascii="Museo Sans 300" w:hAnsi="Museo Sans 300"/>
          <w:sz w:val="20"/>
          <w:szCs w:val="20"/>
        </w:rPr>
        <w:t xml:space="preserve">No se justifica técnicamente que la corriente de </w:t>
      </w:r>
      <w:r>
        <w:rPr>
          <w:rFonts w:ascii="Museo Sans 300" w:hAnsi="Museo Sans 300"/>
          <w:sz w:val="20"/>
          <w:szCs w:val="20"/>
        </w:rPr>
        <w:t>24.97</w:t>
      </w:r>
      <w:r w:rsidRPr="00857940">
        <w:rPr>
          <w:rFonts w:ascii="Museo Sans 300" w:hAnsi="Museo Sans 300"/>
          <w:sz w:val="20"/>
          <w:szCs w:val="20"/>
        </w:rPr>
        <w:t xml:space="preserve"> amperios era consumida de forma constante durante 12 horas diarias.</w:t>
      </w:r>
    </w:p>
    <w:p w14:paraId="5190270E" w14:textId="77777777" w:rsidR="00857940" w:rsidRPr="00857940" w:rsidRDefault="00857940" w:rsidP="00857940">
      <w:pPr>
        <w:autoSpaceDE w:val="0"/>
        <w:spacing w:after="0" w:line="240" w:lineRule="auto"/>
        <w:ind w:left="426"/>
        <w:jc w:val="both"/>
        <w:rPr>
          <w:rFonts w:ascii="Museo Sans 300" w:hAnsi="Museo Sans 300"/>
          <w:sz w:val="20"/>
          <w:szCs w:val="20"/>
          <w:lang w:val="es-ES"/>
        </w:rPr>
      </w:pPr>
    </w:p>
    <w:p w14:paraId="411A9226" w14:textId="77777777" w:rsidR="00857940" w:rsidRDefault="00857940" w:rsidP="00857940">
      <w:pPr>
        <w:pStyle w:val="Prrafodelista"/>
        <w:numPr>
          <w:ilvl w:val="1"/>
          <w:numId w:val="2"/>
        </w:numPr>
        <w:autoSpaceDE w:val="0"/>
        <w:ind w:left="993" w:hanging="426"/>
        <w:jc w:val="both"/>
        <w:rPr>
          <w:rFonts w:ascii="Museo Sans 300" w:hAnsi="Museo Sans 300"/>
          <w:sz w:val="20"/>
          <w:szCs w:val="20"/>
        </w:rPr>
      </w:pPr>
      <w:r w:rsidRPr="00857940">
        <w:rPr>
          <w:rFonts w:ascii="Museo Sans 300" w:hAnsi="Museo Sans 300"/>
          <w:sz w:val="20"/>
          <w:szCs w:val="20"/>
        </w:rPr>
        <w:t xml:space="preserve">No es posible establecer si la corriente instantánea utilizada corresponde a una “corriente de trabajo” (nominal) o a una “corriente de arranque” de equipos eléctricos de tipo inductivo (refrigeradoras, aire acondicionado, lavadoras, ventiladores, equipos de bombeo, entre otros). </w:t>
      </w:r>
    </w:p>
    <w:p w14:paraId="33658769" w14:textId="77777777" w:rsidR="00857940" w:rsidRPr="00857940" w:rsidRDefault="00857940" w:rsidP="00857940">
      <w:pPr>
        <w:pStyle w:val="Prrafodelista"/>
        <w:rPr>
          <w:rFonts w:ascii="Museo Sans 300" w:hAnsi="Museo Sans 300"/>
          <w:sz w:val="20"/>
          <w:szCs w:val="20"/>
        </w:rPr>
      </w:pPr>
    </w:p>
    <w:p w14:paraId="639E6B7A" w14:textId="628FC7D2" w:rsidR="00857940" w:rsidRDefault="00AC07A4" w:rsidP="00857940">
      <w:pPr>
        <w:pStyle w:val="Prrafodelista"/>
        <w:autoSpaceDE w:val="0"/>
        <w:ind w:left="993"/>
        <w:jc w:val="both"/>
        <w:rPr>
          <w:rFonts w:ascii="Museo Sans 300" w:hAnsi="Museo Sans 300"/>
          <w:sz w:val="20"/>
          <w:szCs w:val="20"/>
        </w:rPr>
      </w:pPr>
      <w:r>
        <w:rPr>
          <w:rFonts w:ascii="Museo Sans 300" w:hAnsi="Museo Sans 300"/>
          <w:sz w:val="20"/>
          <w:szCs w:val="20"/>
        </w:rPr>
        <w:t xml:space="preserve">Asimismo, el CAU verificó que </w:t>
      </w:r>
      <w:r w:rsidR="00857940" w:rsidRPr="00857940">
        <w:rPr>
          <w:rFonts w:ascii="Museo Sans 300" w:hAnsi="Museo Sans 300"/>
          <w:sz w:val="20"/>
          <w:szCs w:val="20"/>
        </w:rPr>
        <w:t xml:space="preserve">la vivienda posee </w:t>
      </w:r>
      <w:r>
        <w:rPr>
          <w:rFonts w:ascii="Museo Sans 300" w:hAnsi="Museo Sans 300"/>
          <w:sz w:val="20"/>
          <w:szCs w:val="20"/>
        </w:rPr>
        <w:t>un aire acondicionado, dos cámaras refrigerantes, una refrigeradora, una lavadora y un ventilador</w:t>
      </w:r>
      <w:r w:rsidR="00857940" w:rsidRPr="00857940">
        <w:rPr>
          <w:rFonts w:ascii="Museo Sans 300" w:hAnsi="Museo Sans 300"/>
          <w:sz w:val="20"/>
          <w:szCs w:val="20"/>
        </w:rPr>
        <w:t xml:space="preserve">, equipos que son de tipo inductivo, </w:t>
      </w:r>
      <w:bookmarkStart w:id="1" w:name="_Hlk114038524"/>
      <w:r w:rsidR="00857940" w:rsidRPr="00857940">
        <w:rPr>
          <w:rFonts w:ascii="Museo Sans 300" w:hAnsi="Museo Sans 300"/>
          <w:sz w:val="20"/>
          <w:szCs w:val="20"/>
        </w:rPr>
        <w:t xml:space="preserve">los cuales durante el proceso de arranque se caracterizan por un elevado consumo de corriente momentáneo (pico de consumo energético), el cual posteriormente disminuye y se estabiliza; dicha corriente máxima es denominada “corriente de arranque”. </w:t>
      </w:r>
    </w:p>
    <w:p w14:paraId="16874B4B" w14:textId="77777777" w:rsidR="00857940" w:rsidRDefault="00857940" w:rsidP="00857940">
      <w:pPr>
        <w:pStyle w:val="Prrafodelista"/>
        <w:autoSpaceDE w:val="0"/>
        <w:ind w:left="993"/>
        <w:jc w:val="both"/>
        <w:rPr>
          <w:rFonts w:ascii="Museo Sans 300" w:hAnsi="Museo Sans 300"/>
          <w:sz w:val="20"/>
          <w:szCs w:val="20"/>
        </w:rPr>
      </w:pPr>
    </w:p>
    <w:p w14:paraId="73775D3B" w14:textId="4F8E05F4" w:rsidR="00857940" w:rsidRPr="00857940" w:rsidRDefault="00857940" w:rsidP="00857940">
      <w:pPr>
        <w:pStyle w:val="Prrafodelista"/>
        <w:autoSpaceDE w:val="0"/>
        <w:ind w:left="993"/>
        <w:jc w:val="both"/>
        <w:rPr>
          <w:rFonts w:ascii="Museo Sans 300" w:hAnsi="Museo Sans 300"/>
          <w:sz w:val="20"/>
          <w:szCs w:val="20"/>
        </w:rPr>
      </w:pPr>
      <w:r w:rsidRPr="00857940">
        <w:rPr>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bookmarkEnd w:id="1"/>
    <w:p w14:paraId="45409E2A" w14:textId="77777777" w:rsidR="00857940" w:rsidRPr="00857940" w:rsidRDefault="00857940" w:rsidP="00857940">
      <w:pPr>
        <w:autoSpaceDE w:val="0"/>
        <w:spacing w:after="0" w:line="240" w:lineRule="auto"/>
        <w:ind w:left="426"/>
        <w:jc w:val="both"/>
        <w:rPr>
          <w:rFonts w:ascii="Museo Sans 300" w:hAnsi="Museo Sans 300"/>
          <w:sz w:val="20"/>
          <w:szCs w:val="20"/>
        </w:rPr>
      </w:pPr>
    </w:p>
    <w:p w14:paraId="4F05B2B6" w14:textId="77777777" w:rsidR="00857940" w:rsidRDefault="00857940" w:rsidP="00857940">
      <w:pPr>
        <w:pStyle w:val="Prrafodelista"/>
        <w:numPr>
          <w:ilvl w:val="1"/>
          <w:numId w:val="2"/>
        </w:numPr>
        <w:autoSpaceDE w:val="0"/>
        <w:ind w:left="993" w:hanging="426"/>
        <w:jc w:val="both"/>
        <w:rPr>
          <w:rFonts w:ascii="Museo Sans 300" w:hAnsi="Museo Sans 300"/>
          <w:sz w:val="20"/>
          <w:szCs w:val="20"/>
        </w:rPr>
      </w:pPr>
      <w:r w:rsidRPr="00857940">
        <w:rPr>
          <w:rFonts w:ascii="Museo Sans 300" w:hAnsi="Museo Sans 300"/>
          <w:sz w:val="20"/>
          <w:szCs w:val="20"/>
        </w:rPr>
        <w:t xml:space="preserve">Sobre las mediciones instantáneas presentadas por la distribuidora, se advirtió </w:t>
      </w:r>
      <w:proofErr w:type="gramStart"/>
      <w:r w:rsidRPr="00857940">
        <w:rPr>
          <w:rFonts w:ascii="Museo Sans 300" w:hAnsi="Museo Sans 300"/>
          <w:sz w:val="20"/>
          <w:szCs w:val="20"/>
        </w:rPr>
        <w:t>que</w:t>
      </w:r>
      <w:proofErr w:type="gramEnd"/>
      <w:r w:rsidRPr="00857940">
        <w:rPr>
          <w:rFonts w:ascii="Museo Sans 300" w:hAnsi="Museo Sans 300"/>
          <w:sz w:val="20"/>
          <w:szCs w:val="20"/>
        </w:rPr>
        <w:t xml:space="preserve"> en la pantalla digital del amperímetro, el gráfico de barras analógico del instrumento registró un valor menor a la corriente que muestran los “</w:t>
      </w:r>
      <w:proofErr w:type="spellStart"/>
      <w:r w:rsidRPr="00857940">
        <w:rPr>
          <w:rFonts w:ascii="Museo Sans 300" w:hAnsi="Museo Sans 300"/>
          <w:i/>
          <w:iCs/>
          <w:sz w:val="20"/>
          <w:szCs w:val="20"/>
        </w:rPr>
        <w:t>display</w:t>
      </w:r>
      <w:proofErr w:type="spellEnd"/>
      <w:r w:rsidRPr="00857940">
        <w:rPr>
          <w:rFonts w:ascii="Museo Sans 300" w:hAnsi="Museo Sans 300"/>
          <w:i/>
          <w:iCs/>
          <w:sz w:val="20"/>
          <w:szCs w:val="20"/>
        </w:rPr>
        <w:t>”</w:t>
      </w:r>
      <w:r w:rsidRPr="00857940">
        <w:rPr>
          <w:rFonts w:ascii="Museo Sans 300" w:hAnsi="Museo Sans 300"/>
          <w:sz w:val="20"/>
          <w:szCs w:val="20"/>
        </w:rPr>
        <w:t xml:space="preserve"> de 7 segmentos.</w:t>
      </w:r>
    </w:p>
    <w:p w14:paraId="7E638997" w14:textId="77777777" w:rsidR="00857940" w:rsidRDefault="00857940" w:rsidP="00857940">
      <w:pPr>
        <w:pStyle w:val="Prrafodelista"/>
        <w:autoSpaceDE w:val="0"/>
        <w:ind w:left="993"/>
        <w:jc w:val="both"/>
        <w:rPr>
          <w:rFonts w:ascii="Museo Sans 300" w:hAnsi="Museo Sans 300"/>
          <w:sz w:val="20"/>
          <w:szCs w:val="20"/>
        </w:rPr>
      </w:pPr>
    </w:p>
    <w:p w14:paraId="27FF33E0" w14:textId="28A5DEDD" w:rsidR="00857940" w:rsidRPr="00857940" w:rsidRDefault="00857940" w:rsidP="00857940">
      <w:pPr>
        <w:pStyle w:val="Prrafodelista"/>
        <w:autoSpaceDE w:val="0"/>
        <w:ind w:left="993"/>
        <w:jc w:val="both"/>
        <w:rPr>
          <w:rFonts w:ascii="Museo Sans 300" w:hAnsi="Museo Sans 300"/>
          <w:sz w:val="20"/>
          <w:szCs w:val="20"/>
        </w:rPr>
      </w:pPr>
      <w:r w:rsidRPr="00857940">
        <w:rPr>
          <w:rFonts w:ascii="Museo Sans 300" w:hAnsi="Museo Sans 300"/>
          <w:sz w:val="20"/>
          <w:szCs w:val="20"/>
        </w:rPr>
        <w:t xml:space="preserve">Lo observado permite establecer una incongruencia y falta de precisión en las mediciones realizadas a la línea directa, pues el personal de la empresa distribuidora no espero que la escala digital se estabilizara, lo cual hubiera permitido obtener una lectura de corriente coherente con la escala analógica. </w:t>
      </w:r>
    </w:p>
    <w:p w14:paraId="0475E601" w14:textId="77777777" w:rsidR="00857940" w:rsidRPr="00857940" w:rsidRDefault="00857940" w:rsidP="00857940">
      <w:pPr>
        <w:autoSpaceDE w:val="0"/>
        <w:spacing w:after="0" w:line="240" w:lineRule="auto"/>
        <w:ind w:left="426"/>
        <w:jc w:val="both"/>
        <w:rPr>
          <w:rFonts w:ascii="Museo Sans 300" w:hAnsi="Museo Sans 300"/>
          <w:sz w:val="20"/>
          <w:szCs w:val="20"/>
        </w:rPr>
      </w:pPr>
    </w:p>
    <w:p w14:paraId="3A056EBC" w14:textId="77777777" w:rsidR="00857940" w:rsidRPr="00857940" w:rsidRDefault="00857940" w:rsidP="00857940">
      <w:pPr>
        <w:autoSpaceDE w:val="0"/>
        <w:spacing w:after="0" w:line="240" w:lineRule="auto"/>
        <w:ind w:left="426"/>
        <w:jc w:val="both"/>
        <w:rPr>
          <w:rFonts w:ascii="Museo Sans 300" w:hAnsi="Museo Sans 300"/>
          <w:sz w:val="20"/>
          <w:szCs w:val="20"/>
        </w:rPr>
      </w:pPr>
      <w:r w:rsidRPr="00857940">
        <w:rPr>
          <w:rFonts w:ascii="Museo Sans 300" w:hAnsi="Museo Sans 300"/>
          <w:sz w:val="20"/>
          <w:szCs w:val="20"/>
        </w:rPr>
        <w:t>Por ello, el CAU realizó un nuevo cálculo basado en los criterios siguientes:</w:t>
      </w:r>
    </w:p>
    <w:p w14:paraId="6B19BF1E" w14:textId="7D75E8E0" w:rsidR="00530358" w:rsidRPr="00530358" w:rsidRDefault="00530358" w:rsidP="00857940">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65CDC920" w:rsidR="00530358" w:rsidRPr="00530358" w:rsidRDefault="7CAF9953" w:rsidP="4404DD15">
      <w:pPr>
        <w:numPr>
          <w:ilvl w:val="0"/>
          <w:numId w:val="10"/>
        </w:numPr>
        <w:tabs>
          <w:tab w:val="clear" w:pos="720"/>
          <w:tab w:val="num" w:pos="1068"/>
        </w:tabs>
        <w:autoSpaceDE w:val="0"/>
        <w:spacing w:after="0" w:line="240" w:lineRule="auto"/>
        <w:ind w:left="1068"/>
        <w:jc w:val="both"/>
        <w:rPr>
          <w:rFonts w:ascii="Museo Sans 300" w:eastAsia="Museo Sans 300" w:hAnsi="Museo Sans 300" w:cs="Museo Sans 300"/>
          <w:sz w:val="20"/>
          <w:szCs w:val="20"/>
        </w:rPr>
      </w:pPr>
      <w:r w:rsidRPr="4404DD15">
        <w:rPr>
          <w:rFonts w:ascii="Museo Sans 300" w:eastAsia="Museo Sans 300" w:hAnsi="Museo Sans 300" w:cs="Museo Sans 300"/>
          <w:sz w:val="20"/>
          <w:szCs w:val="20"/>
        </w:rPr>
        <w:lastRenderedPageBreak/>
        <w:t xml:space="preserve">El valor de censo de carga estableció un consumo promedio mensual de </w:t>
      </w:r>
      <w:r w:rsidR="00426229">
        <w:rPr>
          <w:rFonts w:ascii="Museo Sans 300" w:hAnsi="Museo Sans 300"/>
          <w:color w:val="000000"/>
          <w:sz w:val="20"/>
          <w:szCs w:val="20"/>
          <w:shd w:val="clear" w:color="auto" w:fill="FFFFFF"/>
        </w:rPr>
        <w:t>708</w:t>
      </w:r>
      <w:r w:rsidR="0073401E">
        <w:rPr>
          <w:rFonts w:ascii="Museo Sans 300" w:hAnsi="Museo Sans 300"/>
          <w:color w:val="000000"/>
          <w:sz w:val="20"/>
          <w:szCs w:val="20"/>
          <w:shd w:val="clear" w:color="auto" w:fill="FFFFFF"/>
        </w:rPr>
        <w:t xml:space="preserve"> kWh</w:t>
      </w:r>
      <w:r w:rsidR="00530358" w:rsidRPr="00530358">
        <w:rPr>
          <w:rFonts w:ascii="Museo Sans 300" w:hAnsi="Museo Sans 300"/>
          <w:sz w:val="20"/>
          <w:szCs w:val="20"/>
        </w:rPr>
        <w:t>.</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72D1AF9C"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426229">
        <w:rPr>
          <w:rFonts w:ascii="Museo Sans 300" w:hAnsi="Museo Sans 300"/>
          <w:sz w:val="20"/>
          <w:szCs w:val="20"/>
          <w:lang w:val="es-ES"/>
        </w:rPr>
        <w:t>diecisiete de mayo</w:t>
      </w:r>
      <w:r w:rsidR="0073401E">
        <w:rPr>
          <w:rFonts w:ascii="Museo Sans 300" w:hAnsi="Museo Sans 300"/>
          <w:sz w:val="20"/>
          <w:szCs w:val="20"/>
          <w:lang w:val="es-ES"/>
        </w:rPr>
        <w:t xml:space="preserve"> </w:t>
      </w:r>
      <w:r w:rsidR="00FF0938">
        <w:rPr>
          <w:rFonts w:ascii="Museo Sans 300" w:hAnsi="Museo Sans 300"/>
          <w:sz w:val="20"/>
          <w:szCs w:val="20"/>
          <w:lang w:val="es-ES"/>
        </w:rPr>
        <w:t xml:space="preserve">al </w:t>
      </w:r>
      <w:r w:rsidR="00426229">
        <w:rPr>
          <w:rFonts w:ascii="Museo Sans 300" w:hAnsi="Museo Sans 300"/>
          <w:sz w:val="20"/>
          <w:szCs w:val="20"/>
          <w:lang w:val="es-ES"/>
        </w:rPr>
        <w:t>trece de noviem</w:t>
      </w:r>
      <w:r w:rsidR="00FF0938">
        <w:rPr>
          <w:rFonts w:ascii="Museo Sans 300" w:hAnsi="Museo Sans 300"/>
          <w:sz w:val="20"/>
          <w:szCs w:val="20"/>
          <w:lang w:val="es-ES"/>
        </w:rPr>
        <w:t>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6FDF02CC" w14:textId="77777777" w:rsidR="006B015F" w:rsidRDefault="006B015F" w:rsidP="006B015F">
      <w:pPr>
        <w:pStyle w:val="Prrafodelista"/>
        <w:rPr>
          <w:rFonts w:ascii="Museo Sans 300" w:hAnsi="Museo Sans 300"/>
          <w:sz w:val="20"/>
          <w:szCs w:val="20"/>
        </w:rPr>
      </w:pPr>
    </w:p>
    <w:p w14:paraId="3796FE61" w14:textId="7FA25503"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426229">
        <w:rPr>
          <w:rFonts w:ascii="Museo Sans 300" w:hAnsi="Museo Sans 300"/>
          <w:sz w:val="20"/>
          <w:szCs w:val="20"/>
        </w:rPr>
        <w:t>OCHOCIENTOS CINCUENTA Y DOS 09/100 DÓLARES DE LOS ESTADOS UNIDOS DE AMÉRICA (USD 852.09)</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06FA4889"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580E25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725E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083FC200"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77009C">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6725E1">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6A3500">
        <w:rPr>
          <w:rFonts w:ascii="Museo Sans 300" w:hAnsi="Museo Sans 300"/>
          <w:color w:val="000000"/>
          <w:sz w:val="20"/>
          <w:szCs w:val="20"/>
          <w:shd w:val="clear" w:color="auto" w:fill="FFFFFF"/>
        </w:rPr>
        <w:t>l</w:t>
      </w:r>
      <w:r w:rsidR="007503FB" w:rsidRPr="007503FB">
        <w:rPr>
          <w:rFonts w:ascii="Museo Sans 300" w:hAnsi="Museo Sans 300"/>
          <w:color w:val="000000"/>
          <w:sz w:val="20"/>
          <w:szCs w:val="20"/>
          <w:shd w:val="clear" w:color="auto" w:fill="FFFFFF"/>
        </w:rPr>
        <w:t xml:space="preserve">a conexión </w:t>
      </w:r>
      <w:r w:rsidR="006A3500">
        <w:rPr>
          <w:rFonts w:ascii="Museo Sans 300" w:hAnsi="Museo Sans 300"/>
          <w:color w:val="000000"/>
          <w:sz w:val="20"/>
          <w:szCs w:val="20"/>
          <w:shd w:val="clear" w:color="auto" w:fill="FFFFFF"/>
        </w:rPr>
        <w:t xml:space="preserve">de </w:t>
      </w:r>
      <w:r w:rsidR="005B5BDB">
        <w:rPr>
          <w:rFonts w:ascii="Museo Sans 300" w:hAnsi="Museo Sans 300"/>
          <w:color w:val="000000"/>
          <w:sz w:val="20"/>
          <w:szCs w:val="20"/>
          <w:shd w:val="clear" w:color="auto" w:fill="FFFFFF"/>
        </w:rPr>
        <w:t>una</w:t>
      </w:r>
      <w:r w:rsidR="006A3500" w:rsidRPr="007503FB">
        <w:rPr>
          <w:rFonts w:ascii="Museo Sans 300" w:hAnsi="Museo Sans 300"/>
          <w:color w:val="000000"/>
          <w:sz w:val="20"/>
          <w:szCs w:val="20"/>
          <w:shd w:val="clear" w:color="auto" w:fill="FFFFFF"/>
        </w:rPr>
        <w:t xml:space="preserve"> línea </w:t>
      </w:r>
      <w:r w:rsidR="006A3500">
        <w:rPr>
          <w:rFonts w:ascii="Museo Sans 300" w:hAnsi="Museo Sans 300"/>
          <w:color w:val="000000"/>
          <w:sz w:val="20"/>
          <w:szCs w:val="20"/>
          <w:shd w:val="clear" w:color="auto" w:fill="FFFFFF"/>
        </w:rPr>
        <w:t xml:space="preserve">eléctrica </w:t>
      </w:r>
      <w:r w:rsidR="007503FB" w:rsidRPr="007503FB">
        <w:rPr>
          <w:rFonts w:ascii="Museo Sans 300" w:hAnsi="Museo Sans 300"/>
          <w:color w:val="000000"/>
          <w:sz w:val="20"/>
          <w:szCs w:val="20"/>
          <w:shd w:val="clear" w:color="auto" w:fill="FFFFFF"/>
        </w:rPr>
        <w:t>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68AA0E5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26229">
        <w:rPr>
          <w:rFonts w:ascii="Museo Sans 300" w:hAnsi="Museo Sans 300"/>
          <w:sz w:val="20"/>
          <w:szCs w:val="20"/>
        </w:rPr>
        <w:t>OCHOCIENTOS CINCUENTA Y DOS 09/100 DÓLARES DE LOS ESTADOS UNIDOS DE AMÉRICA (USD 852.09)</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777777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A05051A"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77009C">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54E5197C" w:rsidR="000F325F" w:rsidRPr="0040793F" w:rsidRDefault="00BE3772" w:rsidP="0040793F">
      <w:pPr>
        <w:pStyle w:val="Prrafodelista"/>
        <w:numPr>
          <w:ilvl w:val="0"/>
          <w:numId w:val="21"/>
        </w:numPr>
        <w:ind w:left="567"/>
        <w:jc w:val="both"/>
        <w:rPr>
          <w:rFonts w:ascii="Museo Sans 300" w:eastAsia="Calibri" w:hAnsi="Museo Sans 300"/>
          <w:color w:val="000000"/>
          <w:sz w:val="20"/>
          <w:szCs w:val="20"/>
          <w:shd w:val="clear" w:color="auto" w:fill="FFFFFF"/>
        </w:rPr>
      </w:pPr>
      <w:r w:rsidRPr="0040793F">
        <w:rPr>
          <w:rFonts w:ascii="Museo Sans 300" w:hAnsi="Museo Sans 300"/>
          <w:color w:val="000000"/>
          <w:sz w:val="20"/>
          <w:szCs w:val="20"/>
          <w:shd w:val="clear" w:color="auto" w:fill="FFFFFF"/>
        </w:rPr>
        <w:t xml:space="preserve">Establecer que en el suministro identificado con el NIC </w:t>
      </w:r>
      <w:r w:rsidR="006725E1">
        <w:rPr>
          <w:rFonts w:ascii="Museo Sans 300" w:hAnsi="Museo Sans 300"/>
          <w:color w:val="000000"/>
          <w:sz w:val="20"/>
          <w:szCs w:val="20"/>
          <w:shd w:val="clear" w:color="auto" w:fill="FFFFFF"/>
        </w:rPr>
        <w:t>XXX</w:t>
      </w:r>
      <w:r w:rsidRPr="0040793F">
        <w:rPr>
          <w:rFonts w:ascii="Museo Sans 300" w:hAnsi="Museo Sans 300"/>
          <w:color w:val="000000"/>
          <w:sz w:val="20"/>
          <w:szCs w:val="20"/>
          <w:shd w:val="clear" w:color="auto" w:fill="FFFFFF"/>
        </w:rPr>
        <w:t xml:space="preserve"> </w:t>
      </w:r>
      <w:r w:rsidR="003F1049" w:rsidRPr="0040793F">
        <w:rPr>
          <w:rFonts w:ascii="Museo Sans 300" w:hAnsi="Museo Sans 300"/>
          <w:color w:val="000000"/>
          <w:sz w:val="20"/>
          <w:szCs w:val="20"/>
          <w:shd w:val="clear" w:color="auto" w:fill="FFFFFF"/>
        </w:rPr>
        <w:t xml:space="preserve">se comprobó </w:t>
      </w:r>
      <w:r w:rsidR="00D65418" w:rsidRPr="0040793F">
        <w:rPr>
          <w:rFonts w:ascii="Museo Sans 300" w:hAnsi="Museo Sans 300"/>
          <w:color w:val="000000"/>
          <w:sz w:val="20"/>
          <w:szCs w:val="20"/>
          <w:shd w:val="clear" w:color="auto" w:fill="FFFFFF"/>
        </w:rPr>
        <w:t xml:space="preserve">una condición irregular consistente </w:t>
      </w:r>
      <w:r w:rsidR="007503FB" w:rsidRPr="0040793F">
        <w:rPr>
          <w:rFonts w:ascii="Museo Sans 300" w:hAnsi="Museo Sans 300"/>
          <w:color w:val="000000"/>
          <w:sz w:val="20"/>
          <w:szCs w:val="20"/>
          <w:shd w:val="clear" w:color="auto" w:fill="FFFFFF"/>
        </w:rPr>
        <w:t xml:space="preserve">en </w:t>
      </w:r>
      <w:r w:rsidR="00F96462" w:rsidRPr="0040793F">
        <w:rPr>
          <w:rFonts w:ascii="Museo Sans 300" w:eastAsia="Calibri" w:hAnsi="Museo Sans 300"/>
          <w:color w:val="000000"/>
          <w:sz w:val="20"/>
          <w:szCs w:val="20"/>
          <w:shd w:val="clear" w:color="auto" w:fill="FFFFFF"/>
        </w:rPr>
        <w:t>una</w:t>
      </w:r>
      <w:r w:rsidR="006A3500" w:rsidRPr="0040793F">
        <w:rPr>
          <w:rFonts w:ascii="Museo Sans 300" w:eastAsia="Calibri" w:hAnsi="Museo Sans 300"/>
          <w:color w:val="000000"/>
          <w:sz w:val="20"/>
          <w:szCs w:val="20"/>
          <w:shd w:val="clear" w:color="auto" w:fill="FFFFFF"/>
        </w:rPr>
        <w:t xml:space="preserve"> línea </w:t>
      </w:r>
      <w:r w:rsidR="007503FB" w:rsidRPr="0040793F">
        <w:rPr>
          <w:rFonts w:ascii="Museo Sans 300" w:hAnsi="Museo Sans 300"/>
          <w:color w:val="000000"/>
          <w:sz w:val="20"/>
          <w:szCs w:val="20"/>
          <w:shd w:val="clear" w:color="auto" w:fill="FFFFFF"/>
        </w:rPr>
        <w:t xml:space="preserve">en derivación conectada en la acometida eléctrica, </w:t>
      </w:r>
      <w:r w:rsidR="00DF110F" w:rsidRPr="0040793F">
        <w:rPr>
          <w:rFonts w:ascii="Museo Sans 300" w:hAnsi="Museo Sans 300"/>
          <w:color w:val="000000"/>
          <w:sz w:val="20"/>
          <w:szCs w:val="20"/>
          <w:shd w:val="clear" w:color="auto" w:fill="FFFFFF"/>
        </w:rPr>
        <w:t>que ocasionó que no se registrara correctamente la energía consumida en el inmueble.</w:t>
      </w:r>
    </w:p>
    <w:p w14:paraId="4C7DF8AE" w14:textId="77777777" w:rsidR="00DF110F" w:rsidRPr="0040793F" w:rsidRDefault="00DF110F" w:rsidP="0040793F">
      <w:pPr>
        <w:spacing w:after="0" w:line="240" w:lineRule="auto"/>
        <w:ind w:left="567"/>
        <w:jc w:val="both"/>
        <w:rPr>
          <w:rFonts w:ascii="Museo Sans 300" w:hAnsi="Museo Sans 300"/>
          <w:color w:val="000000"/>
          <w:sz w:val="20"/>
          <w:szCs w:val="20"/>
          <w:shd w:val="clear" w:color="auto" w:fill="FFFFFF"/>
        </w:rPr>
      </w:pPr>
    </w:p>
    <w:p w14:paraId="37D7B93D" w14:textId="77777777" w:rsidR="0040793F" w:rsidRPr="0040793F" w:rsidRDefault="009D142E" w:rsidP="0040793F">
      <w:pPr>
        <w:pStyle w:val="Prrafodelista"/>
        <w:numPr>
          <w:ilvl w:val="0"/>
          <w:numId w:val="21"/>
        </w:numPr>
        <w:ind w:left="567"/>
        <w:jc w:val="both"/>
        <w:rPr>
          <w:rFonts w:ascii="Museo Sans 300" w:hAnsi="Museo Sans 300"/>
          <w:sz w:val="20"/>
          <w:szCs w:val="20"/>
        </w:rPr>
      </w:pPr>
      <w:r w:rsidRPr="0040793F">
        <w:rPr>
          <w:rFonts w:ascii="Museo Sans 300" w:hAnsi="Museo Sans 300"/>
          <w:color w:val="000000"/>
          <w:sz w:val="20"/>
          <w:szCs w:val="20"/>
          <w:shd w:val="clear" w:color="auto" w:fill="FFFFFF"/>
        </w:rPr>
        <w:t>Determinar</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que</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la</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sociedad</w:t>
      </w:r>
      <w:r w:rsidR="006662C8" w:rsidRPr="0040793F">
        <w:rPr>
          <w:rFonts w:ascii="Museo Sans 300" w:hAnsi="Museo Sans 300"/>
          <w:color w:val="000000"/>
          <w:sz w:val="20"/>
          <w:szCs w:val="20"/>
          <w:shd w:val="clear" w:color="auto" w:fill="FFFFFF"/>
        </w:rPr>
        <w:t xml:space="preserve"> </w:t>
      </w:r>
      <w:r w:rsidR="0014191F" w:rsidRPr="0040793F">
        <w:rPr>
          <w:rFonts w:ascii="Museo Sans 300" w:hAnsi="Museo Sans 300"/>
          <w:color w:val="000000"/>
          <w:sz w:val="20"/>
          <w:szCs w:val="20"/>
          <w:shd w:val="clear" w:color="auto" w:fill="FFFFFF"/>
        </w:rPr>
        <w:t>EEO</w:t>
      </w:r>
      <w:r w:rsidR="00563274" w:rsidRPr="0040793F">
        <w:rPr>
          <w:rFonts w:ascii="Museo Sans 300" w:hAnsi="Museo Sans 300"/>
          <w:color w:val="000000"/>
          <w:sz w:val="20"/>
          <w:szCs w:val="20"/>
          <w:shd w:val="clear" w:color="auto" w:fill="FFFFFF"/>
        </w:rPr>
        <w:t>,</w:t>
      </w:r>
      <w:r w:rsidR="006662C8" w:rsidRPr="0040793F">
        <w:rPr>
          <w:rFonts w:ascii="Museo Sans 300" w:hAnsi="Museo Sans 300"/>
          <w:color w:val="000000"/>
          <w:sz w:val="20"/>
          <w:szCs w:val="20"/>
          <w:shd w:val="clear" w:color="auto" w:fill="FFFFFF"/>
        </w:rPr>
        <w:t xml:space="preserve"> </w:t>
      </w:r>
      <w:r w:rsidR="00563274" w:rsidRPr="0040793F">
        <w:rPr>
          <w:rFonts w:ascii="Museo Sans 300" w:hAnsi="Museo Sans 300"/>
          <w:color w:val="000000"/>
          <w:sz w:val="20"/>
          <w:szCs w:val="20"/>
          <w:shd w:val="clear" w:color="auto" w:fill="FFFFFF"/>
        </w:rPr>
        <w:t>S.A.</w:t>
      </w:r>
      <w:r w:rsidR="006662C8" w:rsidRPr="0040793F">
        <w:rPr>
          <w:rFonts w:ascii="Museo Sans 300" w:hAnsi="Museo Sans 300"/>
          <w:color w:val="000000"/>
          <w:sz w:val="20"/>
          <w:szCs w:val="20"/>
          <w:shd w:val="clear" w:color="auto" w:fill="FFFFFF"/>
        </w:rPr>
        <w:t xml:space="preserve"> </w:t>
      </w:r>
      <w:r w:rsidR="00563274" w:rsidRPr="0040793F">
        <w:rPr>
          <w:rFonts w:ascii="Museo Sans 300" w:hAnsi="Museo Sans 300"/>
          <w:color w:val="000000"/>
          <w:sz w:val="20"/>
          <w:szCs w:val="20"/>
          <w:shd w:val="clear" w:color="auto" w:fill="FFFFFF"/>
        </w:rPr>
        <w:t>de</w:t>
      </w:r>
      <w:r w:rsidR="006662C8" w:rsidRPr="0040793F">
        <w:rPr>
          <w:rFonts w:ascii="Museo Sans 300" w:hAnsi="Museo Sans 300"/>
          <w:color w:val="000000"/>
          <w:sz w:val="20"/>
          <w:szCs w:val="20"/>
          <w:shd w:val="clear" w:color="auto" w:fill="FFFFFF"/>
        </w:rPr>
        <w:t xml:space="preserve"> </w:t>
      </w:r>
      <w:r w:rsidR="00563274" w:rsidRPr="0040793F">
        <w:rPr>
          <w:rFonts w:ascii="Museo Sans 300" w:hAnsi="Museo Sans 300"/>
          <w:color w:val="000000"/>
          <w:sz w:val="20"/>
          <w:szCs w:val="20"/>
          <w:shd w:val="clear" w:color="auto" w:fill="FFFFFF"/>
        </w:rPr>
        <w:t>C.V.</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tiene</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el</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derecho</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a</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recuperar</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la</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cantidad</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de</w:t>
      </w:r>
      <w:r w:rsidR="00663865" w:rsidRPr="0040793F">
        <w:rPr>
          <w:rFonts w:ascii="Museo Sans 300" w:hAnsi="Museo Sans 300"/>
          <w:color w:val="000000"/>
          <w:sz w:val="20"/>
          <w:szCs w:val="20"/>
          <w:shd w:val="clear" w:color="auto" w:fill="FFFFFF"/>
        </w:rPr>
        <w:t xml:space="preserve"> </w:t>
      </w:r>
      <w:r w:rsidR="00426229" w:rsidRPr="0040793F">
        <w:rPr>
          <w:rFonts w:ascii="Museo Sans 300" w:hAnsi="Museo Sans 300"/>
          <w:color w:val="000000"/>
          <w:sz w:val="20"/>
          <w:szCs w:val="20"/>
          <w:shd w:val="clear" w:color="auto" w:fill="FFFFFF"/>
        </w:rPr>
        <w:t>OCHOCIENTOS CINCUENTA Y DOS 09/100 DÓLARES DE LOS ESTADOS UNIDOS DE AMÉRICA (USD 852.09)</w:t>
      </w:r>
      <w:r w:rsidR="00053DB3"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IVA</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incluido,</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en</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concepto</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de</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energía</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no</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registrada,</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más</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los</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intereses</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correspondientes</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de</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conformidad</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con</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el</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artículo</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36</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de</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los</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Términos</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y</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Condiciones</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Generales</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al</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Consumidor</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Final,</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para</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el</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año</w:t>
      </w:r>
      <w:r w:rsidR="006662C8" w:rsidRPr="0040793F">
        <w:rPr>
          <w:rFonts w:ascii="Museo Sans 300" w:hAnsi="Museo Sans 300"/>
          <w:color w:val="000000"/>
          <w:sz w:val="20"/>
          <w:szCs w:val="20"/>
          <w:shd w:val="clear" w:color="auto" w:fill="FFFFFF"/>
        </w:rPr>
        <w:t xml:space="preserve"> </w:t>
      </w:r>
      <w:r w:rsidRPr="0040793F">
        <w:rPr>
          <w:rFonts w:ascii="Museo Sans 300" w:hAnsi="Museo Sans 300"/>
          <w:color w:val="000000"/>
          <w:sz w:val="20"/>
          <w:szCs w:val="20"/>
          <w:shd w:val="clear" w:color="auto" w:fill="FFFFFF"/>
        </w:rPr>
        <w:t>20</w:t>
      </w:r>
      <w:r w:rsidR="004914BC" w:rsidRPr="0040793F">
        <w:rPr>
          <w:rFonts w:ascii="Museo Sans 300" w:hAnsi="Museo Sans 300"/>
          <w:color w:val="000000"/>
          <w:sz w:val="20"/>
          <w:szCs w:val="20"/>
          <w:shd w:val="clear" w:color="auto" w:fill="FFFFFF"/>
        </w:rPr>
        <w:t>2</w:t>
      </w:r>
      <w:r w:rsidR="001D7273" w:rsidRPr="0040793F">
        <w:rPr>
          <w:rFonts w:ascii="Museo Sans 300" w:hAnsi="Museo Sans 300"/>
          <w:color w:val="000000"/>
          <w:sz w:val="20"/>
          <w:szCs w:val="20"/>
          <w:shd w:val="clear" w:color="auto" w:fill="FFFFFF"/>
        </w:rPr>
        <w:t>1</w:t>
      </w:r>
      <w:r w:rsidRPr="0040793F">
        <w:rPr>
          <w:rFonts w:ascii="Museo Sans 300" w:hAnsi="Museo Sans 300"/>
          <w:color w:val="000000"/>
          <w:sz w:val="20"/>
          <w:szCs w:val="20"/>
          <w:shd w:val="clear" w:color="auto" w:fill="FFFFFF"/>
        </w:rPr>
        <w:t>.</w:t>
      </w:r>
      <w:r w:rsidR="006662C8" w:rsidRPr="0040793F">
        <w:rPr>
          <w:rFonts w:ascii="Museo Sans 300" w:hAnsi="Museo Sans 300"/>
          <w:color w:val="000000"/>
          <w:sz w:val="20"/>
          <w:szCs w:val="20"/>
          <w:shd w:val="clear" w:color="auto" w:fill="FFFFFF"/>
        </w:rPr>
        <w:t xml:space="preserve"> </w:t>
      </w:r>
    </w:p>
    <w:p w14:paraId="69EA1CE5" w14:textId="77777777" w:rsidR="0040793F" w:rsidRPr="0040793F" w:rsidRDefault="0040793F" w:rsidP="0040793F">
      <w:pPr>
        <w:pStyle w:val="Prrafodelista"/>
        <w:rPr>
          <w:rFonts w:ascii="Museo Sans 300" w:hAnsi="Museo Sans 300"/>
          <w:color w:val="000000"/>
          <w:sz w:val="20"/>
          <w:szCs w:val="20"/>
          <w:shd w:val="clear" w:color="auto" w:fill="FFFFFF"/>
        </w:rPr>
      </w:pPr>
    </w:p>
    <w:p w14:paraId="601171BA" w14:textId="44919298" w:rsidR="00FF0938" w:rsidRPr="0040793F" w:rsidRDefault="00FF0938" w:rsidP="0040793F">
      <w:pPr>
        <w:pStyle w:val="Prrafodelista"/>
        <w:ind w:left="567"/>
        <w:jc w:val="both"/>
        <w:rPr>
          <w:rFonts w:ascii="Museo Sans 300" w:hAnsi="Museo Sans 300"/>
          <w:sz w:val="20"/>
          <w:szCs w:val="20"/>
        </w:rPr>
      </w:pPr>
      <w:r w:rsidRPr="0040793F">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77009C">
        <w:rPr>
          <w:rFonts w:ascii="Museo Sans 300" w:hAnsi="Museo Sans 300"/>
          <w:color w:val="000000"/>
          <w:sz w:val="20"/>
          <w:szCs w:val="20"/>
          <w:shd w:val="clear" w:color="auto" w:fill="FFFFFF"/>
        </w:rPr>
        <w:t>XXX</w:t>
      </w:r>
      <w:r w:rsidRPr="0040793F">
        <w:rPr>
          <w:rFonts w:ascii="Museo Sans 300" w:hAnsi="Museo Sans 300"/>
          <w:color w:val="000000"/>
          <w:sz w:val="20"/>
          <w:szCs w:val="20"/>
          <w:shd w:val="clear" w:color="auto" w:fill="FFFFFF"/>
        </w:rPr>
        <w:t xml:space="preserve"> rendido por el CAU de la SIGET. </w:t>
      </w:r>
    </w:p>
    <w:p w14:paraId="2A0AF55C" w14:textId="77777777" w:rsidR="00A95378" w:rsidRPr="0040793F" w:rsidRDefault="00A95378" w:rsidP="00A95378">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7FF21B63" w:rsidR="004961AA" w:rsidRPr="0040793F" w:rsidRDefault="00BD1CF2" w:rsidP="0040793F">
      <w:pPr>
        <w:pStyle w:val="Prrafodelista"/>
        <w:numPr>
          <w:ilvl w:val="0"/>
          <w:numId w:val="21"/>
        </w:numPr>
        <w:ind w:left="567"/>
        <w:jc w:val="both"/>
        <w:rPr>
          <w:rFonts w:ascii="Museo Sans 300" w:eastAsia="Calibri" w:hAnsi="Museo Sans 300" w:cs="Arial"/>
          <w:color w:val="000000"/>
          <w:sz w:val="20"/>
          <w:szCs w:val="20"/>
          <w:shd w:val="clear" w:color="auto" w:fill="FFFFFF"/>
          <w:lang w:val="es-SV" w:eastAsia="en-US"/>
        </w:rPr>
      </w:pPr>
      <w:r w:rsidRPr="0040793F">
        <w:rPr>
          <w:rFonts w:ascii="Museo Sans 300" w:hAnsi="Museo Sans 300" w:cs="Arial"/>
          <w:color w:val="000000"/>
          <w:sz w:val="20"/>
          <w:szCs w:val="20"/>
          <w:shd w:val="clear" w:color="auto" w:fill="FFFFFF"/>
          <w:lang w:val="es-SV"/>
        </w:rPr>
        <w:t>Noti</w:t>
      </w:r>
      <w:r w:rsidR="004F5F8B" w:rsidRPr="0040793F">
        <w:rPr>
          <w:rFonts w:ascii="Museo Sans 300" w:hAnsi="Museo Sans 300" w:cs="Arial"/>
          <w:color w:val="000000"/>
          <w:sz w:val="20"/>
          <w:szCs w:val="20"/>
          <w:shd w:val="clear" w:color="auto" w:fill="FFFFFF"/>
          <w:lang w:val="es-SV"/>
        </w:rPr>
        <w:t>ficar</w:t>
      </w:r>
      <w:r w:rsidR="006662C8" w:rsidRPr="0040793F">
        <w:rPr>
          <w:rFonts w:ascii="Museo Sans 300" w:hAnsi="Museo Sans 300" w:cs="Arial"/>
          <w:color w:val="000000"/>
          <w:sz w:val="20"/>
          <w:szCs w:val="20"/>
          <w:shd w:val="clear" w:color="auto" w:fill="FFFFFF"/>
          <w:lang w:val="es-SV"/>
        </w:rPr>
        <w:t xml:space="preserve"> </w:t>
      </w:r>
      <w:r w:rsidR="004F5F8B" w:rsidRPr="0040793F">
        <w:rPr>
          <w:rFonts w:ascii="Museo Sans 300" w:hAnsi="Museo Sans 300" w:cs="Arial"/>
          <w:color w:val="000000"/>
          <w:sz w:val="20"/>
          <w:szCs w:val="20"/>
          <w:shd w:val="clear" w:color="auto" w:fill="FFFFFF"/>
          <w:lang w:val="es-SV"/>
        </w:rPr>
        <w:t>este</w:t>
      </w:r>
      <w:r w:rsidR="006662C8" w:rsidRPr="0040793F">
        <w:rPr>
          <w:rFonts w:ascii="Museo Sans 300" w:hAnsi="Museo Sans 300" w:cs="Arial"/>
          <w:color w:val="000000"/>
          <w:sz w:val="20"/>
          <w:szCs w:val="20"/>
          <w:shd w:val="clear" w:color="auto" w:fill="FFFFFF"/>
          <w:lang w:val="es-SV"/>
        </w:rPr>
        <w:t xml:space="preserve"> </w:t>
      </w:r>
      <w:r w:rsidR="004F5F8B" w:rsidRPr="0040793F">
        <w:rPr>
          <w:rFonts w:ascii="Museo Sans 300" w:hAnsi="Museo Sans 300" w:cs="Arial"/>
          <w:color w:val="000000"/>
          <w:sz w:val="20"/>
          <w:szCs w:val="20"/>
          <w:shd w:val="clear" w:color="auto" w:fill="FFFFFF"/>
          <w:lang w:val="es-SV"/>
        </w:rPr>
        <w:t>acuerdo</w:t>
      </w:r>
      <w:r w:rsidR="006662C8" w:rsidRPr="0040793F">
        <w:rPr>
          <w:rFonts w:ascii="Museo Sans 300" w:hAnsi="Museo Sans 300" w:cs="Arial"/>
          <w:color w:val="000000"/>
          <w:sz w:val="20"/>
          <w:szCs w:val="20"/>
          <w:shd w:val="clear" w:color="auto" w:fill="FFFFFF"/>
          <w:lang w:val="es-SV"/>
        </w:rPr>
        <w:t xml:space="preserve"> </w:t>
      </w:r>
      <w:r w:rsidR="00663865" w:rsidRPr="0040793F">
        <w:rPr>
          <w:rFonts w:ascii="Museo Sans 300" w:hAnsi="Museo Sans 300" w:cs="Arial"/>
          <w:color w:val="000000"/>
          <w:sz w:val="20"/>
          <w:szCs w:val="20"/>
          <w:shd w:val="clear" w:color="auto" w:fill="FFFFFF"/>
          <w:lang w:val="es-SV"/>
        </w:rPr>
        <w:t>a</w:t>
      </w:r>
      <w:r w:rsidR="008E73E4" w:rsidRPr="0040793F">
        <w:rPr>
          <w:rFonts w:ascii="Museo Sans 300" w:hAnsi="Museo Sans 300" w:cs="Arial"/>
          <w:color w:val="000000"/>
          <w:sz w:val="20"/>
          <w:szCs w:val="20"/>
          <w:shd w:val="clear" w:color="auto" w:fill="FFFFFF"/>
          <w:lang w:val="es-SV"/>
        </w:rPr>
        <w:t xml:space="preserve"> </w:t>
      </w:r>
      <w:r w:rsidR="00741F23" w:rsidRPr="0040793F">
        <w:rPr>
          <w:rStyle w:val="normaltextrun"/>
          <w:rFonts w:ascii="Museo Sans 300" w:hAnsi="Museo Sans 300"/>
          <w:color w:val="000000"/>
          <w:sz w:val="20"/>
          <w:szCs w:val="20"/>
          <w:shd w:val="clear" w:color="auto" w:fill="FFFFFF"/>
        </w:rPr>
        <w:t xml:space="preserve">la señora </w:t>
      </w:r>
      <w:r w:rsidR="006725E1">
        <w:rPr>
          <w:rStyle w:val="normaltextrun"/>
          <w:rFonts w:ascii="Museo Sans 300" w:hAnsi="Museo Sans 300"/>
          <w:color w:val="000000"/>
          <w:sz w:val="20"/>
          <w:szCs w:val="20"/>
          <w:shd w:val="clear" w:color="auto" w:fill="FFFFFF"/>
        </w:rPr>
        <w:t>XXX</w:t>
      </w:r>
      <w:r w:rsidR="00741F23" w:rsidRPr="0040793F">
        <w:rPr>
          <w:rStyle w:val="normaltextrun"/>
          <w:rFonts w:ascii="Museo Sans 300" w:hAnsi="Museo Sans 300"/>
          <w:color w:val="000000"/>
          <w:sz w:val="20"/>
          <w:szCs w:val="20"/>
          <w:shd w:val="clear" w:color="auto" w:fill="FFFFFF"/>
        </w:rPr>
        <w:t xml:space="preserve"> </w:t>
      </w:r>
      <w:r w:rsidR="00B91D6D" w:rsidRPr="0040793F">
        <w:rPr>
          <w:rFonts w:ascii="Museo Sans 300" w:hAnsi="Museo Sans 300" w:cs="Arial"/>
          <w:color w:val="000000"/>
          <w:sz w:val="20"/>
          <w:szCs w:val="20"/>
          <w:shd w:val="clear" w:color="auto" w:fill="FFFFFF"/>
          <w:lang w:val="es-SV"/>
        </w:rPr>
        <w:t>y</w:t>
      </w:r>
      <w:r w:rsidR="006662C8" w:rsidRPr="0040793F">
        <w:rPr>
          <w:rFonts w:ascii="Museo Sans 300" w:hAnsi="Museo Sans 300" w:cs="Arial"/>
          <w:color w:val="000000"/>
          <w:sz w:val="20"/>
          <w:szCs w:val="20"/>
          <w:shd w:val="clear" w:color="auto" w:fill="FFFFFF"/>
          <w:lang w:val="es-SV"/>
        </w:rPr>
        <w:t xml:space="preserve"> </w:t>
      </w:r>
      <w:r w:rsidR="00B91D6D" w:rsidRPr="0040793F">
        <w:rPr>
          <w:rFonts w:ascii="Museo Sans 300" w:hAnsi="Museo Sans 300" w:cs="Arial"/>
          <w:color w:val="000000"/>
          <w:sz w:val="20"/>
          <w:szCs w:val="20"/>
          <w:shd w:val="clear" w:color="auto" w:fill="FFFFFF"/>
          <w:lang w:val="es-SV"/>
        </w:rPr>
        <w:t>a</w:t>
      </w:r>
      <w:r w:rsidR="006662C8" w:rsidRPr="0040793F">
        <w:rPr>
          <w:rFonts w:ascii="Museo Sans 300" w:hAnsi="Museo Sans 300" w:cs="Arial"/>
          <w:color w:val="000000"/>
          <w:sz w:val="20"/>
          <w:szCs w:val="20"/>
          <w:shd w:val="clear" w:color="auto" w:fill="FFFFFF"/>
          <w:lang w:val="es-SV"/>
        </w:rPr>
        <w:t xml:space="preserve"> </w:t>
      </w:r>
      <w:r w:rsidR="00B91D6D" w:rsidRPr="0040793F">
        <w:rPr>
          <w:rFonts w:ascii="Museo Sans 300" w:hAnsi="Museo Sans 300" w:cs="Arial"/>
          <w:color w:val="000000"/>
          <w:sz w:val="20"/>
          <w:szCs w:val="20"/>
          <w:shd w:val="clear" w:color="auto" w:fill="FFFFFF"/>
          <w:lang w:val="es-SV"/>
        </w:rPr>
        <w:t>la</w:t>
      </w:r>
      <w:r w:rsidR="006662C8" w:rsidRPr="0040793F">
        <w:rPr>
          <w:rFonts w:ascii="Museo Sans 300" w:hAnsi="Museo Sans 300" w:cs="Arial"/>
          <w:color w:val="000000"/>
          <w:sz w:val="20"/>
          <w:szCs w:val="20"/>
          <w:shd w:val="clear" w:color="auto" w:fill="FFFFFF"/>
          <w:lang w:val="es-SV"/>
        </w:rPr>
        <w:t xml:space="preserve"> </w:t>
      </w:r>
      <w:r w:rsidR="00B91D6D" w:rsidRPr="0040793F">
        <w:rPr>
          <w:rFonts w:ascii="Museo Sans 300" w:hAnsi="Museo Sans 300" w:cs="Arial"/>
          <w:color w:val="000000"/>
          <w:sz w:val="20"/>
          <w:szCs w:val="20"/>
          <w:shd w:val="clear" w:color="auto" w:fill="FFFFFF"/>
          <w:lang w:val="es-SV"/>
        </w:rPr>
        <w:t>sociedad</w:t>
      </w:r>
      <w:r w:rsidR="006662C8" w:rsidRPr="0040793F">
        <w:rPr>
          <w:rFonts w:ascii="Museo Sans 300" w:hAnsi="Museo Sans 300" w:cs="Arial"/>
          <w:color w:val="000000"/>
          <w:sz w:val="20"/>
          <w:szCs w:val="20"/>
          <w:shd w:val="clear" w:color="auto" w:fill="FFFFFF"/>
          <w:lang w:val="es-SV"/>
        </w:rPr>
        <w:t xml:space="preserve"> </w:t>
      </w:r>
      <w:r w:rsidR="0014191F" w:rsidRPr="0040793F">
        <w:rPr>
          <w:rFonts w:ascii="Museo Sans 300" w:hAnsi="Museo Sans 300" w:cs="Arial"/>
          <w:color w:val="000000"/>
          <w:sz w:val="20"/>
          <w:szCs w:val="20"/>
          <w:shd w:val="clear" w:color="auto" w:fill="FFFFFF"/>
          <w:lang w:val="es-SV"/>
        </w:rPr>
        <w:t>EEO</w:t>
      </w:r>
      <w:r w:rsidR="00563274" w:rsidRPr="0040793F">
        <w:rPr>
          <w:rFonts w:ascii="Museo Sans 300" w:hAnsi="Museo Sans 300" w:cs="Arial"/>
          <w:color w:val="000000"/>
          <w:sz w:val="20"/>
          <w:szCs w:val="20"/>
          <w:shd w:val="clear" w:color="auto" w:fill="FFFFFF"/>
          <w:lang w:val="es-SV"/>
        </w:rPr>
        <w:t>,</w:t>
      </w:r>
      <w:r w:rsidR="006662C8" w:rsidRPr="0040793F">
        <w:rPr>
          <w:rFonts w:ascii="Museo Sans 300" w:hAnsi="Museo Sans 300" w:cs="Arial"/>
          <w:color w:val="000000"/>
          <w:sz w:val="20"/>
          <w:szCs w:val="20"/>
          <w:shd w:val="clear" w:color="auto" w:fill="FFFFFF"/>
          <w:lang w:val="es-SV"/>
        </w:rPr>
        <w:t xml:space="preserve"> </w:t>
      </w:r>
      <w:r w:rsidR="00563274" w:rsidRPr="0040793F">
        <w:rPr>
          <w:rFonts w:ascii="Museo Sans 300" w:hAnsi="Museo Sans 300" w:cs="Arial"/>
          <w:color w:val="000000"/>
          <w:sz w:val="20"/>
          <w:szCs w:val="20"/>
          <w:shd w:val="clear" w:color="auto" w:fill="FFFFFF"/>
          <w:lang w:val="es-SV"/>
        </w:rPr>
        <w:t>S.A.</w:t>
      </w:r>
      <w:r w:rsidR="006662C8" w:rsidRPr="0040793F">
        <w:rPr>
          <w:rFonts w:ascii="Museo Sans 300" w:hAnsi="Museo Sans 300" w:cs="Arial"/>
          <w:color w:val="000000"/>
          <w:sz w:val="20"/>
          <w:szCs w:val="20"/>
          <w:shd w:val="clear" w:color="auto" w:fill="FFFFFF"/>
          <w:lang w:val="es-SV"/>
        </w:rPr>
        <w:t xml:space="preserve"> </w:t>
      </w:r>
      <w:r w:rsidR="00563274" w:rsidRPr="0040793F">
        <w:rPr>
          <w:rFonts w:ascii="Museo Sans 300" w:hAnsi="Museo Sans 300" w:cs="Arial"/>
          <w:color w:val="000000"/>
          <w:sz w:val="20"/>
          <w:szCs w:val="20"/>
          <w:shd w:val="clear" w:color="auto" w:fill="FFFFFF"/>
          <w:lang w:val="es-SV"/>
        </w:rPr>
        <w:t>de</w:t>
      </w:r>
      <w:r w:rsidR="006662C8" w:rsidRPr="0040793F">
        <w:rPr>
          <w:rFonts w:ascii="Museo Sans 300" w:hAnsi="Museo Sans 300" w:cs="Arial"/>
          <w:color w:val="000000"/>
          <w:sz w:val="20"/>
          <w:szCs w:val="20"/>
          <w:shd w:val="clear" w:color="auto" w:fill="FFFFFF"/>
          <w:lang w:val="es-SV"/>
        </w:rPr>
        <w:t xml:space="preserve"> </w:t>
      </w:r>
      <w:r w:rsidR="00563274" w:rsidRPr="0040793F">
        <w:rPr>
          <w:rFonts w:ascii="Museo Sans 300" w:hAnsi="Museo Sans 300" w:cs="Arial"/>
          <w:color w:val="000000"/>
          <w:sz w:val="20"/>
          <w:szCs w:val="20"/>
          <w:shd w:val="clear" w:color="auto" w:fill="FFFFFF"/>
          <w:lang w:val="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725E1">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AE24" w14:textId="77777777" w:rsidR="00C61DBA" w:rsidRDefault="00C61DBA">
      <w:pPr>
        <w:spacing w:after="0" w:line="240" w:lineRule="auto"/>
      </w:pPr>
      <w:r>
        <w:separator/>
      </w:r>
    </w:p>
  </w:endnote>
  <w:endnote w:type="continuationSeparator" w:id="0">
    <w:p w14:paraId="2A046749" w14:textId="77777777" w:rsidR="00C61DBA" w:rsidRDefault="00C61DBA">
      <w:pPr>
        <w:spacing w:after="0" w:line="240" w:lineRule="auto"/>
      </w:pPr>
      <w:r>
        <w:continuationSeparator/>
      </w:r>
    </w:p>
  </w:endnote>
  <w:endnote w:type="continuationNotice" w:id="1">
    <w:p w14:paraId="0C69B394" w14:textId="77777777" w:rsidR="00C61DBA" w:rsidRDefault="00C61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4AF0" w14:textId="77777777" w:rsidR="00C61DBA" w:rsidRDefault="00C61DBA">
      <w:pPr>
        <w:spacing w:after="0" w:line="240" w:lineRule="auto"/>
      </w:pPr>
      <w:r>
        <w:rPr>
          <w:color w:val="000000"/>
        </w:rPr>
        <w:separator/>
      </w:r>
    </w:p>
  </w:footnote>
  <w:footnote w:type="continuationSeparator" w:id="0">
    <w:p w14:paraId="5E0C3818" w14:textId="77777777" w:rsidR="00C61DBA" w:rsidRDefault="00C61DBA">
      <w:pPr>
        <w:spacing w:after="0" w:line="240" w:lineRule="auto"/>
      </w:pPr>
      <w:r>
        <w:continuationSeparator/>
      </w:r>
    </w:p>
  </w:footnote>
  <w:footnote w:type="continuationNotice" w:id="1">
    <w:p w14:paraId="09D47523" w14:textId="77777777" w:rsidR="00C61DBA" w:rsidRDefault="00C61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2E97197"/>
    <w:multiLevelType w:val="hybridMultilevel"/>
    <w:tmpl w:val="B8F4DFA0"/>
    <w:lvl w:ilvl="0" w:tplc="A5620BB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0"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16"/>
  </w:num>
  <w:num w:numId="2" w16cid:durableId="928197553">
    <w:abstractNumId w:val="8"/>
  </w:num>
  <w:num w:numId="3" w16cid:durableId="1243876699">
    <w:abstractNumId w:val="12"/>
  </w:num>
  <w:num w:numId="4" w16cid:durableId="366300204">
    <w:abstractNumId w:val="7"/>
  </w:num>
  <w:num w:numId="5" w16cid:durableId="264658130">
    <w:abstractNumId w:val="2"/>
  </w:num>
  <w:num w:numId="6" w16cid:durableId="1854177027">
    <w:abstractNumId w:val="9"/>
  </w:num>
  <w:num w:numId="7" w16cid:durableId="239561887">
    <w:abstractNumId w:val="14"/>
  </w:num>
  <w:num w:numId="8" w16cid:durableId="1939946484">
    <w:abstractNumId w:val="3"/>
  </w:num>
  <w:num w:numId="9" w16cid:durableId="273251262">
    <w:abstractNumId w:val="15"/>
  </w:num>
  <w:num w:numId="10" w16cid:durableId="255946365">
    <w:abstractNumId w:val="1"/>
  </w:num>
  <w:num w:numId="11" w16cid:durableId="1745450826">
    <w:abstractNumId w:val="0"/>
  </w:num>
  <w:num w:numId="12" w16cid:durableId="985889100">
    <w:abstractNumId w:val="6"/>
  </w:num>
  <w:num w:numId="13" w16cid:durableId="41751591">
    <w:abstractNumId w:val="19"/>
  </w:num>
  <w:num w:numId="14" w16cid:durableId="957836935">
    <w:abstractNumId w:val="13"/>
  </w:num>
  <w:num w:numId="15" w16cid:durableId="221139794">
    <w:abstractNumId w:val="5"/>
  </w:num>
  <w:num w:numId="16" w16cid:durableId="1667629399">
    <w:abstractNumId w:val="17"/>
  </w:num>
  <w:num w:numId="17" w16cid:durableId="401827767">
    <w:abstractNumId w:val="20"/>
  </w:num>
  <w:num w:numId="18" w16cid:durableId="916404089">
    <w:abstractNumId w:val="18"/>
  </w:num>
  <w:num w:numId="19" w16cid:durableId="357780619">
    <w:abstractNumId w:val="4"/>
  </w:num>
  <w:num w:numId="20" w16cid:durableId="2133547311">
    <w:abstractNumId w:val="10"/>
  </w:num>
  <w:num w:numId="21" w16cid:durableId="395972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133A6"/>
    <w:rsid w:val="00017420"/>
    <w:rsid w:val="00021A23"/>
    <w:rsid w:val="00022AFF"/>
    <w:rsid w:val="00024745"/>
    <w:rsid w:val="000315A1"/>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56A9D"/>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07184"/>
    <w:rsid w:val="0011021F"/>
    <w:rsid w:val="00110C56"/>
    <w:rsid w:val="0011199E"/>
    <w:rsid w:val="00112284"/>
    <w:rsid w:val="001177AA"/>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55CA"/>
    <w:rsid w:val="00156B2E"/>
    <w:rsid w:val="00160688"/>
    <w:rsid w:val="00160B9D"/>
    <w:rsid w:val="001612F2"/>
    <w:rsid w:val="00162E9F"/>
    <w:rsid w:val="001636BD"/>
    <w:rsid w:val="00166347"/>
    <w:rsid w:val="001678E5"/>
    <w:rsid w:val="00170129"/>
    <w:rsid w:val="0017177B"/>
    <w:rsid w:val="00172DE4"/>
    <w:rsid w:val="00175AF8"/>
    <w:rsid w:val="00175ECC"/>
    <w:rsid w:val="00176A1D"/>
    <w:rsid w:val="00177D36"/>
    <w:rsid w:val="001817B7"/>
    <w:rsid w:val="00182267"/>
    <w:rsid w:val="001829F8"/>
    <w:rsid w:val="00183CF1"/>
    <w:rsid w:val="00184052"/>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6D96"/>
    <w:rsid w:val="00227C15"/>
    <w:rsid w:val="00230528"/>
    <w:rsid w:val="00235705"/>
    <w:rsid w:val="0023776B"/>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55AD"/>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1EE0"/>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0E1D"/>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56DA9"/>
    <w:rsid w:val="0036470A"/>
    <w:rsid w:val="003652C5"/>
    <w:rsid w:val="0036745E"/>
    <w:rsid w:val="00371AB2"/>
    <w:rsid w:val="00372392"/>
    <w:rsid w:val="00372FC1"/>
    <w:rsid w:val="00374D00"/>
    <w:rsid w:val="00375BCB"/>
    <w:rsid w:val="003760D1"/>
    <w:rsid w:val="00380743"/>
    <w:rsid w:val="00380F80"/>
    <w:rsid w:val="003836C4"/>
    <w:rsid w:val="00383936"/>
    <w:rsid w:val="00384D24"/>
    <w:rsid w:val="00384DED"/>
    <w:rsid w:val="00385BBB"/>
    <w:rsid w:val="003862F3"/>
    <w:rsid w:val="003863A2"/>
    <w:rsid w:val="00387CAF"/>
    <w:rsid w:val="00393EB2"/>
    <w:rsid w:val="0039417D"/>
    <w:rsid w:val="0039595C"/>
    <w:rsid w:val="003A010E"/>
    <w:rsid w:val="003A054D"/>
    <w:rsid w:val="003A0769"/>
    <w:rsid w:val="003A1C56"/>
    <w:rsid w:val="003B0637"/>
    <w:rsid w:val="003B0C32"/>
    <w:rsid w:val="003B29D7"/>
    <w:rsid w:val="003B524B"/>
    <w:rsid w:val="003B58AF"/>
    <w:rsid w:val="003B5A01"/>
    <w:rsid w:val="003C0C0D"/>
    <w:rsid w:val="003C1074"/>
    <w:rsid w:val="003C10F4"/>
    <w:rsid w:val="003C238A"/>
    <w:rsid w:val="003C2E4B"/>
    <w:rsid w:val="003C37BA"/>
    <w:rsid w:val="003C4D06"/>
    <w:rsid w:val="003C558E"/>
    <w:rsid w:val="003C591C"/>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0793F"/>
    <w:rsid w:val="00412720"/>
    <w:rsid w:val="00413179"/>
    <w:rsid w:val="00413D34"/>
    <w:rsid w:val="0041617B"/>
    <w:rsid w:val="00416288"/>
    <w:rsid w:val="00416384"/>
    <w:rsid w:val="004203BB"/>
    <w:rsid w:val="00422FBA"/>
    <w:rsid w:val="00424E84"/>
    <w:rsid w:val="00426229"/>
    <w:rsid w:val="00427ED3"/>
    <w:rsid w:val="00430B1F"/>
    <w:rsid w:val="00431126"/>
    <w:rsid w:val="0043270B"/>
    <w:rsid w:val="004331A7"/>
    <w:rsid w:val="00433AEB"/>
    <w:rsid w:val="004374EE"/>
    <w:rsid w:val="00440445"/>
    <w:rsid w:val="00442D52"/>
    <w:rsid w:val="004445AB"/>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41D4"/>
    <w:rsid w:val="0050621F"/>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5BDB"/>
    <w:rsid w:val="005B600B"/>
    <w:rsid w:val="005C17E0"/>
    <w:rsid w:val="005C4602"/>
    <w:rsid w:val="005C4AA8"/>
    <w:rsid w:val="005C6EDB"/>
    <w:rsid w:val="005C7DB4"/>
    <w:rsid w:val="005D040D"/>
    <w:rsid w:val="005D16C6"/>
    <w:rsid w:val="005D42B3"/>
    <w:rsid w:val="005D4FED"/>
    <w:rsid w:val="005D69B9"/>
    <w:rsid w:val="005E0A49"/>
    <w:rsid w:val="005E1CBD"/>
    <w:rsid w:val="005E45BC"/>
    <w:rsid w:val="005E5C23"/>
    <w:rsid w:val="005E742A"/>
    <w:rsid w:val="005F1A00"/>
    <w:rsid w:val="005F2796"/>
    <w:rsid w:val="00600E08"/>
    <w:rsid w:val="00602489"/>
    <w:rsid w:val="00602875"/>
    <w:rsid w:val="00604815"/>
    <w:rsid w:val="00605582"/>
    <w:rsid w:val="00605871"/>
    <w:rsid w:val="00610043"/>
    <w:rsid w:val="00613FD5"/>
    <w:rsid w:val="00615964"/>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A71"/>
    <w:rsid w:val="00666CA2"/>
    <w:rsid w:val="00667342"/>
    <w:rsid w:val="00667D35"/>
    <w:rsid w:val="006725E1"/>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1E90"/>
    <w:rsid w:val="006C2EA3"/>
    <w:rsid w:val="006C5B81"/>
    <w:rsid w:val="006C6F4C"/>
    <w:rsid w:val="006C7609"/>
    <w:rsid w:val="006D213C"/>
    <w:rsid w:val="006D3619"/>
    <w:rsid w:val="006D3D9D"/>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2AA4"/>
    <w:rsid w:val="007448A0"/>
    <w:rsid w:val="00744CCF"/>
    <w:rsid w:val="00745557"/>
    <w:rsid w:val="007503FB"/>
    <w:rsid w:val="00750BF3"/>
    <w:rsid w:val="00751341"/>
    <w:rsid w:val="007619A5"/>
    <w:rsid w:val="007631F6"/>
    <w:rsid w:val="007643C9"/>
    <w:rsid w:val="00765994"/>
    <w:rsid w:val="00765EB6"/>
    <w:rsid w:val="0077009C"/>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1D22"/>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11CD"/>
    <w:rsid w:val="00855635"/>
    <w:rsid w:val="0085753A"/>
    <w:rsid w:val="00857940"/>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45D1"/>
    <w:rsid w:val="00975E5D"/>
    <w:rsid w:val="009767C1"/>
    <w:rsid w:val="00977DDE"/>
    <w:rsid w:val="009816BF"/>
    <w:rsid w:val="009862DD"/>
    <w:rsid w:val="00987573"/>
    <w:rsid w:val="00992867"/>
    <w:rsid w:val="009940C1"/>
    <w:rsid w:val="0099435F"/>
    <w:rsid w:val="0099526D"/>
    <w:rsid w:val="00995BE4"/>
    <w:rsid w:val="009A0B16"/>
    <w:rsid w:val="009A0B79"/>
    <w:rsid w:val="009A1FDC"/>
    <w:rsid w:val="009A3F92"/>
    <w:rsid w:val="009A663F"/>
    <w:rsid w:val="009A68DA"/>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3978"/>
    <w:rsid w:val="009D603E"/>
    <w:rsid w:val="009D7E56"/>
    <w:rsid w:val="009E02B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512"/>
    <w:rsid w:val="00A93D70"/>
    <w:rsid w:val="00A95378"/>
    <w:rsid w:val="00A9541A"/>
    <w:rsid w:val="00A954A3"/>
    <w:rsid w:val="00A97681"/>
    <w:rsid w:val="00A97785"/>
    <w:rsid w:val="00A97B94"/>
    <w:rsid w:val="00AA0611"/>
    <w:rsid w:val="00AA1645"/>
    <w:rsid w:val="00AA2832"/>
    <w:rsid w:val="00AA398D"/>
    <w:rsid w:val="00AA6AC1"/>
    <w:rsid w:val="00AB35B5"/>
    <w:rsid w:val="00AB3A08"/>
    <w:rsid w:val="00AB5A5E"/>
    <w:rsid w:val="00AB7274"/>
    <w:rsid w:val="00AC07A4"/>
    <w:rsid w:val="00AC269F"/>
    <w:rsid w:val="00AC5E74"/>
    <w:rsid w:val="00AC6463"/>
    <w:rsid w:val="00AD0539"/>
    <w:rsid w:val="00AD09C9"/>
    <w:rsid w:val="00AD0B2E"/>
    <w:rsid w:val="00AD2742"/>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4E49"/>
    <w:rsid w:val="00B77972"/>
    <w:rsid w:val="00B812A4"/>
    <w:rsid w:val="00B82F2A"/>
    <w:rsid w:val="00B82FAF"/>
    <w:rsid w:val="00B87E9B"/>
    <w:rsid w:val="00B90012"/>
    <w:rsid w:val="00B919E9"/>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7A2F"/>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30F2"/>
    <w:rsid w:val="00C34300"/>
    <w:rsid w:val="00C35331"/>
    <w:rsid w:val="00C3584E"/>
    <w:rsid w:val="00C36418"/>
    <w:rsid w:val="00C41320"/>
    <w:rsid w:val="00C413AE"/>
    <w:rsid w:val="00C4266F"/>
    <w:rsid w:val="00C42B80"/>
    <w:rsid w:val="00C441A1"/>
    <w:rsid w:val="00C4489D"/>
    <w:rsid w:val="00C453AE"/>
    <w:rsid w:val="00C45832"/>
    <w:rsid w:val="00C462E2"/>
    <w:rsid w:val="00C46D93"/>
    <w:rsid w:val="00C4766C"/>
    <w:rsid w:val="00C5009F"/>
    <w:rsid w:val="00C50735"/>
    <w:rsid w:val="00C50DE7"/>
    <w:rsid w:val="00C5397C"/>
    <w:rsid w:val="00C57915"/>
    <w:rsid w:val="00C60E24"/>
    <w:rsid w:val="00C61DBA"/>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350E"/>
    <w:rsid w:val="00C9409E"/>
    <w:rsid w:val="00C9434D"/>
    <w:rsid w:val="00C96624"/>
    <w:rsid w:val="00CA1081"/>
    <w:rsid w:val="00CA1E4D"/>
    <w:rsid w:val="00CA1FC3"/>
    <w:rsid w:val="00CA3CAB"/>
    <w:rsid w:val="00CA4C45"/>
    <w:rsid w:val="00CA57DC"/>
    <w:rsid w:val="00CA7FE8"/>
    <w:rsid w:val="00CB1034"/>
    <w:rsid w:val="00CB134B"/>
    <w:rsid w:val="00CB1E56"/>
    <w:rsid w:val="00CB2309"/>
    <w:rsid w:val="00CB3689"/>
    <w:rsid w:val="00CB3D23"/>
    <w:rsid w:val="00CC02C9"/>
    <w:rsid w:val="00CC07F8"/>
    <w:rsid w:val="00CC0F56"/>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E71AD"/>
    <w:rsid w:val="00CF0920"/>
    <w:rsid w:val="00CF3467"/>
    <w:rsid w:val="00CF3F3A"/>
    <w:rsid w:val="00CF451B"/>
    <w:rsid w:val="00CF5A58"/>
    <w:rsid w:val="00CF747E"/>
    <w:rsid w:val="00D005C3"/>
    <w:rsid w:val="00D01A81"/>
    <w:rsid w:val="00D0384E"/>
    <w:rsid w:val="00D055BE"/>
    <w:rsid w:val="00D07E4A"/>
    <w:rsid w:val="00D07EF3"/>
    <w:rsid w:val="00D10C22"/>
    <w:rsid w:val="00D114D6"/>
    <w:rsid w:val="00D1166C"/>
    <w:rsid w:val="00D11F52"/>
    <w:rsid w:val="00D15B6A"/>
    <w:rsid w:val="00D2029C"/>
    <w:rsid w:val="00D20BE7"/>
    <w:rsid w:val="00D21FBB"/>
    <w:rsid w:val="00D222C9"/>
    <w:rsid w:val="00D233F0"/>
    <w:rsid w:val="00D24594"/>
    <w:rsid w:val="00D24BF3"/>
    <w:rsid w:val="00D255E2"/>
    <w:rsid w:val="00D25615"/>
    <w:rsid w:val="00D25B74"/>
    <w:rsid w:val="00D2750A"/>
    <w:rsid w:val="00D27E01"/>
    <w:rsid w:val="00D30248"/>
    <w:rsid w:val="00D30945"/>
    <w:rsid w:val="00D34890"/>
    <w:rsid w:val="00D348E0"/>
    <w:rsid w:val="00D36437"/>
    <w:rsid w:val="00D36499"/>
    <w:rsid w:val="00D37B05"/>
    <w:rsid w:val="00D4269C"/>
    <w:rsid w:val="00D4496B"/>
    <w:rsid w:val="00D526E8"/>
    <w:rsid w:val="00D56D8F"/>
    <w:rsid w:val="00D61134"/>
    <w:rsid w:val="00D65418"/>
    <w:rsid w:val="00D70E74"/>
    <w:rsid w:val="00D744AE"/>
    <w:rsid w:val="00D74551"/>
    <w:rsid w:val="00D75DEB"/>
    <w:rsid w:val="00D77F9D"/>
    <w:rsid w:val="00D811F9"/>
    <w:rsid w:val="00D818ED"/>
    <w:rsid w:val="00D82B51"/>
    <w:rsid w:val="00D85087"/>
    <w:rsid w:val="00D853F1"/>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4C82"/>
    <w:rsid w:val="00E45EDD"/>
    <w:rsid w:val="00E4648B"/>
    <w:rsid w:val="00E46EB7"/>
    <w:rsid w:val="00E500AE"/>
    <w:rsid w:val="00E524FB"/>
    <w:rsid w:val="00E5340D"/>
    <w:rsid w:val="00E5429A"/>
    <w:rsid w:val="00E54783"/>
    <w:rsid w:val="00E54EE5"/>
    <w:rsid w:val="00E556E9"/>
    <w:rsid w:val="00E574AC"/>
    <w:rsid w:val="00E579BC"/>
    <w:rsid w:val="00E615E7"/>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5E0"/>
    <w:rsid w:val="00E84772"/>
    <w:rsid w:val="00E8747C"/>
    <w:rsid w:val="00E877F5"/>
    <w:rsid w:val="00E8785B"/>
    <w:rsid w:val="00E910BE"/>
    <w:rsid w:val="00E92B48"/>
    <w:rsid w:val="00E92D3D"/>
    <w:rsid w:val="00E933D3"/>
    <w:rsid w:val="00E941B3"/>
    <w:rsid w:val="00E942F4"/>
    <w:rsid w:val="00EA20D7"/>
    <w:rsid w:val="00EA2B9C"/>
    <w:rsid w:val="00EA31C3"/>
    <w:rsid w:val="00EA475E"/>
    <w:rsid w:val="00EA4C70"/>
    <w:rsid w:val="00EA524B"/>
    <w:rsid w:val="00EA5C8E"/>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4573"/>
    <w:rsid w:val="00ED504E"/>
    <w:rsid w:val="00ED5F70"/>
    <w:rsid w:val="00ED7A02"/>
    <w:rsid w:val="00EE0A7C"/>
    <w:rsid w:val="00EE1C27"/>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F7A"/>
    <w:rsid w:val="00F26D94"/>
    <w:rsid w:val="00F27352"/>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0A9"/>
    <w:rsid w:val="00F926D6"/>
    <w:rsid w:val="00F92C09"/>
    <w:rsid w:val="00F948E3"/>
    <w:rsid w:val="00F94C43"/>
    <w:rsid w:val="00F94DA1"/>
    <w:rsid w:val="00F96462"/>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1EA"/>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04DD15"/>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AF9953"/>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50113, proyecto elaborado 14sept2022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EC78850B-32DE-4278-A777-47BEBDDDC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TotalTime>
  <Pages>9</Pages>
  <Words>4228</Words>
  <Characters>23258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7</cp:revision>
  <cp:lastPrinted>2022-07-12T17:21:00Z</cp:lastPrinted>
  <dcterms:created xsi:type="dcterms:W3CDTF">2022-09-19T19:59:00Z</dcterms:created>
  <dcterms:modified xsi:type="dcterms:W3CDTF">2022-11-01T19:42:00Z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