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67E4D76"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1145B3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B1212">
        <w:rPr>
          <w:rFonts w:ascii="Museo Sans 900" w:eastAsia="Times New Roman" w:hAnsi="Museo Sans 900" w:cs="Times New Roman"/>
          <w:b/>
          <w:bCs/>
          <w:sz w:val="20"/>
          <w:szCs w:val="20"/>
          <w:lang w:val="es-MX" w:eastAsia="es-ES"/>
        </w:rPr>
        <w:t>1695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BB1212">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24AA3">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B1212">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056AD">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57622FC" w:rsidR="000F2E0F" w:rsidRDefault="003F27A8" w:rsidP="000F2E0F">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Los días</w:t>
      </w:r>
      <w:r w:rsidR="000F2E0F">
        <w:rPr>
          <w:rFonts w:ascii="Museo Sans 300" w:hAnsi="Museo Sans 300"/>
          <w:sz w:val="20"/>
          <w:szCs w:val="20"/>
        </w:rPr>
        <w:t xml:space="preserve"> </w:t>
      </w:r>
      <w:r w:rsidR="008F4B49">
        <w:rPr>
          <w:rFonts w:ascii="Museo Sans 300" w:hAnsi="Museo Sans 300"/>
          <w:sz w:val="20"/>
          <w:szCs w:val="20"/>
        </w:rPr>
        <w:t>veintiséis</w:t>
      </w:r>
      <w:r w:rsidR="000F2E0F">
        <w:rPr>
          <w:rFonts w:ascii="Museo Sans 300" w:hAnsi="Museo Sans 300"/>
          <w:sz w:val="20"/>
          <w:szCs w:val="20"/>
        </w:rPr>
        <w:t xml:space="preserve"> de </w:t>
      </w:r>
      <w:r w:rsidR="008F4B49">
        <w:rPr>
          <w:rFonts w:ascii="Museo Sans 300" w:hAnsi="Museo Sans 300"/>
          <w:sz w:val="20"/>
          <w:szCs w:val="20"/>
        </w:rPr>
        <w:t>octubre</w:t>
      </w:r>
      <w:r w:rsidR="00977610">
        <w:rPr>
          <w:rFonts w:ascii="Museo Sans 300" w:hAnsi="Museo Sans 300"/>
          <w:sz w:val="20"/>
          <w:szCs w:val="20"/>
        </w:rPr>
        <w:t xml:space="preserve"> y veintiuno de noviembre</w:t>
      </w:r>
      <w:r w:rsidR="000F2E0F">
        <w:rPr>
          <w:rFonts w:ascii="Museo Sans 300" w:hAnsi="Museo Sans 300"/>
          <w:sz w:val="20"/>
          <w:szCs w:val="20"/>
        </w:rPr>
        <w:t xml:space="preserve"> de</w:t>
      </w:r>
      <w:r w:rsidR="007B0739">
        <w:rPr>
          <w:rFonts w:ascii="Museo Sans 300" w:hAnsi="Museo Sans 300"/>
          <w:sz w:val="20"/>
          <w:szCs w:val="20"/>
        </w:rPr>
        <w:t>l</w:t>
      </w:r>
      <w:r w:rsidR="000F2E0F">
        <w:rPr>
          <w:rFonts w:ascii="Museo Sans 300" w:hAnsi="Museo Sans 300"/>
          <w:sz w:val="20"/>
          <w:szCs w:val="20"/>
        </w:rPr>
        <w:t xml:space="preserve"> dos mil veintiuno, </w:t>
      </w:r>
      <w:r w:rsidR="00986BD6">
        <w:rPr>
          <w:rFonts w:ascii="Museo Sans 300" w:hAnsi="Museo Sans 300"/>
          <w:sz w:val="20"/>
          <w:szCs w:val="20"/>
        </w:rPr>
        <w:t>el</w:t>
      </w:r>
      <w:r w:rsidR="000F2E0F">
        <w:rPr>
          <w:rFonts w:ascii="Museo Sans 300" w:hAnsi="Museo Sans 300"/>
          <w:sz w:val="20"/>
          <w:szCs w:val="20"/>
        </w:rPr>
        <w:t xml:space="preserve"> </w:t>
      </w:r>
      <w:r w:rsidR="00986BD6">
        <w:rPr>
          <w:rFonts w:ascii="Museo Sans 300" w:hAnsi="Museo Sans 300"/>
          <w:sz w:val="20"/>
          <w:szCs w:val="20"/>
        </w:rPr>
        <w:t>señor</w:t>
      </w:r>
      <w:r w:rsidR="000F2E0F">
        <w:rPr>
          <w:rFonts w:ascii="Museo Sans 300" w:hAnsi="Museo Sans 300"/>
          <w:sz w:val="20"/>
          <w:szCs w:val="20"/>
        </w:rPr>
        <w:t xml:space="preserve"> </w:t>
      </w:r>
      <w:r w:rsidR="00E358AA">
        <w:rPr>
          <w:rFonts w:ascii="Museo Sans 300" w:hAnsi="Museo Sans 300"/>
          <w:sz w:val="20"/>
          <w:szCs w:val="20"/>
        </w:rPr>
        <w:t>XXX</w:t>
      </w:r>
      <w:r w:rsidR="008F4B49">
        <w:rPr>
          <w:rFonts w:ascii="Museo Sans 300" w:hAnsi="Museo Sans 300"/>
          <w:sz w:val="20"/>
          <w:szCs w:val="20"/>
        </w:rPr>
        <w:t>, en su calidad de usuario</w:t>
      </w:r>
      <w:r w:rsidR="00977610">
        <w:rPr>
          <w:rFonts w:ascii="Museo Sans 300" w:hAnsi="Museo Sans 300"/>
          <w:sz w:val="20"/>
          <w:szCs w:val="20"/>
        </w:rPr>
        <w:t xml:space="preserve"> </w:t>
      </w:r>
      <w:r w:rsidR="00733FCE">
        <w:rPr>
          <w:rFonts w:ascii="Museo Sans 300" w:hAnsi="Museo Sans 300"/>
          <w:sz w:val="20"/>
          <w:szCs w:val="20"/>
        </w:rPr>
        <w:t xml:space="preserve">del suministro identificado con el NIC </w:t>
      </w:r>
      <w:r w:rsidR="00E358AA">
        <w:rPr>
          <w:rFonts w:ascii="Museo Sans 300" w:hAnsi="Museo Sans 300"/>
          <w:sz w:val="20"/>
          <w:szCs w:val="20"/>
        </w:rPr>
        <w:t>XXX</w:t>
      </w:r>
      <w:r w:rsidR="00733FCE">
        <w:rPr>
          <w:rFonts w:ascii="Museo Sans 300" w:hAnsi="Museo Sans 300"/>
          <w:sz w:val="20"/>
          <w:szCs w:val="20"/>
        </w:rPr>
        <w:t>,</w:t>
      </w:r>
      <w:r w:rsidR="000F2E0F">
        <w:rPr>
          <w:rFonts w:ascii="Museo Sans 300" w:hAnsi="Museo Sans 300"/>
          <w:sz w:val="20"/>
          <w:szCs w:val="20"/>
        </w:rPr>
        <w:t xml:space="preserve"> </w:t>
      </w:r>
      <w:r w:rsidR="000F2E0F" w:rsidRPr="00A93D70">
        <w:rPr>
          <w:rFonts w:ascii="Museo Sans 300" w:hAnsi="Museo Sans 300"/>
          <w:sz w:val="20"/>
          <w:szCs w:val="20"/>
        </w:rPr>
        <w:t>interpuso</w:t>
      </w:r>
      <w:r w:rsidR="000F2E0F">
        <w:rPr>
          <w:rFonts w:ascii="Museo Sans 300" w:hAnsi="Museo Sans 300"/>
          <w:sz w:val="20"/>
          <w:szCs w:val="20"/>
        </w:rPr>
        <w:t xml:space="preserve"> </w:t>
      </w:r>
      <w:r w:rsidR="000F2E0F" w:rsidRPr="00A93D70">
        <w:rPr>
          <w:rFonts w:ascii="Museo Sans 300" w:hAnsi="Museo Sans 300"/>
          <w:sz w:val="20"/>
          <w:szCs w:val="20"/>
        </w:rPr>
        <w:t>un</w:t>
      </w:r>
      <w:r w:rsidR="000F2E0F">
        <w:rPr>
          <w:rFonts w:ascii="Museo Sans 300" w:hAnsi="Museo Sans 300"/>
          <w:sz w:val="20"/>
          <w:szCs w:val="20"/>
        </w:rPr>
        <w:t xml:space="preserve"> </w:t>
      </w:r>
      <w:r w:rsidR="000F2E0F" w:rsidRPr="00A93D70">
        <w:rPr>
          <w:rFonts w:ascii="Museo Sans 300" w:hAnsi="Museo Sans 300"/>
          <w:sz w:val="20"/>
          <w:szCs w:val="20"/>
        </w:rPr>
        <w:t>reclamo</w:t>
      </w:r>
      <w:r w:rsidR="000F2E0F">
        <w:rPr>
          <w:rFonts w:ascii="Museo Sans 300" w:hAnsi="Museo Sans 300"/>
          <w:sz w:val="20"/>
          <w:szCs w:val="20"/>
        </w:rPr>
        <w:t xml:space="preserve"> </w:t>
      </w:r>
      <w:r w:rsidR="000F2E0F" w:rsidRPr="00A93D70">
        <w:rPr>
          <w:rFonts w:ascii="Museo Sans 300" w:hAnsi="Museo Sans 300"/>
          <w:sz w:val="20"/>
          <w:szCs w:val="20"/>
        </w:rPr>
        <w:t>en</w:t>
      </w:r>
      <w:r w:rsidR="000F2E0F">
        <w:rPr>
          <w:rFonts w:ascii="Museo Sans 300" w:hAnsi="Museo Sans 300"/>
          <w:sz w:val="20"/>
          <w:szCs w:val="20"/>
        </w:rPr>
        <w:t xml:space="preserve"> </w:t>
      </w:r>
      <w:r w:rsidR="000F2E0F" w:rsidRPr="00A93D70">
        <w:rPr>
          <w:rFonts w:ascii="Museo Sans 300" w:hAnsi="Museo Sans 300"/>
          <w:sz w:val="20"/>
          <w:szCs w:val="20"/>
        </w:rPr>
        <w:t>contra</w:t>
      </w:r>
      <w:r w:rsidR="000F2E0F">
        <w:rPr>
          <w:rFonts w:ascii="Museo Sans 300" w:hAnsi="Museo Sans 300"/>
          <w:sz w:val="20"/>
          <w:szCs w:val="20"/>
        </w:rPr>
        <w:t xml:space="preserve"> </w:t>
      </w:r>
      <w:r w:rsidR="000F2E0F" w:rsidRPr="00A93D70">
        <w:rPr>
          <w:rFonts w:ascii="Museo Sans 300" w:hAnsi="Museo Sans 300"/>
          <w:sz w:val="20"/>
          <w:szCs w:val="20"/>
        </w:rPr>
        <w:t>d</w:t>
      </w:r>
      <w:r w:rsidR="000F2E0F">
        <w:rPr>
          <w:rFonts w:ascii="Museo Sans 300" w:hAnsi="Museo Sans 300"/>
          <w:sz w:val="20"/>
          <w:szCs w:val="20"/>
        </w:rPr>
        <w:t xml:space="preserve">e la sociedad EEO, S.A. de C.V. </w:t>
      </w:r>
      <w:r w:rsidR="000F2E0F" w:rsidRPr="00A93D70">
        <w:rPr>
          <w:rFonts w:ascii="Museo Sans 300" w:hAnsi="Museo Sans 300"/>
          <w:sz w:val="20"/>
          <w:szCs w:val="20"/>
        </w:rPr>
        <w:t>debido</w:t>
      </w:r>
      <w:r w:rsidR="000F2E0F">
        <w:rPr>
          <w:rFonts w:ascii="Museo Sans 300" w:hAnsi="Museo Sans 300"/>
          <w:sz w:val="20"/>
          <w:szCs w:val="20"/>
        </w:rPr>
        <w:t xml:space="preserve"> </w:t>
      </w:r>
      <w:r w:rsidR="000F2E0F" w:rsidRPr="00A93D70">
        <w:rPr>
          <w:rFonts w:ascii="Museo Sans 300" w:hAnsi="Museo Sans 300"/>
          <w:sz w:val="20"/>
          <w:szCs w:val="20"/>
        </w:rPr>
        <w:t>al</w:t>
      </w:r>
      <w:r w:rsidR="000F2E0F">
        <w:rPr>
          <w:rFonts w:ascii="Museo Sans 300" w:hAnsi="Museo Sans 300"/>
          <w:sz w:val="20"/>
          <w:szCs w:val="20"/>
        </w:rPr>
        <w:t xml:space="preserve"> </w:t>
      </w:r>
      <w:r w:rsidR="000F2E0F" w:rsidRPr="00A93D70">
        <w:rPr>
          <w:rFonts w:ascii="Museo Sans 300" w:hAnsi="Museo Sans 300"/>
          <w:sz w:val="20"/>
          <w:szCs w:val="20"/>
        </w:rPr>
        <w:t>cobro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cantidad</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4D3B31">
        <w:rPr>
          <w:rFonts w:ascii="Museo Sans 300" w:hAnsi="Museo Sans 300"/>
          <w:sz w:val="20"/>
          <w:szCs w:val="20"/>
        </w:rPr>
        <w:t>MIL CUATROCIENTOS</w:t>
      </w:r>
      <w:r w:rsidR="0058722E">
        <w:rPr>
          <w:rFonts w:ascii="Museo Sans 300" w:hAnsi="Museo Sans 300"/>
          <w:sz w:val="20"/>
          <w:szCs w:val="20"/>
        </w:rPr>
        <w:t xml:space="preserve"> SETENTA Y OCHO</w:t>
      </w:r>
      <w:r w:rsidR="000F2E0F">
        <w:rPr>
          <w:rFonts w:ascii="Museo Sans 300" w:hAnsi="Museo Sans 300"/>
          <w:sz w:val="20"/>
          <w:szCs w:val="20"/>
        </w:rPr>
        <w:t xml:space="preserve"> </w:t>
      </w:r>
      <w:r w:rsidR="0058722E">
        <w:rPr>
          <w:rFonts w:ascii="Museo Sans 300" w:hAnsi="Museo Sans 300"/>
          <w:sz w:val="20"/>
          <w:szCs w:val="20"/>
        </w:rPr>
        <w:t>62</w:t>
      </w:r>
      <w:r w:rsidR="000F2E0F">
        <w:rPr>
          <w:rFonts w:ascii="Museo Sans 300" w:hAnsi="Museo Sans 300"/>
          <w:sz w:val="20"/>
          <w:szCs w:val="20"/>
        </w:rPr>
        <w:t xml:space="preserve">/100 DÓLARES DE LOS ESTADOS UNIDOS DE AMÉRICA (USD </w:t>
      </w:r>
      <w:r w:rsidR="008F4B49">
        <w:rPr>
          <w:rFonts w:ascii="Museo Sans 300" w:hAnsi="Museo Sans 300"/>
          <w:sz w:val="20"/>
          <w:szCs w:val="20"/>
        </w:rPr>
        <w:t>1,478.62</w:t>
      </w:r>
      <w:r w:rsidR="000F2E0F">
        <w:rPr>
          <w:rFonts w:ascii="Museo Sans 300" w:hAnsi="Museo Sans 300"/>
          <w:sz w:val="20"/>
          <w:szCs w:val="20"/>
        </w:rPr>
        <w:t xml:space="preserve">) </w:t>
      </w:r>
      <w:r w:rsidR="000F2E0F" w:rsidRPr="00A93D70">
        <w:rPr>
          <w:rFonts w:ascii="Museo Sans 300" w:hAnsi="Museo Sans 300"/>
          <w:sz w:val="20"/>
          <w:szCs w:val="20"/>
        </w:rPr>
        <w:t>IVA</w:t>
      </w:r>
      <w:r w:rsidR="000F2E0F">
        <w:rPr>
          <w:rFonts w:ascii="Museo Sans 300" w:hAnsi="Museo Sans 300"/>
          <w:sz w:val="20"/>
          <w:szCs w:val="20"/>
        </w:rPr>
        <w:t xml:space="preserve"> </w:t>
      </w:r>
      <w:r w:rsidR="000F2E0F" w:rsidRPr="00A93D70">
        <w:rPr>
          <w:rFonts w:ascii="Museo Sans 300" w:hAnsi="Museo Sans 300"/>
          <w:sz w:val="20"/>
          <w:szCs w:val="20"/>
        </w:rPr>
        <w:t>incluido,</w:t>
      </w:r>
      <w:r w:rsidR="000F2E0F">
        <w:rPr>
          <w:rFonts w:ascii="Museo Sans 300" w:hAnsi="Museo Sans 300"/>
          <w:sz w:val="20"/>
          <w:szCs w:val="20"/>
        </w:rPr>
        <w:t xml:space="preserve"> </w:t>
      </w:r>
      <w:r w:rsidR="000F2E0F" w:rsidRPr="00A93D70">
        <w:rPr>
          <w:rFonts w:ascii="Museo Sans 300" w:hAnsi="Museo Sans 300"/>
          <w:sz w:val="20"/>
          <w:szCs w:val="20"/>
        </w:rPr>
        <w:t>por</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presunta</w:t>
      </w:r>
      <w:r w:rsidR="000F2E0F">
        <w:rPr>
          <w:rFonts w:ascii="Museo Sans 300" w:hAnsi="Museo Sans 300"/>
          <w:sz w:val="20"/>
          <w:szCs w:val="20"/>
        </w:rPr>
        <w:t xml:space="preserve"> </w:t>
      </w:r>
      <w:r w:rsidR="000F2E0F" w:rsidRPr="00A93D70">
        <w:rPr>
          <w:rFonts w:ascii="Museo Sans 300" w:hAnsi="Museo Sans 300"/>
          <w:sz w:val="20"/>
          <w:szCs w:val="20"/>
        </w:rPr>
        <w:t>existencia</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una</w:t>
      </w:r>
      <w:r w:rsidR="000F2E0F">
        <w:rPr>
          <w:rFonts w:ascii="Museo Sans 300" w:hAnsi="Museo Sans 300"/>
          <w:sz w:val="20"/>
          <w:szCs w:val="20"/>
        </w:rPr>
        <w:t xml:space="preserve"> </w:t>
      </w:r>
      <w:r w:rsidR="000F2E0F" w:rsidRPr="00A93D70">
        <w:rPr>
          <w:rFonts w:ascii="Museo Sans 300" w:hAnsi="Museo Sans 300"/>
          <w:sz w:val="20"/>
          <w:szCs w:val="20"/>
        </w:rPr>
        <w:t>condición</w:t>
      </w:r>
      <w:r w:rsidR="000F2E0F">
        <w:rPr>
          <w:rFonts w:ascii="Museo Sans 300" w:hAnsi="Museo Sans 300"/>
          <w:sz w:val="20"/>
          <w:szCs w:val="20"/>
        </w:rPr>
        <w:t xml:space="preserve"> </w:t>
      </w:r>
      <w:r w:rsidR="000F2E0F" w:rsidRPr="00A93D70">
        <w:rPr>
          <w:rFonts w:ascii="Museo Sans 300" w:hAnsi="Museo Sans 300"/>
          <w:sz w:val="20"/>
          <w:szCs w:val="20"/>
        </w:rPr>
        <w:t>irregular</w:t>
      </w:r>
      <w:r w:rsidR="000F2E0F">
        <w:rPr>
          <w:rFonts w:ascii="Museo Sans 300" w:hAnsi="Museo Sans 300"/>
          <w:sz w:val="20"/>
          <w:szCs w:val="20"/>
        </w:rPr>
        <w:t xml:space="preserve"> </w:t>
      </w:r>
      <w:r w:rsidR="000F2E0F" w:rsidRPr="00A93D70">
        <w:rPr>
          <w:rFonts w:ascii="Museo Sans 300" w:hAnsi="Museo Sans 300"/>
          <w:sz w:val="20"/>
          <w:szCs w:val="20"/>
        </w:rPr>
        <w:t>que</w:t>
      </w:r>
      <w:r w:rsidR="000F2E0F">
        <w:rPr>
          <w:rFonts w:ascii="Museo Sans 300" w:hAnsi="Museo Sans 300"/>
          <w:sz w:val="20"/>
          <w:szCs w:val="20"/>
        </w:rPr>
        <w:t xml:space="preserve"> </w:t>
      </w:r>
      <w:r w:rsidR="000F2E0F" w:rsidRPr="00A93D70">
        <w:rPr>
          <w:rFonts w:ascii="Museo Sans 300" w:hAnsi="Museo Sans 300"/>
          <w:sz w:val="20"/>
          <w:szCs w:val="20"/>
        </w:rPr>
        <w:t>afectó</w:t>
      </w:r>
      <w:r w:rsidR="000F2E0F">
        <w:rPr>
          <w:rFonts w:ascii="Museo Sans 300" w:hAnsi="Museo Sans 300"/>
          <w:sz w:val="20"/>
          <w:szCs w:val="20"/>
        </w:rPr>
        <w:t xml:space="preserve"> </w:t>
      </w:r>
      <w:r w:rsidR="000F2E0F" w:rsidRPr="00A93D70">
        <w:rPr>
          <w:rFonts w:ascii="Museo Sans 300" w:hAnsi="Museo Sans 300"/>
          <w:sz w:val="20"/>
          <w:szCs w:val="20"/>
        </w:rPr>
        <w:t>el</w:t>
      </w:r>
      <w:r w:rsidR="000F2E0F">
        <w:rPr>
          <w:rFonts w:ascii="Museo Sans 300" w:hAnsi="Museo Sans 300"/>
          <w:sz w:val="20"/>
          <w:szCs w:val="20"/>
        </w:rPr>
        <w:t xml:space="preserve"> </w:t>
      </w:r>
      <w:r w:rsidR="000F2E0F" w:rsidRPr="00A93D70">
        <w:rPr>
          <w:rFonts w:ascii="Museo Sans 300" w:hAnsi="Museo Sans 300"/>
          <w:sz w:val="20"/>
          <w:szCs w:val="20"/>
        </w:rPr>
        <w:t>correcto</w:t>
      </w:r>
      <w:r w:rsidR="000F2E0F">
        <w:rPr>
          <w:rFonts w:ascii="Museo Sans 300" w:hAnsi="Museo Sans 300"/>
          <w:sz w:val="20"/>
          <w:szCs w:val="20"/>
        </w:rPr>
        <w:t xml:space="preserve"> </w:t>
      </w:r>
      <w:r w:rsidR="000F2E0F" w:rsidRPr="00A93D70">
        <w:rPr>
          <w:rFonts w:ascii="Museo Sans 300" w:hAnsi="Museo Sans 300"/>
          <w:sz w:val="20"/>
          <w:szCs w:val="20"/>
        </w:rPr>
        <w:t>registro</w:t>
      </w:r>
      <w:r w:rsidR="000F2E0F">
        <w:rPr>
          <w:rFonts w:ascii="Museo Sans 300" w:hAnsi="Museo Sans 300"/>
          <w:sz w:val="20"/>
          <w:szCs w:val="20"/>
        </w:rPr>
        <w:t xml:space="preserve"> </w:t>
      </w:r>
      <w:r w:rsidR="000F2E0F" w:rsidRPr="00A93D70">
        <w:rPr>
          <w:rFonts w:ascii="Museo Sans 300" w:hAnsi="Museo Sans 300"/>
          <w:sz w:val="20"/>
          <w:szCs w:val="20"/>
        </w:rPr>
        <w:t>del</w:t>
      </w:r>
      <w:r w:rsidR="000F2E0F">
        <w:rPr>
          <w:rFonts w:ascii="Museo Sans 300" w:hAnsi="Museo Sans 300"/>
          <w:sz w:val="20"/>
          <w:szCs w:val="20"/>
        </w:rPr>
        <w:t xml:space="preserve"> </w:t>
      </w:r>
      <w:r w:rsidR="000F2E0F" w:rsidRPr="00A93D70">
        <w:rPr>
          <w:rFonts w:ascii="Museo Sans 300" w:hAnsi="Museo Sans 300"/>
          <w:sz w:val="20"/>
          <w:szCs w:val="20"/>
        </w:rPr>
        <w:t>consumo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energía</w:t>
      </w:r>
      <w:r w:rsidR="000F2E0F">
        <w:rPr>
          <w:rFonts w:ascii="Museo Sans 300" w:hAnsi="Museo Sans 300"/>
          <w:sz w:val="20"/>
          <w:szCs w:val="20"/>
        </w:rPr>
        <w:t xml:space="preserve"> </w:t>
      </w:r>
      <w:r w:rsidR="000F2E0F" w:rsidRPr="00A93D70">
        <w:rPr>
          <w:rFonts w:ascii="Museo Sans 300" w:hAnsi="Museo Sans 300"/>
          <w:sz w:val="20"/>
          <w:szCs w:val="20"/>
        </w:rPr>
        <w:t>eléctrica</w:t>
      </w:r>
      <w:r w:rsidR="000F7BA0">
        <w:rPr>
          <w:rFonts w:ascii="Museo Sans 300" w:hAnsi="Museo Sans 300"/>
          <w:sz w:val="20"/>
          <w:szCs w:val="20"/>
        </w:rPr>
        <w:t xml:space="preserve"> en dicho suministro.</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E1EC50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53953">
        <w:rPr>
          <w:rFonts w:ascii="Museo Sans 300" w:hAnsi="Museo Sans 300"/>
          <w:sz w:val="20"/>
          <w:szCs w:val="20"/>
          <w:lang w:val="es-SV"/>
        </w:rPr>
        <w:t>12</w:t>
      </w:r>
      <w:r w:rsidR="008F4B49">
        <w:rPr>
          <w:rFonts w:ascii="Museo Sans 300" w:hAnsi="Museo Sans 300"/>
          <w:sz w:val="20"/>
          <w:szCs w:val="20"/>
          <w:lang w:val="es-SV"/>
        </w:rPr>
        <w:t>97</w:t>
      </w:r>
      <w:r w:rsidR="00282394">
        <w:rPr>
          <w:rFonts w:ascii="Museo Sans 300" w:hAnsi="Museo Sans 300"/>
          <w:sz w:val="20"/>
          <w:szCs w:val="20"/>
          <w:lang w:val="es-SV"/>
        </w:rPr>
        <w:t>-20</w:t>
      </w:r>
      <w:r w:rsidR="001F3C81">
        <w:rPr>
          <w:rFonts w:ascii="Museo Sans 300" w:hAnsi="Museo Sans 300"/>
          <w:sz w:val="20"/>
          <w:szCs w:val="20"/>
          <w:lang w:val="es-SV"/>
        </w:rPr>
        <w:t>2</w:t>
      </w:r>
      <w:r w:rsidR="00453953">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F4B49">
        <w:rPr>
          <w:rFonts w:ascii="Museo Sans 300" w:hAnsi="Museo Sans 300"/>
          <w:sz w:val="20"/>
          <w:szCs w:val="20"/>
          <w:lang w:val="es-SV"/>
        </w:rPr>
        <w:t>ocho</w:t>
      </w:r>
      <w:r w:rsidR="00453953">
        <w:rPr>
          <w:rFonts w:ascii="Museo Sans 300" w:hAnsi="Museo Sans 300"/>
          <w:sz w:val="20"/>
          <w:szCs w:val="20"/>
          <w:lang w:val="es-SV"/>
        </w:rPr>
        <w:t xml:space="preserve"> de </w:t>
      </w:r>
      <w:r w:rsidR="008F4B49">
        <w:rPr>
          <w:rFonts w:ascii="Museo Sans 300" w:hAnsi="Museo Sans 300"/>
          <w:sz w:val="20"/>
          <w:szCs w:val="20"/>
          <w:lang w:val="es-SV"/>
        </w:rPr>
        <w:t>diciembre</w:t>
      </w:r>
      <w:r w:rsidR="00453953">
        <w:rPr>
          <w:rFonts w:ascii="Museo Sans 300" w:hAnsi="Museo Sans 300"/>
          <w:sz w:val="20"/>
          <w:szCs w:val="20"/>
          <w:lang w:val="es-SV"/>
        </w:rPr>
        <w:t xml:space="preserve"> del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335C37B6"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53953">
        <w:rPr>
          <w:rFonts w:ascii="Museo Sans 300" w:hAnsi="Museo Sans 300"/>
          <w:sz w:val="20"/>
          <w:szCs w:val="20"/>
        </w:rPr>
        <w:t xml:space="preserve">s partes el día </w:t>
      </w:r>
      <w:r w:rsidR="00DF0322">
        <w:rPr>
          <w:rFonts w:ascii="Museo Sans 300" w:hAnsi="Museo Sans 300"/>
          <w:sz w:val="20"/>
          <w:szCs w:val="20"/>
        </w:rPr>
        <w:t>trece</w:t>
      </w:r>
      <w:r w:rsidR="00453953">
        <w:rPr>
          <w:rFonts w:ascii="Museo Sans 300" w:hAnsi="Museo Sans 300"/>
          <w:sz w:val="20"/>
          <w:szCs w:val="20"/>
        </w:rPr>
        <w:t xml:space="preserve"> de </w:t>
      </w:r>
      <w:r w:rsidR="00DF0322">
        <w:rPr>
          <w:rFonts w:ascii="Museo Sans 300" w:hAnsi="Museo Sans 300"/>
          <w:sz w:val="20"/>
          <w:szCs w:val="20"/>
        </w:rPr>
        <w:t>diciembre</w:t>
      </w:r>
      <w:r w:rsidR="00453953">
        <w:rPr>
          <w:rFonts w:ascii="Museo Sans 300" w:hAnsi="Museo Sans 300"/>
          <w:sz w:val="20"/>
          <w:szCs w:val="20"/>
        </w:rPr>
        <w:t xml:space="preserve"> del dos </w:t>
      </w:r>
      <w:proofErr w:type="gramStart"/>
      <w:r w:rsidR="00453953">
        <w:rPr>
          <w:rFonts w:ascii="Museo Sans 300" w:hAnsi="Museo Sans 300"/>
          <w:sz w:val="20"/>
          <w:szCs w:val="20"/>
        </w:rPr>
        <w:t>mil veintiuno</w:t>
      </w:r>
      <w:proofErr w:type="gramEnd"/>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DF0322">
        <w:rPr>
          <w:rFonts w:ascii="Museo Sans 300" w:hAnsi="Museo Sans 300"/>
          <w:sz w:val="20"/>
          <w:szCs w:val="20"/>
        </w:rPr>
        <w:t>cuatro de enero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BC7C5C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DF0322">
        <w:rPr>
          <w:rFonts w:ascii="Museo Sans 300" w:hAnsi="Museo Sans 300"/>
          <w:sz w:val="20"/>
          <w:szCs w:val="20"/>
        </w:rPr>
        <w:t>cinco</w:t>
      </w:r>
      <w:r>
        <w:rPr>
          <w:rFonts w:ascii="Museo Sans 300" w:hAnsi="Museo Sans 300"/>
          <w:sz w:val="20"/>
          <w:szCs w:val="20"/>
        </w:rPr>
        <w:t xml:space="preserve"> de </w:t>
      </w:r>
      <w:r w:rsidR="00DF0322">
        <w:rPr>
          <w:rFonts w:ascii="Museo Sans 300" w:hAnsi="Museo Sans 300"/>
          <w:sz w:val="20"/>
          <w:szCs w:val="20"/>
        </w:rPr>
        <w:t>enero</w:t>
      </w:r>
      <w:r w:rsidR="00946D9B">
        <w:rPr>
          <w:rFonts w:ascii="Museo Sans 300" w:hAnsi="Museo Sans 300"/>
          <w:sz w:val="20"/>
          <w:szCs w:val="20"/>
        </w:rPr>
        <w:t xml:space="preserve"> de</w:t>
      </w:r>
      <w:r w:rsidR="00DF0322">
        <w:rPr>
          <w:rFonts w:ascii="Museo Sans 300" w:hAnsi="Museo Sans 300"/>
          <w:sz w:val="20"/>
          <w:szCs w:val="20"/>
        </w:rPr>
        <w:t xml:space="preserve"> este año</w:t>
      </w:r>
      <w:r w:rsidRPr="70478C62">
        <w:rPr>
          <w:rFonts w:ascii="Museo Sans 300" w:hAnsi="Museo Sans 300"/>
          <w:sz w:val="20"/>
          <w:szCs w:val="20"/>
        </w:rPr>
        <w:t>, el ingeniero</w:t>
      </w:r>
      <w:r w:rsidR="007F655A">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B06E776"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7F655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3EBCCE1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3E1116">
        <w:rPr>
          <w:rFonts w:ascii="Museo Sans 300" w:eastAsia="Arial" w:hAnsi="Museo Sans 300"/>
          <w:sz w:val="20"/>
          <w:szCs w:val="20"/>
          <w:lang w:eastAsia="es-SV"/>
        </w:rPr>
        <w:t xml:space="preserve"> 20088166, 20176836, 20227286, 20227681, 20299939 y 20305436</w:t>
      </w:r>
      <w:r w:rsidR="005E2BBC">
        <w:rPr>
          <w:rFonts w:ascii="Museo Sans 300" w:eastAsia="Arial" w:hAnsi="Museo Sans 300"/>
          <w:sz w:val="20"/>
          <w:szCs w:val="20"/>
          <w:lang w:eastAsia="es-SV"/>
        </w:rPr>
        <w:t>.</w:t>
      </w:r>
    </w:p>
    <w:p w14:paraId="78101E77" w14:textId="69C23CBE"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93CD7">
        <w:rPr>
          <w:rFonts w:ascii="Museo Sans 300" w:eastAsia="Arial" w:hAnsi="Museo Sans 300"/>
          <w:sz w:val="20"/>
          <w:szCs w:val="20"/>
          <w:lang w:eastAsia="es-SV"/>
        </w:rPr>
        <w:t>20</w:t>
      </w:r>
      <w:r w:rsidR="003E1116">
        <w:rPr>
          <w:rFonts w:ascii="Museo Sans 300" w:eastAsia="Arial" w:hAnsi="Museo Sans 300"/>
          <w:sz w:val="20"/>
          <w:szCs w:val="20"/>
          <w:lang w:eastAsia="es-SV"/>
        </w:rPr>
        <w:t>227286</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D36B5D3"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93C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531FCF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4426CC">
        <w:rPr>
          <w:rFonts w:ascii="Museo Sans 300" w:hAnsi="Museo Sans 300"/>
          <w:sz w:val="20"/>
          <w:szCs w:val="20"/>
          <w:lang w:val="es-ES_tradnl" w:eastAsia="es-SV"/>
        </w:rPr>
        <w:t>017</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de fecha</w:t>
      </w:r>
      <w:r w:rsidR="004426CC">
        <w:rPr>
          <w:rFonts w:ascii="Museo Sans 300" w:hAnsi="Museo Sans 300"/>
          <w:sz w:val="20"/>
          <w:szCs w:val="20"/>
          <w:lang w:val="es-ES_tradnl" w:eastAsia="es-SV"/>
        </w:rPr>
        <w:t xml:space="preserve"> siete de enero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601D28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EB7B8E">
        <w:rPr>
          <w:rFonts w:ascii="Museo Sans 300" w:hAnsi="Museo Sans 300"/>
          <w:sz w:val="20"/>
          <w:szCs w:val="20"/>
        </w:rPr>
        <w:t>186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EB7B8E">
        <w:rPr>
          <w:rFonts w:ascii="Museo Sans 300" w:hAnsi="Museo Sans 300"/>
          <w:sz w:val="20"/>
          <w:szCs w:val="20"/>
        </w:rPr>
        <w:t>tres</w:t>
      </w:r>
      <w:r w:rsidR="00CB0378">
        <w:rPr>
          <w:rFonts w:ascii="Museo Sans 300" w:hAnsi="Museo Sans 300"/>
          <w:sz w:val="20"/>
          <w:szCs w:val="20"/>
        </w:rPr>
        <w:t xml:space="preserve"> de </w:t>
      </w:r>
      <w:r w:rsidR="00EB7B8E">
        <w:rPr>
          <w:rFonts w:ascii="Museo Sans 300" w:hAnsi="Museo Sans 300"/>
          <w:sz w:val="20"/>
          <w:szCs w:val="20"/>
        </w:rPr>
        <w:t>febrero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7F55025"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6A2E5D">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usuario</w:t>
      </w:r>
      <w:r w:rsidRPr="24487779">
        <w:rPr>
          <w:rFonts w:ascii="Museo Sans 300" w:hAnsi="Museo Sans 300"/>
          <w:sz w:val="20"/>
          <w:szCs w:val="20"/>
        </w:rPr>
        <w:t xml:space="preserve"> los días </w:t>
      </w:r>
      <w:r w:rsidR="00EB7B8E">
        <w:rPr>
          <w:rFonts w:ascii="Museo Sans 300" w:hAnsi="Museo Sans 300"/>
          <w:sz w:val="20"/>
          <w:szCs w:val="20"/>
        </w:rPr>
        <w:t>ocho</w:t>
      </w:r>
      <w:r>
        <w:rPr>
          <w:rFonts w:ascii="Museo Sans 300" w:hAnsi="Museo Sans 300"/>
          <w:sz w:val="20"/>
          <w:szCs w:val="20"/>
        </w:rPr>
        <w:t xml:space="preserve"> y </w:t>
      </w:r>
      <w:r w:rsidR="00EB7B8E">
        <w:rPr>
          <w:rFonts w:ascii="Museo Sans 300" w:hAnsi="Museo Sans 300"/>
          <w:sz w:val="20"/>
          <w:szCs w:val="20"/>
        </w:rPr>
        <w:t>nueve</w:t>
      </w:r>
      <w:r>
        <w:rPr>
          <w:rFonts w:ascii="Museo Sans 300" w:hAnsi="Museo Sans 300"/>
          <w:sz w:val="20"/>
          <w:szCs w:val="20"/>
        </w:rPr>
        <w:t xml:space="preserve"> de </w:t>
      </w:r>
      <w:r w:rsidR="00EB7B8E">
        <w:rPr>
          <w:rFonts w:ascii="Museo Sans 300" w:hAnsi="Museo Sans 300"/>
          <w:sz w:val="20"/>
          <w:szCs w:val="20"/>
        </w:rPr>
        <w:t>febrero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EB7B8E">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y </w:t>
      </w:r>
      <w:r w:rsidR="00EB7B8E">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de </w:t>
      </w:r>
      <w:r w:rsidR="00EB7B8E">
        <w:rPr>
          <w:rStyle w:val="normaltextrun"/>
          <w:rFonts w:ascii="Museo Sans 300" w:eastAsia="Museo Sans" w:hAnsi="Museo Sans 300" w:cs="Segoe UI"/>
          <w:sz w:val="20"/>
          <w:szCs w:val="20"/>
        </w:rPr>
        <w:t>marzo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E52E9BB"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422962">
        <w:rPr>
          <w:rFonts w:ascii="Museo Sans 300" w:hAnsi="Museo Sans 300"/>
          <w:sz w:val="20"/>
          <w:szCs w:val="20"/>
          <w:lang w:val="es-ES_tradnl"/>
        </w:rPr>
        <w:t>ocho</w:t>
      </w:r>
      <w:r w:rsidR="00CF3DD5">
        <w:rPr>
          <w:rFonts w:ascii="Museo Sans 300" w:hAnsi="Museo Sans 300"/>
          <w:sz w:val="20"/>
          <w:szCs w:val="20"/>
          <w:lang w:val="es-ES_tradnl"/>
        </w:rPr>
        <w:t xml:space="preserve"> de </w:t>
      </w:r>
      <w:r w:rsidR="00857E9F">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22962">
        <w:rPr>
          <w:rFonts w:ascii="Museo Sans 300" w:hAnsi="Museo Sans 300"/>
          <w:sz w:val="20"/>
          <w:szCs w:val="20"/>
          <w:lang w:val="es-SV"/>
        </w:rPr>
        <w:t>el</w:t>
      </w:r>
      <w:r>
        <w:rPr>
          <w:rFonts w:ascii="Museo Sans 300" w:hAnsi="Museo Sans 300"/>
          <w:sz w:val="20"/>
          <w:szCs w:val="20"/>
          <w:lang w:val="es-SV"/>
        </w:rPr>
        <w:t xml:space="preserve"> </w:t>
      </w:r>
      <w:r w:rsidR="00BE2A7C">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F7C191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857E9F">
        <w:rPr>
          <w:rFonts w:ascii="Museo Sans 300" w:hAnsi="Museo Sans 300"/>
          <w:sz w:val="20"/>
          <w:szCs w:val="20"/>
          <w:lang w:val="es-SV"/>
        </w:rPr>
        <w:t>566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7E9F">
        <w:rPr>
          <w:rFonts w:ascii="Museo Sans 300" w:hAnsi="Museo Sans 300"/>
          <w:sz w:val="20"/>
          <w:szCs w:val="20"/>
          <w:lang w:val="es-SV"/>
        </w:rPr>
        <w:t>diecisiete</w:t>
      </w:r>
      <w:r w:rsidR="00521E99">
        <w:rPr>
          <w:rFonts w:ascii="Museo Sans 300" w:hAnsi="Museo Sans 300"/>
          <w:sz w:val="20"/>
          <w:szCs w:val="20"/>
          <w:lang w:val="es-SV"/>
        </w:rPr>
        <w:t xml:space="preserve"> de </w:t>
      </w:r>
      <w:r w:rsidR="00286E43">
        <w:rPr>
          <w:rFonts w:ascii="Museo Sans 300" w:hAnsi="Museo Sans 300"/>
          <w:sz w:val="20"/>
          <w:szCs w:val="20"/>
          <w:lang w:val="es-SV"/>
        </w:rPr>
        <w:t>marzo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22962">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358A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C1271DB"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86E43">
        <w:rPr>
          <w:rFonts w:ascii="Museo Sans 300" w:hAnsi="Museo Sans 300"/>
          <w:sz w:val="20"/>
          <w:szCs w:val="20"/>
          <w:lang w:val="es-SV"/>
        </w:rPr>
        <w:t xml:space="preserve">s partes el día </w:t>
      </w:r>
      <w:r w:rsidR="00857E9F">
        <w:rPr>
          <w:rFonts w:ascii="Museo Sans 300" w:hAnsi="Museo Sans 300"/>
          <w:sz w:val="20"/>
          <w:szCs w:val="20"/>
          <w:lang w:val="es-SV"/>
        </w:rPr>
        <w:t>veintidós</w:t>
      </w:r>
      <w:r w:rsidR="00286E43">
        <w:rPr>
          <w:rFonts w:ascii="Museo Sans 300" w:hAnsi="Museo Sans 300"/>
          <w:sz w:val="20"/>
          <w:szCs w:val="20"/>
          <w:lang w:val="es-SV"/>
        </w:rPr>
        <w:t xml:space="preserve"> del mismo mes y año</w:t>
      </w:r>
      <w:r w:rsidR="00625B7D">
        <w:rPr>
          <w:rFonts w:ascii="Museo Sans 300" w:hAnsi="Museo Sans 300"/>
          <w:sz w:val="20"/>
          <w:szCs w:val="20"/>
          <w:lang w:val="es-SV"/>
        </w:rPr>
        <w:t>.</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3FBB622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64394">
        <w:rPr>
          <w:rFonts w:ascii="Museo Sans 300" w:hAnsi="Museo Sans 300"/>
          <w:sz w:val="20"/>
          <w:szCs w:val="20"/>
        </w:rPr>
        <w:t>veintiséis</w:t>
      </w:r>
      <w:r w:rsidRPr="00A56CC4">
        <w:rPr>
          <w:rFonts w:ascii="Museo Sans 300" w:hAnsi="Museo Sans 300"/>
          <w:sz w:val="20"/>
          <w:szCs w:val="20"/>
        </w:rPr>
        <w:t xml:space="preserve"> de </w:t>
      </w:r>
      <w:r w:rsidR="00E91811">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E91811">
        <w:rPr>
          <w:rFonts w:ascii="Museo Sans 300" w:eastAsia="Arial" w:hAnsi="Museo Sans 300"/>
          <w:sz w:val="20"/>
          <w:szCs w:val="20"/>
          <w:lang w:eastAsia="es-SV"/>
        </w:rPr>
        <w:t>3</w:t>
      </w:r>
      <w:r w:rsidR="00764394">
        <w:rPr>
          <w:rFonts w:ascii="Museo Sans 300" w:eastAsia="Arial" w:hAnsi="Museo Sans 300"/>
          <w:sz w:val="20"/>
          <w:szCs w:val="20"/>
          <w:lang w:eastAsia="es-SV"/>
        </w:rPr>
        <w:t>66</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764394">
        <w:rPr>
          <w:rFonts w:ascii="Museo Sans 300" w:eastAsia="Arial" w:hAnsi="Museo Sans 300"/>
          <w:sz w:val="20"/>
          <w:szCs w:val="20"/>
          <w:lang w:eastAsia="es-SV"/>
        </w:rPr>
        <w:t>566</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3FD0F48"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ED0FC6">
        <w:rPr>
          <w:rFonts w:ascii="Museo Sans 300" w:hAnsi="Museo Sans 300"/>
          <w:sz w:val="20"/>
          <w:szCs w:val="20"/>
        </w:rPr>
        <w:t>0</w:t>
      </w:r>
      <w:r w:rsidR="00764394">
        <w:rPr>
          <w:rFonts w:ascii="Museo Sans 300" w:hAnsi="Museo Sans 300"/>
          <w:sz w:val="20"/>
          <w:szCs w:val="20"/>
        </w:rPr>
        <w:t>896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764394">
        <w:rPr>
          <w:rFonts w:ascii="Museo Sans 300" w:hAnsi="Museo Sans 300"/>
          <w:sz w:val="20"/>
          <w:szCs w:val="20"/>
        </w:rPr>
        <w:t>tres</w:t>
      </w:r>
      <w:r>
        <w:rPr>
          <w:rFonts w:ascii="Museo Sans 300" w:hAnsi="Museo Sans 300"/>
          <w:sz w:val="20"/>
          <w:szCs w:val="20"/>
        </w:rPr>
        <w:t xml:space="preserve"> de </w:t>
      </w:r>
      <w:r w:rsidR="00764394">
        <w:rPr>
          <w:rFonts w:ascii="Museo Sans 300" w:hAnsi="Museo Sans 300"/>
          <w:sz w:val="20"/>
          <w:szCs w:val="20"/>
        </w:rPr>
        <w:t>mayo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764394">
        <w:rPr>
          <w:rFonts w:ascii="Museo Sans 300" w:hAnsi="Museo Sans 300"/>
          <w:sz w:val="20"/>
          <w:szCs w:val="20"/>
        </w:rPr>
        <w:t>566</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5BE40E63" w14:textId="0DCDEACC" w:rsidR="000D5921" w:rsidRDefault="000D5921" w:rsidP="000D592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Pr="00757161">
        <w:rPr>
          <w:rFonts w:ascii="Museo Sans 300" w:hAnsi="Museo Sans 300"/>
          <w:sz w:val="20"/>
          <w:szCs w:val="20"/>
          <w:lang w:val="es-SV"/>
        </w:rPr>
        <w:t xml:space="preserve"> a la distribuidora y a</w:t>
      </w:r>
      <w:r>
        <w:rPr>
          <w:rFonts w:ascii="Museo Sans 300" w:hAnsi="Museo Sans 300"/>
          <w:sz w:val="20"/>
          <w:szCs w:val="20"/>
          <w:lang w:val="es-SV"/>
        </w:rPr>
        <w:t>l</w:t>
      </w:r>
      <w:r w:rsidRPr="00757161">
        <w:rPr>
          <w:rFonts w:ascii="Museo Sans 300" w:hAnsi="Museo Sans 300"/>
          <w:sz w:val="20"/>
          <w:szCs w:val="20"/>
          <w:lang w:val="es-SV"/>
        </w:rPr>
        <w:t xml:space="preserve"> usuari</w:t>
      </w:r>
      <w:r>
        <w:rPr>
          <w:rFonts w:ascii="Museo Sans 300" w:hAnsi="Museo Sans 300"/>
          <w:sz w:val="20"/>
          <w:szCs w:val="20"/>
          <w:lang w:val="es-SV"/>
        </w:rPr>
        <w:t>o</w:t>
      </w:r>
      <w:r w:rsidRPr="00757161">
        <w:rPr>
          <w:rFonts w:ascii="Museo Sans 300" w:hAnsi="Museo Sans 300"/>
          <w:sz w:val="20"/>
          <w:szCs w:val="20"/>
          <w:lang w:val="es-SV"/>
        </w:rPr>
        <w:t xml:space="preserve"> los días </w:t>
      </w:r>
      <w:r>
        <w:rPr>
          <w:rFonts w:ascii="Museo Sans 300" w:hAnsi="Museo Sans 300"/>
          <w:sz w:val="20"/>
          <w:szCs w:val="20"/>
          <w:lang w:val="es-SV"/>
        </w:rPr>
        <w:t>once</w:t>
      </w:r>
      <w:r w:rsidRPr="00757161">
        <w:rPr>
          <w:rFonts w:ascii="Museo Sans 300" w:hAnsi="Museo Sans 300"/>
          <w:sz w:val="20"/>
          <w:szCs w:val="20"/>
          <w:lang w:val="es-SV"/>
        </w:rPr>
        <w:t xml:space="preserve"> y </w:t>
      </w:r>
      <w:r>
        <w:rPr>
          <w:rFonts w:ascii="Museo Sans 300" w:hAnsi="Museo Sans 300"/>
          <w:sz w:val="20"/>
          <w:szCs w:val="20"/>
          <w:lang w:val="es-SV"/>
        </w:rPr>
        <w:t>doce</w:t>
      </w:r>
      <w:r w:rsidRPr="00757161">
        <w:rPr>
          <w:rFonts w:ascii="Museo Sans 300" w:hAnsi="Museo Sans 300"/>
          <w:sz w:val="20"/>
          <w:szCs w:val="20"/>
          <w:lang w:val="es-SV"/>
        </w:rPr>
        <w:t xml:space="preserve"> de </w:t>
      </w:r>
      <w:r>
        <w:rPr>
          <w:rFonts w:ascii="Museo Sans 300" w:hAnsi="Museo Sans 300"/>
          <w:sz w:val="20"/>
          <w:szCs w:val="20"/>
          <w:lang w:val="es-SV"/>
        </w:rPr>
        <w:t>mayo</w:t>
      </w:r>
      <w:r w:rsidRPr="00757161">
        <w:rPr>
          <w:rFonts w:ascii="Museo Sans 300" w:hAnsi="Museo Sans 300"/>
          <w:sz w:val="20"/>
          <w:szCs w:val="20"/>
          <w:lang w:val="es-SV"/>
        </w:rPr>
        <w:t xml:space="preserve"> del mismo año, respectivamente.</w:t>
      </w:r>
    </w:p>
    <w:p w14:paraId="60B6B205" w14:textId="77777777" w:rsidR="000D5921" w:rsidRDefault="000D5921" w:rsidP="00F90C00">
      <w:pPr>
        <w:pStyle w:val="Prrafodelista"/>
        <w:tabs>
          <w:tab w:val="left" w:pos="426"/>
        </w:tabs>
        <w:ind w:left="426"/>
        <w:jc w:val="both"/>
        <w:rPr>
          <w:rFonts w:ascii="Museo Sans 300" w:hAnsi="Museo Sans 300"/>
          <w:sz w:val="20"/>
          <w:szCs w:val="20"/>
          <w:lang w:val="es-SV"/>
        </w:rPr>
      </w:pPr>
    </w:p>
    <w:p w14:paraId="3768FEEC" w14:textId="6579D6E6"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D5921">
        <w:rPr>
          <w:rFonts w:ascii="Museo Sans 300" w:hAnsi="Museo Sans 300"/>
          <w:sz w:val="20"/>
          <w:szCs w:val="20"/>
          <w:lang w:val="es-ES_tradnl"/>
        </w:rPr>
        <w:t>uno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D5921">
        <w:rPr>
          <w:rFonts w:ascii="Museo Sans 300" w:hAnsi="Museo Sans 300"/>
          <w:sz w:val="20"/>
          <w:szCs w:val="20"/>
          <w:lang w:val="es-ES_tradnl"/>
        </w:rPr>
        <w:t>ju</w:t>
      </w:r>
      <w:r w:rsidR="00D95F08">
        <w:rPr>
          <w:rFonts w:ascii="Museo Sans 300" w:hAnsi="Museo Sans 300"/>
          <w:sz w:val="20"/>
          <w:szCs w:val="20"/>
          <w:lang w:val="es-ES_tradnl"/>
        </w:rPr>
        <w:t>nio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7F655A">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BBBD958" w14:textId="2895E8A0" w:rsidR="00150519" w:rsidRPr="00150519" w:rsidRDefault="008B7A00" w:rsidP="0015051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50519">
        <w:rPr>
          <w:rFonts w:ascii="Museo 300" w:eastAsia="Arial" w:hAnsi="Museo 300"/>
          <w:color w:val="000000"/>
          <w:sz w:val="16"/>
          <w:szCs w:val="16"/>
          <w:lang w:val="es-ES"/>
        </w:rPr>
        <w:t xml:space="preserve"> </w:t>
      </w:r>
      <w:r w:rsidR="00150519" w:rsidRPr="00150519">
        <w:rPr>
          <w:rFonts w:ascii="Museo 300" w:hAnsi="Museo 300"/>
          <w:sz w:val="16"/>
          <w:szCs w:val="16"/>
        </w:rPr>
        <w:t xml:space="preserve">con la información que fue provista por la sociedad EEO, se han extraído las siguientes fotografías mediante las cuales se observa la condición encontrada </w:t>
      </w:r>
      <w:r w:rsidR="00150519" w:rsidRPr="00150519" w:rsidDel="00CB3C5C">
        <w:rPr>
          <w:rFonts w:ascii="Museo 300" w:hAnsi="Museo 300"/>
          <w:sz w:val="16"/>
          <w:szCs w:val="16"/>
        </w:rPr>
        <w:t xml:space="preserve">en </w:t>
      </w:r>
      <w:r w:rsidR="00150519" w:rsidRPr="00150519">
        <w:rPr>
          <w:rFonts w:ascii="Museo 300" w:hAnsi="Museo 300"/>
          <w:sz w:val="16"/>
          <w:szCs w:val="16"/>
        </w:rPr>
        <w:t xml:space="preserve">fecha 2 de octubre de 2021, detallando una supuesta </w:t>
      </w:r>
      <w:r w:rsidR="00150519" w:rsidRPr="00150519">
        <w:rPr>
          <w:rFonts w:ascii="Museo 300" w:hAnsi="Museo 300"/>
          <w:sz w:val="16"/>
          <w:szCs w:val="16"/>
        </w:rPr>
        <w:lastRenderedPageBreak/>
        <w:t xml:space="preserve">condición irregular, consistente en la inversión de la fase B en las borneras del equipo de medición, con la finalidad de impedir el correcto registro de la energía consumida en el suministro. </w:t>
      </w:r>
    </w:p>
    <w:p w14:paraId="621803F5" w14:textId="77777777" w:rsidR="001A1AA0" w:rsidRPr="001A1AA0" w:rsidRDefault="001A1AA0" w:rsidP="001A1AA0">
      <w:pPr>
        <w:ind w:left="709" w:right="709"/>
        <w:jc w:val="both"/>
        <w:rPr>
          <w:rFonts w:ascii="Museo 300" w:hAnsi="Museo 300"/>
          <w:sz w:val="16"/>
          <w:szCs w:val="16"/>
        </w:rPr>
      </w:pPr>
      <w:r w:rsidRPr="001A1AA0">
        <w:rPr>
          <w:rFonts w:ascii="Museo 300" w:hAnsi="Museo 300"/>
          <w:color w:val="000000" w:themeColor="text1"/>
          <w:sz w:val="16"/>
          <w:szCs w:val="16"/>
        </w:rPr>
        <w:t>De las pruebas presentadas relacionadas a la condición detectada por EEO en fecha 2 de octubre de 2021, se puede determinar lo siguiente:</w:t>
      </w:r>
    </w:p>
    <w:p w14:paraId="4E5CB5DB" w14:textId="77777777" w:rsidR="001A1AA0" w:rsidRPr="001A1AA0" w:rsidRDefault="001A1AA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1A1AA0">
        <w:rPr>
          <w:rFonts w:ascii="Museo 300" w:hAnsi="Museo 300"/>
          <w:color w:val="000000" w:themeColor="text1"/>
          <w:sz w:val="16"/>
          <w:szCs w:val="16"/>
        </w:rPr>
        <w:t>La distribuidora ha mostrado fotografías con las que se demuestra que existió una conexión irregular, consistente en una alteración en la acometida del suministro, debido a la inversión en la conexión de la fase B en el equipo de medición</w:t>
      </w:r>
      <w:r w:rsidRPr="001A1AA0">
        <w:rPr>
          <w:rFonts w:ascii="Museo 300" w:hAnsi="Museo 300"/>
          <w:sz w:val="16"/>
          <w:szCs w:val="16"/>
        </w:rPr>
        <w:t>, con la finalidad de impedir el correcto registro de la energía consumida en el servicio en análisis.</w:t>
      </w:r>
    </w:p>
    <w:p w14:paraId="44162706" w14:textId="77777777" w:rsidR="001A1AA0" w:rsidRPr="001A1AA0" w:rsidRDefault="001A1AA0">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1A1AA0">
        <w:rPr>
          <w:rFonts w:ascii="Museo 300" w:hAnsi="Museo 300"/>
          <w:color w:val="000000" w:themeColor="text1"/>
          <w:sz w:val="16"/>
          <w:szCs w:val="16"/>
        </w:rPr>
        <w:t>El personal de EEO realizó medición de corriente en el lado de la carga del suministro al momento de la inspección técnica, la cual resultó de 0.04 amperios para la fase “A” y de 17.10 amperios para la fase “B”.</w:t>
      </w:r>
    </w:p>
    <w:p w14:paraId="48246855" w14:textId="572D696B" w:rsidR="00D77F9D" w:rsidRPr="001A1AA0" w:rsidRDefault="001A1AA0" w:rsidP="001A1AA0">
      <w:pPr>
        <w:ind w:left="709" w:right="709"/>
        <w:jc w:val="both"/>
        <w:rPr>
          <w:rFonts w:ascii="Museo 300" w:hAnsi="Museo 300"/>
          <w:sz w:val="16"/>
          <w:szCs w:val="16"/>
        </w:rPr>
      </w:pPr>
      <w:r w:rsidRPr="001A1AA0">
        <w:rPr>
          <w:rFonts w:ascii="Museo 300" w:hAnsi="Museo 300"/>
          <w:sz w:val="16"/>
          <w:szCs w:val="16"/>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6DCA7D9" w14:textId="77777777" w:rsidR="00CC4FD1" w:rsidRPr="00CC4FD1" w:rsidRDefault="00CC4FD1" w:rsidP="00CC4FD1">
      <w:pPr>
        <w:ind w:left="709" w:right="709"/>
        <w:jc w:val="both"/>
        <w:rPr>
          <w:rFonts w:ascii="Museo 300" w:hAnsi="Museo 300"/>
          <w:sz w:val="16"/>
          <w:szCs w:val="16"/>
        </w:rPr>
      </w:pPr>
      <w:r w:rsidRPr="00CC4FD1">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0203645" w14:textId="77777777" w:rsidR="00CC4FD1" w:rsidRPr="00CC4FD1" w:rsidRDefault="00CC4FD1" w:rsidP="00CC4FD1">
      <w:pPr>
        <w:ind w:left="709" w:right="709"/>
        <w:jc w:val="both"/>
        <w:rPr>
          <w:rFonts w:ascii="Museo 300" w:hAnsi="Museo 300"/>
          <w:sz w:val="16"/>
          <w:szCs w:val="16"/>
        </w:rPr>
      </w:pPr>
      <w:r w:rsidRPr="00CC4FD1">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4C9A0656" w14:textId="68D92A55" w:rsidR="00CC4FD1" w:rsidRDefault="00CC4FD1" w:rsidP="00CC4FD1">
      <w:pPr>
        <w:ind w:left="709" w:right="709"/>
        <w:jc w:val="both"/>
        <w:rPr>
          <w:rFonts w:ascii="Museo 300" w:hAnsi="Museo 300"/>
          <w:sz w:val="16"/>
          <w:szCs w:val="16"/>
        </w:rPr>
      </w:pPr>
      <w:r w:rsidRPr="00CC4FD1">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6E39DE09" w14:textId="69AF9568" w:rsidR="00CC4FD1" w:rsidRPr="00CC4FD1" w:rsidRDefault="00CC4FD1" w:rsidP="00CC4FD1">
      <w:pPr>
        <w:ind w:left="709" w:right="709"/>
        <w:jc w:val="both"/>
        <w:rPr>
          <w:rFonts w:ascii="Museo 300" w:hAnsi="Museo 300"/>
          <w:sz w:val="16"/>
          <w:szCs w:val="16"/>
        </w:rPr>
      </w:pPr>
      <w:r>
        <w:rPr>
          <w:rFonts w:ascii="Museo 300" w:hAnsi="Museo 300"/>
          <w:sz w:val="16"/>
          <w:szCs w:val="16"/>
        </w:rPr>
        <w:t>(…)</w:t>
      </w:r>
    </w:p>
    <w:p w14:paraId="553EF2D4" w14:textId="77777777" w:rsidR="00CC4FD1" w:rsidRPr="00CC4FD1" w:rsidRDefault="00CC4FD1">
      <w:pPr>
        <w:numPr>
          <w:ilvl w:val="0"/>
          <w:numId w:val="8"/>
        </w:numPr>
        <w:spacing w:line="240" w:lineRule="auto"/>
        <w:ind w:right="709"/>
        <w:jc w:val="both"/>
        <w:rPr>
          <w:rFonts w:ascii="Museo 300" w:hAnsi="Museo 300"/>
          <w:sz w:val="16"/>
          <w:szCs w:val="16"/>
        </w:rPr>
      </w:pPr>
      <w:r w:rsidRPr="00CC4FD1">
        <w:rPr>
          <w:rStyle w:val="normaltextrun"/>
          <w:rFonts w:ascii="Museo 300" w:hAnsi="Museo 300" w:cs="Segoe UI"/>
          <w:color w:val="000000"/>
          <w:sz w:val="16"/>
          <w:szCs w:val="16"/>
          <w:shd w:val="clear" w:color="auto" w:fill="FFFFFF"/>
        </w:rPr>
        <w:t xml:space="preserve">Es preciso indicar que, el consumo presentado en el </w:t>
      </w:r>
      <w:r w:rsidRPr="00CC4FD1">
        <w:rPr>
          <w:rFonts w:ascii="Museo 300" w:hAnsi="Museo 300"/>
          <w:sz w:val="16"/>
          <w:szCs w:val="16"/>
        </w:rPr>
        <w:t>suministro bajo estudio a partir del mes de enero de 2022 (mes posterior a la detección y normalización de la condición irregular) presentan un incremento abrupto sobre los consumos registrados durante el periodo establecido para la condición irregular. Por lo anterior, los consumos de históricos posteriores a la normalización para este caso en particular son representativos del consumo real que se pudo estar demandado en la vivienda.</w:t>
      </w:r>
    </w:p>
    <w:p w14:paraId="10209D65" w14:textId="77777777" w:rsidR="00CC4FD1" w:rsidRPr="00CC4FD1" w:rsidRDefault="00CC4FD1">
      <w:pPr>
        <w:numPr>
          <w:ilvl w:val="0"/>
          <w:numId w:val="8"/>
        </w:numPr>
        <w:spacing w:line="240" w:lineRule="auto"/>
        <w:ind w:right="709"/>
        <w:jc w:val="both"/>
        <w:rPr>
          <w:rFonts w:ascii="Museo 300" w:hAnsi="Museo 300"/>
          <w:sz w:val="16"/>
          <w:szCs w:val="16"/>
        </w:rPr>
      </w:pPr>
      <w:r w:rsidRPr="00CC4FD1">
        <w:rPr>
          <w:rFonts w:ascii="Museo 300" w:hAnsi="Museo 300"/>
          <w:sz w:val="16"/>
          <w:szCs w:val="16"/>
        </w:rPr>
        <w:t>De tal manera que se utilizará el valor promedio registrado en los meses de enero a mayo de 2022, por un valor de 1,457 kWh/mensuales, como base de la energía a recuperar.</w:t>
      </w:r>
    </w:p>
    <w:p w14:paraId="79526571" w14:textId="40D98800" w:rsidR="00CC4FD1" w:rsidRPr="00CC4FD1" w:rsidRDefault="00CC4FD1">
      <w:pPr>
        <w:numPr>
          <w:ilvl w:val="0"/>
          <w:numId w:val="8"/>
        </w:numPr>
        <w:spacing w:line="240" w:lineRule="auto"/>
        <w:ind w:right="709"/>
        <w:jc w:val="both"/>
        <w:rPr>
          <w:rFonts w:ascii="Museo 300" w:eastAsia="Times New Roman" w:hAnsi="Museo 300"/>
          <w:sz w:val="16"/>
          <w:szCs w:val="16"/>
          <w:lang w:eastAsia="es-SV"/>
        </w:rPr>
      </w:pPr>
      <w:r w:rsidRPr="00CC4FD1">
        <w:rPr>
          <w:rFonts w:ascii="Museo 300" w:hAnsi="Museo 300"/>
          <w:sz w:val="16"/>
          <w:szCs w:val="16"/>
        </w:rPr>
        <w:t xml:space="preserve">Con base en la información proporcionada por EEO a esta Superintendencia referente a las órdenes de servicio realizadas en el suministro del denunciante, se verificó </w:t>
      </w:r>
      <w:r w:rsidRPr="00CC4FD1">
        <w:rPr>
          <w:rFonts w:ascii="Museo 300" w:hAnsi="Museo 300"/>
          <w:color w:val="000000" w:themeColor="text1"/>
          <w:sz w:val="16"/>
          <w:szCs w:val="16"/>
        </w:rPr>
        <w:t>que el personal de EEO realizó la instalación del medidor bajo análisis, el 18 de agosto de 2021 bajo la orden de servicio # 20088166. Además, es preciso mencionar que en dicha visita el personal de EEO no manifestó haber encontrado ni la condición irregular ni indicios de esta.</w:t>
      </w:r>
      <w:r>
        <w:rPr>
          <w:rFonts w:ascii="Museo 300" w:hAnsi="Museo 300"/>
          <w:color w:val="000000" w:themeColor="text1"/>
          <w:sz w:val="16"/>
          <w:szCs w:val="16"/>
        </w:rPr>
        <w:t xml:space="preserve"> (…)</w:t>
      </w:r>
    </w:p>
    <w:p w14:paraId="203F322A" w14:textId="22C29A20" w:rsidR="00CC4FD1" w:rsidRPr="00DC7AFB" w:rsidRDefault="00CC4FD1">
      <w:pPr>
        <w:numPr>
          <w:ilvl w:val="0"/>
          <w:numId w:val="8"/>
        </w:numPr>
        <w:spacing w:line="240" w:lineRule="auto"/>
        <w:ind w:right="709"/>
        <w:jc w:val="both"/>
        <w:rPr>
          <w:rFonts w:ascii="Museo 300" w:hAnsi="Museo 300"/>
          <w:sz w:val="16"/>
          <w:szCs w:val="16"/>
        </w:rPr>
      </w:pPr>
      <w:r w:rsidRPr="00DC7AFB">
        <w:rPr>
          <w:rFonts w:ascii="Museo 300" w:hAnsi="Museo 300"/>
          <w:sz w:val="16"/>
          <w:szCs w:val="16"/>
        </w:rPr>
        <w:t xml:space="preserve">En ese sentido, el período retroactivo de recuperación corresponde a 45 días comprendidos entre el 18 de agosto fecha de la instalación del equipo de medición </w:t>
      </w:r>
      <w:proofErr w:type="spellStart"/>
      <w:r w:rsidRPr="00DC7AFB">
        <w:rPr>
          <w:rFonts w:ascii="Museo 300" w:hAnsi="Museo 300"/>
          <w:sz w:val="16"/>
          <w:szCs w:val="16"/>
        </w:rPr>
        <w:t>n.°</w:t>
      </w:r>
      <w:r w:rsidR="007F655A">
        <w:rPr>
          <w:rFonts w:ascii="Museo 300" w:hAnsi="Museo 300"/>
          <w:sz w:val="16"/>
          <w:szCs w:val="16"/>
        </w:rPr>
        <w:t>XXX</w:t>
      </w:r>
      <w:proofErr w:type="spellEnd"/>
      <w:r w:rsidRPr="00DC7AFB">
        <w:rPr>
          <w:rFonts w:ascii="Museo 300" w:hAnsi="Museo 300"/>
          <w:sz w:val="16"/>
          <w:szCs w:val="16"/>
        </w:rPr>
        <w:t xml:space="preserve"> al 2 de octubre de 2021, fecha en que se normalizó el suministro.</w:t>
      </w:r>
    </w:p>
    <w:p w14:paraId="4EE83EE4" w14:textId="34E36269" w:rsidR="00613FD5" w:rsidRPr="00804DFE" w:rsidRDefault="00CC4FD1" w:rsidP="00DC7AFB">
      <w:pPr>
        <w:ind w:left="709" w:right="709"/>
        <w:jc w:val="both"/>
        <w:rPr>
          <w:rFonts w:ascii="Museo 300" w:hAnsi="Museo 300"/>
          <w:sz w:val="16"/>
          <w:szCs w:val="16"/>
          <w:lang w:val="es-ES"/>
        </w:rPr>
      </w:pPr>
      <w:r w:rsidRPr="00DC7AFB">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478 kWh, equivalente a la cantidad de noventa y nueve 65/100 dólares de los Estados Unidos de América (USD 99.65)</w:t>
      </w:r>
      <w:r w:rsidRPr="00DC7AFB">
        <w:rPr>
          <w:rFonts w:ascii="Museo 300" w:hAnsi="Museo 300"/>
          <w:b/>
          <w:bCs/>
          <w:color w:val="000000" w:themeColor="text1"/>
          <w:sz w:val="16"/>
          <w:szCs w:val="16"/>
        </w:rPr>
        <w:t xml:space="preserve"> </w:t>
      </w:r>
      <w:r w:rsidRPr="00DC7AFB">
        <w:rPr>
          <w:rFonts w:ascii="Museo 300" w:hAnsi="Museo 300"/>
          <w:color w:val="000000" w:themeColor="text1"/>
          <w:sz w:val="16"/>
          <w:szCs w:val="16"/>
        </w:rPr>
        <w:t>IVA incluido,</w:t>
      </w:r>
      <w:r w:rsidR="00DC7AFB">
        <w:rPr>
          <w:rFonts w:ascii="Museo 300" w:hAnsi="Museo 300"/>
          <w:sz w:val="16"/>
          <w:szCs w:val="16"/>
          <w:lang w:val="es-ES"/>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lastRenderedPageBreak/>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953E91A" w14:textId="46E7978A" w:rsidR="00DD2EF6" w:rsidRPr="00DD2EF6" w:rsidRDefault="00B649A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DD2EF6">
        <w:rPr>
          <w:rFonts w:ascii="Museo 300" w:hAnsi="Museo 300" w:cs="Arial"/>
          <w:sz w:val="16"/>
          <w:szCs w:val="16"/>
        </w:rPr>
        <w:t xml:space="preserve"> </w:t>
      </w:r>
      <w:r w:rsidR="00DD2EF6" w:rsidRPr="00DD2EF6">
        <w:rPr>
          <w:rFonts w:ascii="Museo Sans 300" w:hAnsi="Museo Sans 300"/>
          <w:sz w:val="16"/>
          <w:szCs w:val="16"/>
        </w:rPr>
        <w:t xml:space="preserve">CAU determina con base en el análisis efectuado a las pruebas presentadas por las partes involucradas, que existió una condición irregular en el suministro con NIC </w:t>
      </w:r>
      <w:r w:rsidR="00E358AA">
        <w:rPr>
          <w:rFonts w:ascii="Museo Sans 300" w:hAnsi="Museo Sans 300"/>
          <w:sz w:val="16"/>
          <w:szCs w:val="16"/>
        </w:rPr>
        <w:t>XXX</w:t>
      </w:r>
      <w:r w:rsidR="00DD2EF6" w:rsidRPr="00DD2EF6">
        <w:rPr>
          <w:rFonts w:ascii="Museo Sans 300" w:hAnsi="Museo Sans 300"/>
          <w:sz w:val="16"/>
          <w:szCs w:val="16"/>
        </w:rPr>
        <w:t xml:space="preserve"> consistente en la inversión de la fase B en el equipo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59C67F2" w14:textId="7FB771C1" w:rsidR="00415F9A" w:rsidRPr="00415F9A" w:rsidRDefault="00415F9A">
      <w:pPr>
        <w:pStyle w:val="Prrafodelista"/>
        <w:numPr>
          <w:ilvl w:val="0"/>
          <w:numId w:val="9"/>
        </w:numPr>
        <w:spacing w:after="200"/>
        <w:ind w:left="1418" w:right="708"/>
        <w:jc w:val="both"/>
        <w:textAlignment w:val="auto"/>
        <w:rPr>
          <w:rFonts w:ascii="Museo 300" w:hAnsi="Museo 300" w:cs="Arial"/>
          <w:sz w:val="16"/>
          <w:szCs w:val="16"/>
        </w:rPr>
      </w:pPr>
      <w:r w:rsidRPr="00415F9A">
        <w:rPr>
          <w:rFonts w:ascii="Museo 300" w:hAnsi="Museo 300" w:cs="Arial"/>
          <w:sz w:val="16"/>
          <w:szCs w:val="16"/>
        </w:rPr>
        <w:t>Conforme con el</w:t>
      </w:r>
      <w:r w:rsidR="00237CC2">
        <w:rPr>
          <w:rFonts w:ascii="Museo 300" w:hAnsi="Museo 300" w:cs="Arial"/>
          <w:sz w:val="16"/>
          <w:szCs w:val="16"/>
        </w:rPr>
        <w:t xml:space="preserve"> </w:t>
      </w:r>
      <w:r w:rsidRPr="00415F9A">
        <w:rPr>
          <w:rFonts w:ascii="Museo 300" w:hAnsi="Museo 300" w:cs="Arial"/>
          <w:sz w:val="16"/>
          <w:szCs w:val="16"/>
        </w:rPr>
        <w:t>análisis efectuado en el presente informe,</w:t>
      </w:r>
      <w:r w:rsidR="00237CC2">
        <w:rPr>
          <w:rFonts w:ascii="Museo 300" w:hAnsi="Museo 300" w:cs="Arial"/>
          <w:sz w:val="16"/>
          <w:szCs w:val="16"/>
        </w:rPr>
        <w:t xml:space="preserve"> </w:t>
      </w:r>
      <w:r w:rsidRPr="00415F9A">
        <w:rPr>
          <w:rFonts w:ascii="Museo 300" w:hAnsi="Museo 300" w:cs="Arial"/>
          <w:sz w:val="16"/>
          <w:szCs w:val="16"/>
        </w:rPr>
        <w:t>se establece que la cantidad de mil cuatrocientos setenta y ocho 62/100 dólares de los Estados Unidos de América (USD 1,478.62) IVA incluido,</w:t>
      </w:r>
      <w:r w:rsidR="00237CC2">
        <w:rPr>
          <w:rFonts w:ascii="Museo 300" w:hAnsi="Museo 300" w:cs="Arial"/>
          <w:sz w:val="16"/>
          <w:szCs w:val="16"/>
        </w:rPr>
        <w:t xml:space="preserve"> </w:t>
      </w:r>
      <w:r w:rsidRPr="00415F9A">
        <w:rPr>
          <w:rFonts w:ascii="Museo 300" w:hAnsi="Museo 300" w:cs="Arial"/>
          <w:sz w:val="16"/>
          <w:szCs w:val="16"/>
        </w:rPr>
        <w:t>cobrados por la sociedad EEO en concepto de ENR en el suministro, debe de rectificarse.</w:t>
      </w:r>
    </w:p>
    <w:p w14:paraId="4BAB16C4" w14:textId="5CCCF68D" w:rsidR="00562498" w:rsidRPr="00415F9A" w:rsidRDefault="00415F9A">
      <w:pPr>
        <w:pStyle w:val="Prrafodelista"/>
        <w:numPr>
          <w:ilvl w:val="0"/>
          <w:numId w:val="9"/>
        </w:numPr>
        <w:spacing w:after="200"/>
        <w:ind w:left="1418" w:right="708"/>
        <w:jc w:val="both"/>
        <w:textAlignment w:val="auto"/>
        <w:rPr>
          <w:rFonts w:ascii="Museo 300" w:hAnsi="Museo 300" w:cs="Arial"/>
          <w:sz w:val="16"/>
          <w:szCs w:val="16"/>
        </w:rPr>
      </w:pPr>
      <w:r w:rsidRPr="00415F9A">
        <w:rPr>
          <w:rFonts w:ascii="Museo 300" w:hAnsi="Museo 300" w:cs="Arial"/>
          <w:sz w:val="16"/>
          <w:szCs w:val="16"/>
        </w:rPr>
        <w:t xml:space="preserve">Se establece que el monto a recuperar por parte de la sociedad EEO en concepto de energía no registrada, asciende a </w:t>
      </w:r>
      <w:r w:rsidRPr="00415F9A">
        <w:rPr>
          <w:rFonts w:ascii="Museo 300" w:hAnsi="Museo 300" w:cs="Arial"/>
          <w:color w:val="000000" w:themeColor="text1"/>
          <w:sz w:val="16"/>
          <w:szCs w:val="16"/>
        </w:rPr>
        <w:t>la cantidad de noventa y nueve 65/100 dólares de los Estados Unidos de América (USD 99.65)</w:t>
      </w:r>
      <w:r w:rsidRPr="00415F9A">
        <w:rPr>
          <w:rFonts w:ascii="Museo 300" w:hAnsi="Museo 300" w:cs="Arial"/>
          <w:b/>
          <w:bCs/>
          <w:color w:val="000000" w:themeColor="text1"/>
          <w:sz w:val="16"/>
          <w:szCs w:val="16"/>
        </w:rPr>
        <w:t xml:space="preserve"> </w:t>
      </w:r>
      <w:r w:rsidRPr="00415F9A">
        <w:rPr>
          <w:rFonts w:ascii="Museo 300" w:hAnsi="Museo 300" w:cs="Arial"/>
          <w:color w:val="000000" w:themeColor="text1"/>
          <w:sz w:val="16"/>
          <w:szCs w:val="16"/>
        </w:rPr>
        <w:t xml:space="preserve">IVA incluido; además, </w:t>
      </w:r>
      <w:r w:rsidRPr="00415F9A">
        <w:rPr>
          <w:rFonts w:ascii="Museo 300" w:hAnsi="Museo 300" w:cs="Arial"/>
          <w:sz w:val="16"/>
          <w:szCs w:val="16"/>
        </w:rPr>
        <w:t>la distribuidora podrá efectuar el cobro de los intereses generados</w:t>
      </w:r>
      <w:r w:rsidR="008479DB" w:rsidRPr="00415F9A">
        <w:rPr>
          <w:rFonts w:ascii="Museo 300" w:hAnsi="Museo 300" w:cs="Arial"/>
          <w:sz w:val="16"/>
          <w:szCs w:val="16"/>
        </w:rPr>
        <w:t xml:space="preserve"> </w:t>
      </w:r>
      <w:r w:rsidR="00562498" w:rsidRPr="00415F9A">
        <w:rPr>
          <w:rFonts w:ascii="Museo 300" w:eastAsia="Arial" w:hAnsi="Museo 300"/>
          <w:color w:val="000000" w:themeColor="text1"/>
          <w:sz w:val="16"/>
          <w:szCs w:val="16"/>
        </w:rPr>
        <w:t>[…]</w:t>
      </w:r>
      <w:r w:rsidR="00914F6D" w:rsidRPr="00415F9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EF7AB55"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1237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A398F">
        <w:rPr>
          <w:rFonts w:ascii="Museo Sans 300" w:hAnsi="Museo Sans 300"/>
          <w:sz w:val="20"/>
          <w:szCs w:val="20"/>
          <w:lang w:val="es-SV"/>
        </w:rPr>
        <w:t>dieciséis</w:t>
      </w:r>
      <w:r w:rsidR="00510582">
        <w:rPr>
          <w:rFonts w:ascii="Museo Sans 300" w:hAnsi="Museo Sans 300"/>
          <w:sz w:val="20"/>
          <w:szCs w:val="20"/>
          <w:lang w:val="es-SV"/>
        </w:rPr>
        <w:t xml:space="preserve"> de </w:t>
      </w:r>
      <w:r w:rsidR="00E455E0">
        <w:rPr>
          <w:rFonts w:ascii="Museo Sans 300" w:hAnsi="Museo Sans 300"/>
          <w:sz w:val="20"/>
          <w:szCs w:val="20"/>
          <w:lang w:val="es-SV"/>
        </w:rPr>
        <w:t>ju</w:t>
      </w:r>
      <w:r w:rsidR="00F2473F">
        <w:rPr>
          <w:rFonts w:ascii="Museo Sans 300" w:hAnsi="Museo Sans 300"/>
          <w:sz w:val="20"/>
          <w:szCs w:val="20"/>
          <w:lang w:val="es-SV"/>
        </w:rPr>
        <w:t>nio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BE2A7C">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7F655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137F5A3E"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2A398F">
        <w:rPr>
          <w:rFonts w:ascii="Museo Sans 300" w:eastAsia="Times New Roman" w:hAnsi="Museo Sans 300" w:cs="Segoe UI"/>
          <w:sz w:val="20"/>
          <w:szCs w:val="20"/>
          <w:lang w:val="es-ES" w:eastAsia="es-ES"/>
        </w:rPr>
        <w:t>veintidós</w:t>
      </w:r>
      <w:r w:rsidR="00E455E0">
        <w:rPr>
          <w:rFonts w:ascii="Museo Sans 300" w:eastAsia="Times New Roman" w:hAnsi="Museo Sans 300" w:cs="Segoe UI"/>
          <w:sz w:val="20"/>
          <w:szCs w:val="20"/>
          <w:lang w:val="es-ES" w:eastAsia="es-ES"/>
        </w:rPr>
        <w:t xml:space="preserve"> de ju</w:t>
      </w:r>
      <w:r w:rsidR="00F2473F">
        <w:rPr>
          <w:rFonts w:ascii="Museo Sans 300" w:eastAsia="Times New Roman" w:hAnsi="Museo Sans 300" w:cs="Segoe UI"/>
          <w:sz w:val="20"/>
          <w:szCs w:val="20"/>
          <w:lang w:val="es-ES" w:eastAsia="es-ES"/>
        </w:rPr>
        <w:t>nio</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2A398F">
        <w:rPr>
          <w:rFonts w:ascii="Museo Sans 300" w:eastAsia="Times New Roman" w:hAnsi="Museo Sans 300" w:cs="Segoe UI"/>
          <w:sz w:val="20"/>
          <w:szCs w:val="20"/>
          <w:lang w:val="es-ES" w:eastAsia="es-ES"/>
        </w:rPr>
        <w:t>seis</w:t>
      </w:r>
      <w:r w:rsidR="00F2473F">
        <w:rPr>
          <w:rFonts w:ascii="Museo Sans 300" w:eastAsia="Times New Roman" w:hAnsi="Museo Sans 300" w:cs="Segoe UI"/>
          <w:sz w:val="20"/>
          <w:szCs w:val="20"/>
          <w:lang w:val="es-ES" w:eastAsia="es-ES"/>
        </w:rPr>
        <w:t xml:space="preserve"> de</w:t>
      </w:r>
      <w:r w:rsidR="002A398F">
        <w:rPr>
          <w:rFonts w:ascii="Museo Sans 300" w:eastAsia="Times New Roman" w:hAnsi="Museo Sans 300" w:cs="Segoe UI"/>
          <w:sz w:val="20"/>
          <w:szCs w:val="20"/>
          <w:lang w:val="es-ES" w:eastAsia="es-ES"/>
        </w:rPr>
        <w:t xml:space="preserve"> julio del presente año</w:t>
      </w:r>
      <w:r w:rsidR="00F2473F">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76761C70" w14:textId="5D789E45" w:rsidR="007239DA"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7239DA">
        <w:rPr>
          <w:rFonts w:ascii="Museo Sans 300" w:hAnsi="Museo Sans 300"/>
          <w:sz w:val="20"/>
          <w:szCs w:val="20"/>
          <w:lang w:val="es-SV"/>
        </w:rPr>
        <w:t>veintinueve</w:t>
      </w:r>
      <w:r w:rsidR="004B3414">
        <w:rPr>
          <w:rFonts w:ascii="Museo Sans 300" w:hAnsi="Museo Sans 300"/>
          <w:sz w:val="20"/>
          <w:szCs w:val="20"/>
          <w:lang w:val="es-SV"/>
        </w:rPr>
        <w:t xml:space="preserve"> de </w:t>
      </w:r>
      <w:r w:rsidR="002A42E5">
        <w:rPr>
          <w:rFonts w:ascii="Museo Sans 300" w:hAnsi="Museo Sans 300"/>
          <w:sz w:val="20"/>
          <w:szCs w:val="20"/>
          <w:lang w:val="es-SV"/>
        </w:rPr>
        <w:t>junio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p>
    <w:p w14:paraId="781EB755" w14:textId="77777777" w:rsidR="007239DA" w:rsidRDefault="007239DA" w:rsidP="00B43803">
      <w:pPr>
        <w:pStyle w:val="Prrafodelista"/>
        <w:tabs>
          <w:tab w:val="left" w:pos="426"/>
        </w:tabs>
        <w:ind w:left="426"/>
        <w:jc w:val="both"/>
        <w:rPr>
          <w:rFonts w:ascii="Museo Sans 300" w:hAnsi="Museo Sans 300"/>
          <w:sz w:val="20"/>
          <w:szCs w:val="20"/>
        </w:rPr>
      </w:pPr>
    </w:p>
    <w:p w14:paraId="30BC3A53" w14:textId="2ED61C4E"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rPr>
        <w:t xml:space="preserve">Por su parte, </w:t>
      </w:r>
      <w:r w:rsidR="00F2473F">
        <w:rPr>
          <w:rFonts w:ascii="Museo Sans 300" w:hAnsi="Museo Sans 300"/>
          <w:sz w:val="20"/>
          <w:szCs w:val="20"/>
        </w:rPr>
        <w:t>el</w:t>
      </w:r>
      <w:r w:rsidR="007239DA">
        <w:rPr>
          <w:rFonts w:ascii="Museo Sans 300" w:hAnsi="Museo Sans 300"/>
          <w:sz w:val="20"/>
          <w:szCs w:val="20"/>
        </w:rPr>
        <w:t xml:space="preserve"> día seis de julio de este año, el</w:t>
      </w:r>
      <w:r w:rsidRPr="006C3CCA">
        <w:rPr>
          <w:rFonts w:ascii="Museo Sans 300" w:hAnsi="Museo Sans 300"/>
          <w:sz w:val="20"/>
          <w:szCs w:val="20"/>
        </w:rPr>
        <w:t xml:space="preserve"> </w:t>
      </w:r>
      <w:r w:rsidR="00986BD6">
        <w:rPr>
          <w:rFonts w:ascii="Museo Sans 300" w:hAnsi="Museo Sans 300"/>
          <w:sz w:val="20"/>
          <w:szCs w:val="20"/>
        </w:rPr>
        <w:t>señor</w:t>
      </w:r>
      <w:r w:rsidR="007239DA">
        <w:rPr>
          <w:rFonts w:ascii="Museo Sans 300" w:hAnsi="Museo Sans 300"/>
          <w:sz w:val="20"/>
          <w:szCs w:val="20"/>
        </w:rPr>
        <w:t xml:space="preserve"> </w:t>
      </w:r>
      <w:r w:rsidR="00E358AA">
        <w:rPr>
          <w:rFonts w:ascii="Museo Sans 300" w:hAnsi="Museo Sans 300"/>
          <w:sz w:val="20"/>
          <w:szCs w:val="20"/>
        </w:rPr>
        <w:t>XXX</w:t>
      </w:r>
      <w:r w:rsidR="00A172DC">
        <w:rPr>
          <w:rFonts w:ascii="Museo Sans 300" w:hAnsi="Museo Sans 300"/>
          <w:sz w:val="20"/>
          <w:szCs w:val="20"/>
        </w:rPr>
        <w:t>, presentó un escrito por medio del cual expresó lo siguiente:</w:t>
      </w:r>
    </w:p>
    <w:p w14:paraId="6F0D0E12" w14:textId="62E1BD33" w:rsidR="00A172DC" w:rsidRDefault="00A172DC" w:rsidP="00B43803">
      <w:pPr>
        <w:pStyle w:val="Prrafodelista"/>
        <w:tabs>
          <w:tab w:val="left" w:pos="426"/>
        </w:tabs>
        <w:ind w:left="426"/>
        <w:jc w:val="both"/>
        <w:rPr>
          <w:rFonts w:ascii="Museo Sans 300" w:hAnsi="Museo Sans 300"/>
          <w:sz w:val="20"/>
          <w:szCs w:val="20"/>
        </w:rPr>
      </w:pPr>
    </w:p>
    <w:p w14:paraId="0A328161" w14:textId="23F892B0" w:rsidR="00A172DC" w:rsidRPr="00A172DC" w:rsidRDefault="00A172DC" w:rsidP="00655341">
      <w:pPr>
        <w:suppressAutoHyphens w:val="0"/>
        <w:autoSpaceDN/>
        <w:spacing w:after="0" w:line="240" w:lineRule="auto"/>
        <w:ind w:left="840" w:right="840"/>
        <w:jc w:val="both"/>
        <w:rPr>
          <w:rFonts w:ascii="Segoe UI" w:eastAsia="Times New Roman" w:hAnsi="Segoe UI" w:cs="Segoe UI"/>
          <w:sz w:val="18"/>
          <w:szCs w:val="18"/>
          <w:lang w:val="es-419"/>
        </w:rPr>
      </w:pPr>
      <w:r w:rsidRPr="00A172DC">
        <w:rPr>
          <w:rFonts w:ascii="Museo 300" w:eastAsia="Times New Roman" w:hAnsi="Museo 300" w:cs="Segoe UI"/>
          <w:sz w:val="16"/>
          <w:szCs w:val="16"/>
        </w:rPr>
        <w:t xml:space="preserve">[…] </w:t>
      </w:r>
      <w:r w:rsidR="00655341">
        <w:rPr>
          <w:rFonts w:ascii="Museo 300" w:eastAsia="Times New Roman" w:hAnsi="Museo 300" w:cs="Segoe UI"/>
          <w:sz w:val="16"/>
          <w:szCs w:val="16"/>
        </w:rPr>
        <w:t>considero que es un cobro arbitrario, puesto que el medidor se encontraba dañado (…) ya sea por el deterioro del aparato medidor y no por alteraciones hechas por mi persona</w:t>
      </w:r>
      <w:r w:rsidRPr="00A172DC">
        <w:rPr>
          <w:rFonts w:ascii="Museo 300" w:eastAsia="Times New Roman" w:hAnsi="Museo 300" w:cs="Segoe UI"/>
          <w:sz w:val="16"/>
          <w:szCs w:val="16"/>
          <w:lang w:val="es-419"/>
        </w:rPr>
        <w:t xml:space="preserve">. </w:t>
      </w:r>
      <w:r w:rsidRPr="00A172DC">
        <w:rPr>
          <w:rFonts w:ascii="Museo 300" w:eastAsia="Times New Roman" w:hAnsi="Museo 300" w:cs="Segoe UI"/>
          <w:sz w:val="16"/>
          <w:szCs w:val="16"/>
        </w:rPr>
        <w:t>[…]” </w:t>
      </w:r>
    </w:p>
    <w:p w14:paraId="4E9A2135" w14:textId="77777777" w:rsidR="00A172DC" w:rsidRPr="00A172DC" w:rsidRDefault="00A172DC" w:rsidP="00A172DC">
      <w:pPr>
        <w:suppressAutoHyphens w:val="0"/>
        <w:autoSpaceDN/>
        <w:spacing w:after="0" w:line="240" w:lineRule="auto"/>
        <w:ind w:left="420"/>
        <w:jc w:val="both"/>
        <w:rPr>
          <w:rFonts w:ascii="Segoe UI" w:eastAsia="Times New Roman" w:hAnsi="Segoe UI" w:cs="Segoe UI"/>
          <w:sz w:val="18"/>
          <w:szCs w:val="18"/>
        </w:rPr>
      </w:pPr>
      <w:r w:rsidRPr="00A172DC">
        <w:rPr>
          <w:rFonts w:ascii="Museo Sans 300" w:eastAsia="Times New Roman" w:hAnsi="Museo Sans 300" w:cs="Segoe UI"/>
          <w:sz w:val="20"/>
          <w:szCs w:val="20"/>
        </w:rPr>
        <w:t> </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784427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7F76BE2" w14:textId="77777777" w:rsidR="0025330B" w:rsidRDefault="0025330B"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ECF06B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358A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lastRenderedPageBreak/>
        <w:tab/>
      </w:r>
    </w:p>
    <w:p w14:paraId="09CFA36E" w14:textId="6F6AD9F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007F655A">
        <w:rPr>
          <w:rFonts w:ascii="Museo Sans 300" w:hAnsi="Museo Sans 300" w:cs="Segoe UI"/>
          <w:sz w:val="20"/>
          <w:szCs w:val="20"/>
          <w:lang w:eastAsia="es-MX"/>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1DC380C" w14:textId="18BE6408" w:rsidR="00772B9B" w:rsidRPr="00772B9B" w:rsidRDefault="00C34300" w:rsidP="00772B9B">
      <w:pPr>
        <w:tabs>
          <w:tab w:val="left" w:pos="993"/>
          <w:tab w:val="left" w:pos="9072"/>
        </w:tabs>
        <w:spacing w:line="240" w:lineRule="auto"/>
        <w:ind w:left="993" w:right="709"/>
        <w:jc w:val="both"/>
        <w:rPr>
          <w:rFonts w:ascii="Museo 300" w:hAnsi="Museo 300"/>
          <w:sz w:val="16"/>
          <w:szCs w:val="16"/>
        </w:rPr>
      </w:pPr>
      <w:bookmarkStart w:id="2" w:name="_Hlk112147604"/>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772B9B">
        <w:rPr>
          <w:rFonts w:ascii="Museo 300" w:hAnsi="Museo 300"/>
          <w:color w:val="000000" w:themeColor="text1"/>
          <w:sz w:val="16"/>
          <w:szCs w:val="16"/>
          <w:lang w:val="es-ES"/>
        </w:rPr>
        <w:t xml:space="preserve"> </w:t>
      </w:r>
      <w:r w:rsidR="00772B9B" w:rsidRPr="00772B9B">
        <w:rPr>
          <w:rFonts w:ascii="Museo 300" w:hAnsi="Museo 300"/>
          <w:sz w:val="16"/>
          <w:szCs w:val="16"/>
        </w:rPr>
        <w:t xml:space="preserve">con la información que fue provista por la sociedad EEO, se han extraído las siguientes fotografías mediante las cuales se observa la condición encontrada </w:t>
      </w:r>
      <w:r w:rsidR="00772B9B" w:rsidRPr="00772B9B" w:rsidDel="00CB3C5C">
        <w:rPr>
          <w:rFonts w:ascii="Museo 300" w:hAnsi="Museo 300"/>
          <w:sz w:val="16"/>
          <w:szCs w:val="16"/>
        </w:rPr>
        <w:t xml:space="preserve">en </w:t>
      </w:r>
      <w:r w:rsidR="00772B9B" w:rsidRPr="00772B9B">
        <w:rPr>
          <w:rFonts w:ascii="Museo 300" w:hAnsi="Museo 300"/>
          <w:sz w:val="16"/>
          <w:szCs w:val="16"/>
        </w:rPr>
        <w:t>fecha 2 de octubre de 2021, detallando una supuesta condición irregular, consistente en la inversión de la fase B en las borneras del equipo de medición, con la finalidad de impedir el correcto registro de la energía consumida en el suministro.</w:t>
      </w:r>
      <w:r w:rsidR="00772B9B">
        <w:rPr>
          <w:rFonts w:ascii="Museo 300" w:hAnsi="Museo 300"/>
          <w:sz w:val="16"/>
          <w:szCs w:val="16"/>
        </w:rPr>
        <w:t xml:space="preserve"> (…)</w:t>
      </w:r>
    </w:p>
    <w:p w14:paraId="4DC82805" w14:textId="1E71BEE4" w:rsidR="00C34300" w:rsidRPr="00D75125" w:rsidRDefault="00772B9B" w:rsidP="00D75125">
      <w:pPr>
        <w:tabs>
          <w:tab w:val="left" w:pos="993"/>
          <w:tab w:val="left" w:pos="9072"/>
        </w:tabs>
        <w:spacing w:line="240" w:lineRule="auto"/>
        <w:ind w:left="993" w:right="709"/>
        <w:jc w:val="both"/>
        <w:rPr>
          <w:rFonts w:ascii="Museo 300" w:hAnsi="Museo 300"/>
          <w:sz w:val="16"/>
          <w:szCs w:val="16"/>
        </w:rPr>
      </w:pPr>
      <w:r w:rsidRPr="00D75125">
        <w:rPr>
          <w:rFonts w:ascii="Museo 300" w:hAnsi="Museo 300"/>
          <w:sz w:val="16"/>
          <w:szCs w:val="16"/>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71D2EFF" w14:textId="34F6FDB7" w:rsidR="00753C43" w:rsidRPr="00DF14B1" w:rsidRDefault="00CC62A8" w:rsidP="00753C43">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bookmarkEnd w:id="2"/>
      <w:r w:rsidRPr="00F17972">
        <w:rPr>
          <w:rFonts w:ascii="Museo Sans 300" w:hAnsi="Museo Sans 300"/>
          <w:sz w:val="20"/>
          <w:szCs w:val="20"/>
        </w:rPr>
        <w:t xml:space="preserve">Conforme lo anterior, el CAU concluyó en el informe </w:t>
      </w:r>
      <w:r w:rsidR="007F655A">
        <w:rPr>
          <w:rFonts w:ascii="Museo Sans 300" w:hAnsi="Museo Sans 300"/>
          <w:sz w:val="20"/>
          <w:szCs w:val="20"/>
        </w:rPr>
        <w:t>XXX</w:t>
      </w:r>
      <w:r w:rsidRPr="00F17972">
        <w:rPr>
          <w:rFonts w:ascii="Museo Sans 300" w:hAnsi="Museo Sans 300"/>
          <w:sz w:val="20"/>
          <w:szCs w:val="20"/>
          <w:lang w:val="es-ES"/>
        </w:rPr>
        <w:t xml:space="preserve"> que existió </w:t>
      </w:r>
      <w:bookmarkStart w:id="5" w:name="_Hlk112146892"/>
      <w:r w:rsidRPr="00F17972">
        <w:rPr>
          <w:rFonts w:ascii="Museo Sans 300" w:hAnsi="Museo Sans 300"/>
          <w:sz w:val="20"/>
          <w:szCs w:val="20"/>
          <w:lang w:val="es-ES"/>
        </w:rPr>
        <w:t>una</w:t>
      </w:r>
      <w:r w:rsidR="00753C43">
        <w:rPr>
          <w:rStyle w:val="normaltextrun"/>
          <w:rFonts w:ascii="Museo Sans 300" w:hAnsi="Museo Sans 300"/>
          <w:color w:val="000000"/>
          <w:sz w:val="20"/>
          <w:szCs w:val="20"/>
          <w:shd w:val="clear" w:color="auto" w:fill="FFFFFF"/>
          <w:lang w:val="es-ES"/>
        </w:rPr>
        <w:t xml:space="preserve"> alteración de la acometida de servicio eléctrico, consistente en la inversión de la fase B del equipo de medición para impedir el registro correcto de la energía eléctrica demandada en el inmueble.</w:t>
      </w:r>
      <w:r w:rsidR="00237CC2">
        <w:rPr>
          <w:rStyle w:val="normaltextrun"/>
          <w:rFonts w:ascii="Museo Sans 300" w:hAnsi="Museo Sans 300"/>
          <w:color w:val="000000"/>
          <w:sz w:val="20"/>
          <w:szCs w:val="20"/>
          <w:shd w:val="clear" w:color="auto" w:fill="FFFFFF"/>
        </w:rPr>
        <w:t xml:space="preserve"> </w:t>
      </w:r>
    </w:p>
    <w:bookmarkEnd w:id="5"/>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4"/>
    <w:p w14:paraId="5C452580" w14:textId="318C1D6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751D0DC" w14:textId="48C68833"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5E252EA" w14:textId="2EAA0CA7" w:rsidR="003A7142" w:rsidRPr="003A7142" w:rsidRDefault="003A7142" w:rsidP="003A7142">
      <w:pPr>
        <w:shd w:val="clear" w:color="auto" w:fill="FFFFFF"/>
        <w:suppressAutoHyphens w:val="0"/>
        <w:autoSpaceDN/>
        <w:spacing w:after="0" w:line="240" w:lineRule="auto"/>
        <w:ind w:left="420"/>
        <w:jc w:val="both"/>
        <w:rPr>
          <w:rFonts w:ascii="Museo Sans 300" w:eastAsia="Times New Roman" w:hAnsi="Museo Sans 300" w:cs="Times New Roman"/>
          <w:sz w:val="20"/>
          <w:szCs w:val="20"/>
        </w:rPr>
      </w:pPr>
      <w:r w:rsidRPr="003A7142">
        <w:rPr>
          <w:rFonts w:ascii="Museo Sans 300" w:eastAsia="Times New Roman" w:hAnsi="Museo Sans 300" w:cs="Times New Roman"/>
          <w:sz w:val="20"/>
          <w:szCs w:val="20"/>
        </w:rPr>
        <w:t>De acuerdo con lo establecido en el informe técnico, el CAU no validó el cálculo de ENR realizado por la distribuidora debido a que el método utilizado no está considerado en la norma aplicable.</w:t>
      </w:r>
      <w:r w:rsidR="006710A4">
        <w:rPr>
          <w:rFonts w:ascii="Museo Sans 300" w:eastAsia="Times New Roman" w:hAnsi="Museo Sans 300" w:cs="Times New Roman"/>
          <w:sz w:val="20"/>
          <w:szCs w:val="20"/>
        </w:rPr>
        <w:t xml:space="preserve"> </w:t>
      </w:r>
    </w:p>
    <w:p w14:paraId="6693CD6C" w14:textId="77777777" w:rsidR="003A7142" w:rsidRPr="003A7142" w:rsidRDefault="003A7142" w:rsidP="003A7142">
      <w:pPr>
        <w:shd w:val="clear" w:color="auto" w:fill="FFFFFF"/>
        <w:suppressAutoHyphens w:val="0"/>
        <w:autoSpaceDN/>
        <w:spacing w:after="0" w:line="240" w:lineRule="auto"/>
        <w:ind w:left="420"/>
        <w:jc w:val="both"/>
        <w:rPr>
          <w:rFonts w:ascii="Museo Sans 300" w:eastAsia="Times New Roman" w:hAnsi="Museo Sans 300" w:cs="Times New Roman"/>
          <w:sz w:val="20"/>
          <w:szCs w:val="20"/>
        </w:rPr>
      </w:pPr>
      <w:r w:rsidRPr="003A7142">
        <w:rPr>
          <w:rFonts w:eastAsia="Times New Roman" w:cs="Calibri"/>
        </w:rPr>
        <w:t> </w:t>
      </w:r>
    </w:p>
    <w:p w14:paraId="3F40F99E" w14:textId="7F7167F4" w:rsidR="00680603" w:rsidRDefault="00680603" w:rsidP="003A7142">
      <w:pPr>
        <w:shd w:val="clear" w:color="auto" w:fill="FFFFFF"/>
        <w:suppressAutoHyphens w:val="0"/>
        <w:autoSpaceDN/>
        <w:spacing w:after="0" w:line="240" w:lineRule="auto"/>
        <w:ind w:left="420"/>
        <w:jc w:val="both"/>
        <w:rPr>
          <w:rStyle w:val="normaltextrun"/>
          <w:rFonts w:ascii="Cambria Math" w:hAnsi="Cambria Math"/>
          <w:color w:val="000000"/>
          <w:sz w:val="20"/>
          <w:szCs w:val="20"/>
          <w:shd w:val="clear" w:color="auto" w:fill="FFFFFF"/>
        </w:rPr>
      </w:pPr>
      <w:r>
        <w:rPr>
          <w:rStyle w:val="normaltextrun"/>
          <w:rFonts w:ascii="Museo Sans 300" w:hAnsi="Museo Sans 300"/>
          <w:color w:val="000000"/>
          <w:sz w:val="20"/>
          <w:szCs w:val="20"/>
          <w:shd w:val="clear" w:color="auto" w:fill="FFFFFF"/>
        </w:rPr>
        <w:t>Por ello, el CAU realizó un nuevo cálculo basado en el historial reciente de registros mensuales de consumo, utilizando los criterios siguientes:</w:t>
      </w:r>
      <w:r>
        <w:rPr>
          <w:rStyle w:val="normaltextrun"/>
          <w:rFonts w:ascii="Cambria Math" w:hAnsi="Cambria Math"/>
          <w:color w:val="000000"/>
          <w:sz w:val="20"/>
          <w:szCs w:val="20"/>
          <w:shd w:val="clear" w:color="auto" w:fill="FFFFFF"/>
        </w:rPr>
        <w:t> </w:t>
      </w:r>
    </w:p>
    <w:p w14:paraId="3CADFB78" w14:textId="7994FFEF" w:rsidR="00680603" w:rsidRDefault="00680603" w:rsidP="003A7142">
      <w:pPr>
        <w:shd w:val="clear" w:color="auto" w:fill="FFFFFF"/>
        <w:suppressAutoHyphens w:val="0"/>
        <w:autoSpaceDN/>
        <w:spacing w:after="0" w:line="240" w:lineRule="auto"/>
        <w:ind w:left="420"/>
        <w:jc w:val="both"/>
        <w:rPr>
          <w:rStyle w:val="normaltextrun"/>
          <w:rFonts w:ascii="Cambria Math" w:hAnsi="Cambria Math"/>
          <w:color w:val="000000"/>
          <w:sz w:val="20"/>
          <w:szCs w:val="20"/>
          <w:shd w:val="clear" w:color="auto" w:fill="FFFFFF"/>
        </w:rPr>
      </w:pPr>
    </w:p>
    <w:p w14:paraId="10257061" w14:textId="067126D8" w:rsidR="00680603" w:rsidRPr="00680603" w:rsidRDefault="00680603">
      <w:pPr>
        <w:numPr>
          <w:ilvl w:val="0"/>
          <w:numId w:val="10"/>
        </w:numPr>
        <w:autoSpaceDE w:val="0"/>
        <w:spacing w:after="0" w:line="240" w:lineRule="auto"/>
        <w:ind w:left="993"/>
        <w:jc w:val="both"/>
        <w:rPr>
          <w:rFonts w:ascii="Museo Sans 300" w:eastAsia="Times New Roman" w:hAnsi="Museo Sans 300" w:cs="Times New Roman"/>
          <w:sz w:val="20"/>
          <w:szCs w:val="20"/>
        </w:rPr>
      </w:pPr>
      <w:r w:rsidRPr="00680603">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enero</w:t>
      </w:r>
      <w:r w:rsidRPr="00680603">
        <w:rPr>
          <w:rFonts w:ascii="Museo Sans 300" w:eastAsia="Times New Roman" w:hAnsi="Museo Sans 300" w:cs="Times New Roman"/>
          <w:sz w:val="20"/>
          <w:szCs w:val="20"/>
          <w:lang w:val="es-ES"/>
        </w:rPr>
        <w:t xml:space="preserve"> a </w:t>
      </w:r>
      <w:r>
        <w:rPr>
          <w:rFonts w:ascii="Museo Sans 300" w:eastAsia="Times New Roman" w:hAnsi="Museo Sans 300" w:cs="Times New Roman"/>
          <w:sz w:val="20"/>
          <w:szCs w:val="20"/>
          <w:lang w:val="es-ES"/>
        </w:rPr>
        <w:t>mayo</w:t>
      </w:r>
      <w:r w:rsidRPr="00680603">
        <w:rPr>
          <w:rFonts w:ascii="Museo Sans 300" w:eastAsia="Times New Roman" w:hAnsi="Museo Sans 300" w:cs="Times New Roman"/>
          <w:sz w:val="20"/>
          <w:szCs w:val="20"/>
          <w:lang w:val="es-ES"/>
        </w:rPr>
        <w:t xml:space="preserve"> del presente año.</w:t>
      </w:r>
      <w:r w:rsidR="006710A4">
        <w:rPr>
          <w:rFonts w:ascii="Cambria Math" w:eastAsia="Times New Roman" w:hAnsi="Cambria Math" w:cs="Times New Roman"/>
          <w:sz w:val="20"/>
          <w:szCs w:val="20"/>
        </w:rPr>
        <w:t xml:space="preserve"> </w:t>
      </w:r>
    </w:p>
    <w:p w14:paraId="123B1DFE" w14:textId="54D61B9C" w:rsidR="00516A33" w:rsidRPr="0020572B" w:rsidRDefault="00680603">
      <w:pPr>
        <w:numPr>
          <w:ilvl w:val="0"/>
          <w:numId w:val="10"/>
        </w:numPr>
        <w:autoSpaceDE w:val="0"/>
        <w:spacing w:after="0" w:line="240" w:lineRule="auto"/>
        <w:ind w:left="993"/>
        <w:jc w:val="both"/>
        <w:rPr>
          <w:rFonts w:ascii="Museo Sans 300" w:eastAsia="Times New Roman" w:hAnsi="Museo Sans 300" w:cs="Times New Roman"/>
          <w:sz w:val="20"/>
          <w:szCs w:val="20"/>
        </w:rPr>
      </w:pPr>
      <w:r w:rsidRPr="00680603">
        <w:rPr>
          <w:rFonts w:ascii="Museo Sans 300" w:eastAsia="Times New Roman" w:hAnsi="Museo Sans 300" w:cs="Times New Roman"/>
          <w:sz w:val="20"/>
          <w:szCs w:val="20"/>
          <w:lang w:val="es-ES"/>
        </w:rPr>
        <w:t xml:space="preserve">El tiempo de recuperación de la energía no registrada correspondiente al período del </w:t>
      </w:r>
      <w:r w:rsidR="0062394D">
        <w:rPr>
          <w:rFonts w:ascii="Museo Sans 300" w:eastAsia="Times New Roman" w:hAnsi="Museo Sans 300" w:cs="Times New Roman"/>
          <w:sz w:val="20"/>
          <w:szCs w:val="20"/>
          <w:lang w:val="es-ES"/>
        </w:rPr>
        <w:t>dieciocho de agosto</w:t>
      </w:r>
      <w:r w:rsidRPr="00680603">
        <w:rPr>
          <w:rFonts w:ascii="Museo Sans 300" w:eastAsia="Times New Roman" w:hAnsi="Museo Sans 300" w:cs="Times New Roman"/>
          <w:sz w:val="20"/>
          <w:szCs w:val="20"/>
          <w:lang w:val="es-ES"/>
        </w:rPr>
        <w:t xml:space="preserve"> al </w:t>
      </w:r>
      <w:r w:rsidR="0062394D">
        <w:rPr>
          <w:rFonts w:ascii="Museo Sans 300" w:eastAsia="Times New Roman" w:hAnsi="Museo Sans 300" w:cs="Times New Roman"/>
          <w:sz w:val="20"/>
          <w:szCs w:val="20"/>
          <w:lang w:val="es-ES"/>
        </w:rPr>
        <w:t>dos de octubre</w:t>
      </w:r>
      <w:r w:rsidRPr="00680603">
        <w:rPr>
          <w:rFonts w:ascii="Museo Sans 300" w:eastAsia="Times New Roman" w:hAnsi="Museo Sans 300" w:cs="Times New Roman"/>
          <w:sz w:val="20"/>
          <w:szCs w:val="20"/>
          <w:lang w:val="es-ES"/>
        </w:rPr>
        <w:t xml:space="preserve"> del año dos mil veintiuno.</w:t>
      </w:r>
    </w:p>
    <w:p w14:paraId="19AD3EDD" w14:textId="5AD8FA84" w:rsidR="00231864" w:rsidRPr="0020572B" w:rsidRDefault="00231864" w:rsidP="0020572B">
      <w:pPr>
        <w:numPr>
          <w:ilvl w:val="0"/>
          <w:numId w:val="10"/>
        </w:numPr>
        <w:autoSpaceDE w:val="0"/>
        <w:spacing w:after="0" w:line="240" w:lineRule="auto"/>
        <w:ind w:left="993"/>
        <w:jc w:val="both"/>
        <w:rPr>
          <w:rFonts w:ascii="Museo Sans 300" w:eastAsia="Times New Roman" w:hAnsi="Museo Sans 300" w:cs="Times New Roman"/>
          <w:sz w:val="20"/>
          <w:szCs w:val="20"/>
        </w:rPr>
      </w:pPr>
      <w:r w:rsidRPr="0020572B">
        <w:rPr>
          <w:rStyle w:val="normaltextrun"/>
          <w:rFonts w:ascii="Museo Sans 300" w:hAnsi="Museo Sans 300"/>
          <w:color w:val="000000"/>
          <w:sz w:val="20"/>
          <w:szCs w:val="20"/>
          <w:shd w:val="clear" w:color="auto" w:fill="FFFFFF"/>
        </w:rPr>
        <w:t>Dicho periodo fue limitado a c</w:t>
      </w:r>
      <w:r w:rsidR="0062394D" w:rsidRPr="0020572B">
        <w:rPr>
          <w:rStyle w:val="normaltextrun"/>
          <w:rFonts w:ascii="Museo Sans 300" w:hAnsi="Museo Sans 300"/>
          <w:color w:val="000000"/>
          <w:sz w:val="20"/>
          <w:szCs w:val="20"/>
          <w:shd w:val="clear" w:color="auto" w:fill="FFFFFF"/>
        </w:rPr>
        <w:t>uarenta y cinco</w:t>
      </w:r>
      <w:r w:rsidRPr="0020572B">
        <w:rPr>
          <w:rStyle w:val="normaltextrun"/>
          <w:rFonts w:ascii="Museo Sans 300" w:hAnsi="Museo Sans 300"/>
          <w:color w:val="000000"/>
          <w:sz w:val="20"/>
          <w:szCs w:val="20"/>
          <w:shd w:val="clear" w:color="auto" w:fill="FFFFFF"/>
          <w:lang w:val="es-ES"/>
        </w:rPr>
        <w:t xml:space="preserve"> días debido a que </w:t>
      </w:r>
      <w:r w:rsidR="00393B46" w:rsidRPr="0020572B">
        <w:rPr>
          <w:rStyle w:val="normaltextrun"/>
          <w:rFonts w:ascii="Museo Sans 300" w:hAnsi="Museo Sans 300"/>
          <w:color w:val="000000"/>
          <w:sz w:val="20"/>
          <w:szCs w:val="20"/>
          <w:shd w:val="clear" w:color="auto" w:fill="FFFFFF"/>
          <w:lang w:val="es-ES"/>
        </w:rPr>
        <w:t xml:space="preserve">el </w:t>
      </w:r>
      <w:r w:rsidR="0062394D" w:rsidRPr="0020572B">
        <w:rPr>
          <w:rStyle w:val="normaltextrun"/>
          <w:rFonts w:ascii="Museo Sans 300" w:hAnsi="Museo Sans 300"/>
          <w:color w:val="000000"/>
          <w:sz w:val="20"/>
          <w:szCs w:val="20"/>
          <w:shd w:val="clear" w:color="auto" w:fill="FFFFFF"/>
          <w:lang w:val="es-ES"/>
        </w:rPr>
        <w:t>dieciocho</w:t>
      </w:r>
      <w:r w:rsidR="00393B46" w:rsidRPr="0020572B">
        <w:rPr>
          <w:rStyle w:val="normaltextrun"/>
          <w:rFonts w:ascii="Museo Sans 300" w:hAnsi="Museo Sans 300"/>
          <w:color w:val="000000"/>
          <w:sz w:val="20"/>
          <w:szCs w:val="20"/>
          <w:shd w:val="clear" w:color="auto" w:fill="FFFFFF"/>
          <w:lang w:val="es-ES"/>
        </w:rPr>
        <w:t xml:space="preserve"> de </w:t>
      </w:r>
      <w:r w:rsidR="0062394D" w:rsidRPr="0020572B">
        <w:rPr>
          <w:rStyle w:val="normaltextrun"/>
          <w:rFonts w:ascii="Museo Sans 300" w:hAnsi="Museo Sans 300"/>
          <w:color w:val="000000"/>
          <w:sz w:val="20"/>
          <w:szCs w:val="20"/>
          <w:shd w:val="clear" w:color="auto" w:fill="FFFFFF"/>
          <w:lang w:val="es-ES"/>
        </w:rPr>
        <w:t>agosto</w:t>
      </w:r>
      <w:r w:rsidR="00393B46" w:rsidRPr="0020572B">
        <w:rPr>
          <w:rStyle w:val="normaltextrun"/>
          <w:rFonts w:ascii="Museo Sans 300" w:hAnsi="Museo Sans 300"/>
          <w:color w:val="000000"/>
          <w:sz w:val="20"/>
          <w:szCs w:val="20"/>
          <w:shd w:val="clear" w:color="auto" w:fill="FFFFFF"/>
          <w:lang w:val="es-ES"/>
        </w:rPr>
        <w:t xml:space="preserve"> del dos </w:t>
      </w:r>
      <w:proofErr w:type="gramStart"/>
      <w:r w:rsidR="00393B46" w:rsidRPr="0020572B">
        <w:rPr>
          <w:rStyle w:val="normaltextrun"/>
          <w:rFonts w:ascii="Museo Sans 300" w:hAnsi="Museo Sans 300"/>
          <w:color w:val="000000"/>
          <w:sz w:val="20"/>
          <w:szCs w:val="20"/>
          <w:shd w:val="clear" w:color="auto" w:fill="FFFFFF"/>
          <w:lang w:val="es-ES"/>
        </w:rPr>
        <w:t>mil veintiuno</w:t>
      </w:r>
      <w:proofErr w:type="gramEnd"/>
      <w:r w:rsidR="00393B46" w:rsidRPr="0020572B">
        <w:rPr>
          <w:rStyle w:val="normaltextrun"/>
          <w:rFonts w:ascii="Museo Sans 300" w:hAnsi="Museo Sans 300"/>
          <w:color w:val="000000"/>
          <w:sz w:val="20"/>
          <w:szCs w:val="20"/>
          <w:shd w:val="clear" w:color="auto" w:fill="FFFFFF"/>
          <w:lang w:val="es-ES"/>
        </w:rPr>
        <w:t xml:space="preserve"> la distribuidora dejo conectado correctamente el servicio</w:t>
      </w:r>
      <w:r w:rsidR="00FF6C2B" w:rsidRPr="0020572B">
        <w:rPr>
          <w:rStyle w:val="normaltextrun"/>
          <w:rFonts w:ascii="Museo Sans 300" w:hAnsi="Museo Sans 300"/>
          <w:color w:val="000000"/>
          <w:sz w:val="20"/>
          <w:szCs w:val="20"/>
          <w:shd w:val="clear" w:color="auto" w:fill="FFFFFF"/>
          <w:lang w:val="es-ES"/>
        </w:rPr>
        <w:t>.</w:t>
      </w:r>
      <w:r w:rsidR="006710A4" w:rsidRPr="0020572B">
        <w:rPr>
          <w:rStyle w:val="normaltextrun"/>
          <w:rFonts w:ascii="Museo Sans 300" w:hAnsi="Museo Sans 300"/>
          <w:color w:val="000000"/>
          <w:sz w:val="20"/>
          <w:szCs w:val="20"/>
          <w:shd w:val="clear" w:color="auto" w:fill="FFFFFF"/>
          <w:lang w:val="es-ES"/>
        </w:rPr>
        <w:t xml:space="preserve"> </w:t>
      </w:r>
    </w:p>
    <w:p w14:paraId="0693B3BA" w14:textId="77777777" w:rsidR="005E0013" w:rsidRDefault="005E0013"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6B0AA41" w14:textId="35466F2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62394D">
        <w:rPr>
          <w:rFonts w:ascii="Museo Sans 300" w:hAnsi="Museo Sans 300"/>
          <w:sz w:val="20"/>
          <w:szCs w:val="20"/>
        </w:rPr>
        <w:t>NOVENTA Y NUEVE</w:t>
      </w:r>
      <w:r w:rsidRPr="00AC7FFE">
        <w:rPr>
          <w:rFonts w:ascii="Museo Sans 300" w:hAnsi="Museo Sans 300"/>
          <w:sz w:val="20"/>
          <w:szCs w:val="20"/>
        </w:rPr>
        <w:t xml:space="preserve"> </w:t>
      </w:r>
      <w:r w:rsidR="0062394D">
        <w:rPr>
          <w:rFonts w:ascii="Museo Sans 300" w:hAnsi="Museo Sans 300"/>
          <w:sz w:val="20"/>
          <w:szCs w:val="20"/>
        </w:rPr>
        <w:t>65</w:t>
      </w:r>
      <w:r w:rsidRPr="00AC7FFE">
        <w:rPr>
          <w:rFonts w:ascii="Museo Sans 300" w:hAnsi="Museo Sans 300"/>
          <w:sz w:val="20"/>
          <w:szCs w:val="20"/>
        </w:rPr>
        <w:t xml:space="preserve">/100 DÓLARES DE LOS ESTADOS UNIDOS DE AMÉRICA (USD </w:t>
      </w:r>
      <w:r w:rsidR="0062394D">
        <w:rPr>
          <w:rFonts w:ascii="Museo Sans 300" w:hAnsi="Museo Sans 300"/>
          <w:sz w:val="20"/>
          <w:szCs w:val="20"/>
        </w:rPr>
        <w:t>99.65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A2419B7" w14:textId="05FB71CD" w:rsidR="00173ED5" w:rsidRDefault="00173ED5" w:rsidP="00AC7FFE">
      <w:pPr>
        <w:autoSpaceDE w:val="0"/>
        <w:spacing w:after="0" w:line="240" w:lineRule="auto"/>
        <w:ind w:left="426"/>
        <w:jc w:val="both"/>
        <w:rPr>
          <w:rFonts w:ascii="Museo Sans 300" w:hAnsi="Museo Sans 300"/>
          <w:sz w:val="20"/>
          <w:szCs w:val="20"/>
        </w:rPr>
      </w:pPr>
    </w:p>
    <w:p w14:paraId="7DA4D8E2" w14:textId="5D902098" w:rsidR="00173ED5" w:rsidRPr="00173ED5" w:rsidRDefault="00173ED5" w:rsidP="00173ED5">
      <w:pPr>
        <w:pStyle w:val="Prrafodelista"/>
        <w:tabs>
          <w:tab w:val="left" w:pos="426"/>
        </w:tabs>
        <w:ind w:left="426"/>
        <w:jc w:val="both"/>
        <w:rPr>
          <w:rFonts w:ascii="Segoe UI" w:hAnsi="Segoe UI" w:cs="Segoe UI"/>
          <w:sz w:val="18"/>
          <w:szCs w:val="18"/>
          <w:lang w:val="es-SV"/>
        </w:rPr>
      </w:pPr>
      <w:r w:rsidRPr="00173ED5">
        <w:rPr>
          <w:rFonts w:ascii="Museo Sans 500" w:hAnsi="Museo Sans 500" w:cs="Segoe UI"/>
          <w:b/>
          <w:bCs/>
          <w:sz w:val="20"/>
          <w:szCs w:val="20"/>
        </w:rPr>
        <w:t xml:space="preserve">2.1.3. </w:t>
      </w:r>
      <w:r>
        <w:rPr>
          <w:rFonts w:ascii="Museo Sans 500" w:hAnsi="Museo Sans 500" w:cs="Segoe UI"/>
          <w:b/>
          <w:bCs/>
          <w:sz w:val="20"/>
          <w:szCs w:val="20"/>
        </w:rPr>
        <w:t>Respecto del cobro de ENR</w:t>
      </w:r>
      <w:r w:rsidRPr="00173ED5">
        <w:rPr>
          <w:rFonts w:ascii="Museo Sans 500" w:hAnsi="Museo Sans 500" w:cs="Segoe UI"/>
          <w:b/>
          <w:bCs/>
          <w:sz w:val="20"/>
          <w:szCs w:val="20"/>
        </w:rPr>
        <w:t> </w:t>
      </w:r>
      <w:r w:rsidRPr="00173ED5">
        <w:rPr>
          <w:rFonts w:ascii="Museo Sans 500" w:hAnsi="Museo Sans 500" w:cs="Segoe UI"/>
          <w:sz w:val="20"/>
          <w:szCs w:val="20"/>
          <w:lang w:val="es-SV"/>
        </w:rPr>
        <w:t> </w:t>
      </w:r>
    </w:p>
    <w:p w14:paraId="38214F30" w14:textId="77777777" w:rsidR="00173ED5" w:rsidRPr="00173ED5" w:rsidRDefault="00173ED5" w:rsidP="00173ED5">
      <w:pPr>
        <w:suppressAutoHyphens w:val="0"/>
        <w:autoSpaceDN/>
        <w:spacing w:after="0" w:line="240" w:lineRule="auto"/>
        <w:jc w:val="both"/>
        <w:rPr>
          <w:rFonts w:ascii="Segoe UI" w:eastAsia="Times New Roman" w:hAnsi="Segoe UI" w:cs="Segoe UI"/>
          <w:sz w:val="18"/>
          <w:szCs w:val="18"/>
        </w:rPr>
      </w:pPr>
      <w:r w:rsidRPr="00173ED5">
        <w:rPr>
          <w:rFonts w:ascii="Museo Sans 500" w:eastAsia="Times New Roman" w:hAnsi="Museo Sans 500" w:cs="Segoe UI"/>
          <w:sz w:val="20"/>
          <w:szCs w:val="20"/>
        </w:rPr>
        <w:t> </w:t>
      </w:r>
    </w:p>
    <w:p w14:paraId="7C14AE77" w14:textId="66BB351B" w:rsidR="00173ED5" w:rsidRPr="00173ED5" w:rsidRDefault="00173ED5" w:rsidP="00173ED5">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173ED5">
        <w:rPr>
          <w:rFonts w:ascii="Museo Sans 300" w:hAnsi="Museo Sans 300" w:cs="Times New Roman"/>
          <w:color w:val="000000"/>
          <w:sz w:val="20"/>
          <w:szCs w:val="20"/>
          <w:shd w:val="clear" w:color="auto" w:fill="FFFFFF"/>
        </w:rPr>
        <w:t xml:space="preserve">En cuanto a la responsabilidad del </w:t>
      </w:r>
      <w:r w:rsidR="00BE2A7C">
        <w:rPr>
          <w:rFonts w:ascii="Museo Sans 300" w:hAnsi="Museo Sans 300" w:cs="Times New Roman"/>
          <w:color w:val="000000"/>
          <w:sz w:val="20"/>
          <w:szCs w:val="20"/>
          <w:shd w:val="clear" w:color="auto" w:fill="FFFFFF"/>
        </w:rPr>
        <w:t>XXX</w:t>
      </w:r>
      <w:r w:rsidRPr="00173ED5">
        <w:rPr>
          <w:rFonts w:ascii="Museo Sans 300" w:hAnsi="Museo Sans 300" w:cs="Times New Roman"/>
          <w:color w:val="000000"/>
          <w:sz w:val="20"/>
          <w:szCs w:val="20"/>
          <w:shd w:val="clear" w:color="auto" w:fill="FFFFFF"/>
        </w:rPr>
        <w:t xml:space="preserve"> como usuario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40760404" w14:textId="77777777" w:rsidR="00173ED5" w:rsidRDefault="00173ED5" w:rsidP="00173ED5">
      <w:pPr>
        <w:spacing w:after="0" w:line="240" w:lineRule="auto"/>
        <w:jc w:val="both"/>
        <w:rPr>
          <w:rFonts w:ascii="Museo 300" w:hAnsi="Museo 300" w:cs="Times New Roman"/>
          <w:color w:val="000000"/>
          <w:sz w:val="16"/>
          <w:szCs w:val="16"/>
          <w:shd w:val="clear" w:color="auto" w:fill="FFFFFF"/>
        </w:rPr>
      </w:pPr>
    </w:p>
    <w:p w14:paraId="0A84DFCE" w14:textId="77777777" w:rsidR="00173ED5" w:rsidRPr="000B5267" w:rsidRDefault="00173ED5" w:rsidP="00173ED5">
      <w:pPr>
        <w:spacing w:after="0" w:line="240" w:lineRule="auto"/>
        <w:ind w:left="569" w:firstLine="282"/>
        <w:jc w:val="both"/>
        <w:rPr>
          <w:rFonts w:ascii="Museo 300" w:hAnsi="Museo 300" w:cs="Times New Roman"/>
          <w:b/>
          <w:color w:val="000000"/>
          <w:sz w:val="16"/>
          <w:szCs w:val="16"/>
          <w:shd w:val="clear" w:color="auto" w:fill="FFFFFF"/>
        </w:rPr>
      </w:pPr>
      <w:r>
        <w:rPr>
          <w:rFonts w:ascii="Museo 300" w:hAnsi="Museo 300" w:cs="Times New Roman"/>
          <w:color w:val="000000"/>
          <w:sz w:val="16"/>
          <w:szCs w:val="16"/>
          <w:shd w:val="clear" w:color="auto" w:fill="FFFFFF"/>
        </w:rPr>
        <w:t>“</w:t>
      </w:r>
      <w:r w:rsidRPr="000B5267">
        <w:rPr>
          <w:rFonts w:ascii="Museo 300" w:hAnsi="Museo 300" w:cs="Times New Roman"/>
          <w:color w:val="000000"/>
          <w:sz w:val="16"/>
          <w:szCs w:val="16"/>
          <w:shd w:val="clear" w:color="auto" w:fill="FFFFFF"/>
        </w:rPr>
        <w:t xml:space="preserve">[…] </w:t>
      </w:r>
      <w:r w:rsidRPr="000B5267">
        <w:rPr>
          <w:rFonts w:ascii="Museo 300" w:hAnsi="Museo 300" w:cs="Times New Roman"/>
          <w:b/>
          <w:color w:val="000000"/>
          <w:sz w:val="16"/>
          <w:szCs w:val="16"/>
          <w:shd w:val="clear" w:color="auto" w:fill="FFFFFF"/>
        </w:rPr>
        <w:t xml:space="preserve">Art.68. Aspectos generales. </w:t>
      </w:r>
    </w:p>
    <w:p w14:paraId="268A86DA" w14:textId="77777777" w:rsidR="00173ED5" w:rsidRDefault="00173ED5" w:rsidP="00173ED5">
      <w:pPr>
        <w:spacing w:after="0" w:line="240" w:lineRule="auto"/>
        <w:ind w:left="426"/>
        <w:jc w:val="both"/>
        <w:rPr>
          <w:rFonts w:ascii="Museo 300" w:hAnsi="Museo 300" w:cs="Times New Roman"/>
          <w:color w:val="000000"/>
          <w:sz w:val="16"/>
          <w:szCs w:val="16"/>
          <w:shd w:val="clear" w:color="auto" w:fill="FFFFFF"/>
        </w:rPr>
      </w:pPr>
    </w:p>
    <w:p w14:paraId="2B6428B2" w14:textId="77777777" w:rsidR="00173ED5" w:rsidRPr="000B5267" w:rsidRDefault="00173ED5" w:rsidP="00173ED5">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0B5267">
        <w:rPr>
          <w:rFonts w:ascii="Museo 300" w:hAnsi="Museo 300" w:cs="Times New Roman"/>
          <w:color w:val="000000"/>
          <w:sz w:val="16"/>
          <w:szCs w:val="16"/>
          <w:shd w:val="clear" w:color="auto" w:fill="FFFFFF"/>
        </w:rPr>
        <w:t>servicio,</w:t>
      </w:r>
      <w:proofErr w:type="gramEnd"/>
      <w:r w:rsidRPr="000B5267">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3C7A03CA" w14:textId="77777777" w:rsidR="00173ED5" w:rsidRDefault="00173ED5" w:rsidP="00173ED5">
      <w:pPr>
        <w:spacing w:after="0" w:line="240" w:lineRule="auto"/>
        <w:ind w:left="851" w:right="425"/>
        <w:jc w:val="both"/>
        <w:rPr>
          <w:rFonts w:ascii="Museo 300" w:hAnsi="Museo 300" w:cs="Times New Roman"/>
          <w:color w:val="000000"/>
          <w:sz w:val="16"/>
          <w:szCs w:val="16"/>
          <w:shd w:val="clear" w:color="auto" w:fill="FFFFFF"/>
        </w:rPr>
      </w:pPr>
    </w:p>
    <w:p w14:paraId="2FF02F08" w14:textId="77777777" w:rsidR="00173ED5" w:rsidRDefault="00173ED5" w:rsidP="00173ED5">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lastRenderedPageBreak/>
        <w:t>68.1. Punto de conexión:</w:t>
      </w:r>
    </w:p>
    <w:p w14:paraId="2C4906CC" w14:textId="77777777" w:rsidR="00173ED5" w:rsidRPr="000B5267" w:rsidRDefault="00173ED5" w:rsidP="00173ED5">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 xml:space="preserve"> </w:t>
      </w:r>
    </w:p>
    <w:p w14:paraId="08967F21" w14:textId="77777777" w:rsidR="00173ED5" w:rsidRDefault="00173ED5" w:rsidP="00173ED5">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A) Para clientes domiciliares o servicios que no requieran equipo auxiliar para conectar el medidor, el límite de responsabilidad Distribuidora o Comercializador - Cliente es la salida del medidor, después de la ca</w:t>
      </w:r>
      <w:r>
        <w:rPr>
          <w:rFonts w:ascii="Museo 300" w:hAnsi="Museo 300" w:cs="Times New Roman"/>
          <w:color w:val="000000"/>
          <w:sz w:val="16"/>
          <w:szCs w:val="16"/>
          <w:shd w:val="clear" w:color="auto" w:fill="FFFFFF"/>
        </w:rPr>
        <w:t xml:space="preserve">ja precintada. […] </w:t>
      </w:r>
    </w:p>
    <w:p w14:paraId="1097BF40" w14:textId="77777777" w:rsidR="00173ED5" w:rsidRPr="000B5267" w:rsidRDefault="00173ED5" w:rsidP="00173ED5">
      <w:pPr>
        <w:spacing w:after="0" w:line="240" w:lineRule="auto"/>
        <w:ind w:left="851" w:right="425"/>
        <w:jc w:val="both"/>
        <w:rPr>
          <w:rFonts w:ascii="Museo 300" w:hAnsi="Museo 300" w:cs="Times New Roman"/>
          <w:color w:val="000000"/>
          <w:sz w:val="16"/>
          <w:szCs w:val="16"/>
          <w:shd w:val="clear" w:color="auto" w:fill="FFFFFF"/>
        </w:rPr>
      </w:pPr>
    </w:p>
    <w:p w14:paraId="2890BED0" w14:textId="77777777" w:rsidR="00173ED5" w:rsidRPr="000B5267" w:rsidRDefault="00173ED5" w:rsidP="00173ED5">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w:t>
      </w:r>
      <w:r>
        <w:rPr>
          <w:rFonts w:ascii="Museo 300" w:hAnsi="Museo 300" w:cs="Times New Roman"/>
          <w:color w:val="000000"/>
          <w:sz w:val="16"/>
          <w:szCs w:val="16"/>
          <w:shd w:val="clear" w:color="auto" w:fill="FFFFFF"/>
        </w:rPr>
        <w:t xml:space="preserve"> […]”</w:t>
      </w:r>
    </w:p>
    <w:p w14:paraId="53F4ECC1" w14:textId="77777777" w:rsidR="00173ED5" w:rsidRDefault="00173ED5" w:rsidP="00173ED5">
      <w:pPr>
        <w:spacing w:after="0" w:line="240" w:lineRule="auto"/>
        <w:ind w:left="426"/>
        <w:jc w:val="both"/>
        <w:rPr>
          <w:rFonts w:ascii="Museo Sans 300" w:hAnsi="Museo Sans 300" w:cs="Times New Roman"/>
          <w:color w:val="000000"/>
          <w:shd w:val="clear" w:color="auto" w:fill="FFFFFF"/>
        </w:rPr>
      </w:pPr>
    </w:p>
    <w:p w14:paraId="028FD69D" w14:textId="6CAC58F3" w:rsidR="00445FAB" w:rsidRPr="00DF14B1" w:rsidRDefault="00173ED5" w:rsidP="00445FAB">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173ED5">
        <w:rPr>
          <w:rFonts w:ascii="Museo Sans 300" w:hAnsi="Museo Sans 300" w:cs="Times New Roman"/>
          <w:color w:val="000000"/>
          <w:sz w:val="20"/>
          <w:szCs w:val="20"/>
          <w:shd w:val="clear" w:color="auto" w:fill="FFFFFF"/>
        </w:rPr>
        <w:t xml:space="preserve">En ese orden de ideas, corresponde exponer </w:t>
      </w:r>
      <w:r w:rsidR="00C60157">
        <w:rPr>
          <w:rFonts w:ascii="Museo Sans 300" w:hAnsi="Museo Sans 300" w:cs="Times New Roman"/>
          <w:color w:val="000000"/>
          <w:sz w:val="20"/>
          <w:szCs w:val="20"/>
          <w:shd w:val="clear" w:color="auto" w:fill="FFFFFF"/>
        </w:rPr>
        <w:t xml:space="preserve">que </w:t>
      </w:r>
      <w:r w:rsidR="00445FAB" w:rsidRPr="009D142E">
        <w:rPr>
          <w:rFonts w:ascii="Museo Sans 300" w:hAnsi="Museo Sans 300"/>
          <w:color w:val="000000"/>
          <w:sz w:val="20"/>
          <w:szCs w:val="20"/>
          <w:shd w:val="clear" w:color="auto" w:fill="FFFFFF"/>
        </w:rPr>
        <w:t>al</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haberse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comprobado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técnicamente</w:t>
      </w:r>
      <w:r w:rsidR="00445FAB">
        <w:rPr>
          <w:rFonts w:ascii="Museo Sans 300" w:hAnsi="Museo Sans 300"/>
          <w:color w:val="000000"/>
          <w:sz w:val="20"/>
          <w:szCs w:val="20"/>
          <w:shd w:val="clear" w:color="auto" w:fill="FFFFFF"/>
        </w:rPr>
        <w:t xml:space="preserve"> </w:t>
      </w:r>
      <w:r w:rsidR="00C60157">
        <w:rPr>
          <w:rFonts w:ascii="Museo Sans 300" w:hAnsi="Museo Sans 300"/>
          <w:color w:val="000000"/>
          <w:sz w:val="20"/>
          <w:szCs w:val="20"/>
          <w:shd w:val="clear" w:color="auto" w:fill="FFFFFF"/>
        </w:rPr>
        <w:t>la</w:t>
      </w:r>
      <w:r w:rsidR="00445FAB">
        <w:rPr>
          <w:rFonts w:ascii="Museo Sans 300" w:hAnsi="Museo Sans 300"/>
          <w:color w:val="000000"/>
          <w:sz w:val="20"/>
          <w:szCs w:val="20"/>
          <w:shd w:val="clear" w:color="auto" w:fill="FFFFFF"/>
        </w:rPr>
        <w:t xml:space="preserve"> existencia</w:t>
      </w:r>
      <w:r w:rsidR="00C60157" w:rsidRPr="00C60157">
        <w:rPr>
          <w:rFonts w:ascii="Museo Sans 300" w:hAnsi="Museo Sans 300" w:cs="Times New Roman"/>
          <w:color w:val="000000"/>
          <w:sz w:val="20"/>
          <w:szCs w:val="20"/>
          <w:shd w:val="clear" w:color="auto" w:fill="FFFFFF"/>
        </w:rPr>
        <w:t xml:space="preserve"> </w:t>
      </w:r>
      <w:r w:rsidR="00C60157">
        <w:rPr>
          <w:rFonts w:ascii="Museo Sans 300" w:hAnsi="Museo Sans 300" w:cs="Times New Roman"/>
          <w:color w:val="000000"/>
          <w:sz w:val="20"/>
          <w:szCs w:val="20"/>
          <w:shd w:val="clear" w:color="auto" w:fill="FFFFFF"/>
        </w:rPr>
        <w:t xml:space="preserve">de una </w:t>
      </w:r>
      <w:r w:rsidR="00C60157" w:rsidRPr="00173ED5">
        <w:rPr>
          <w:rFonts w:ascii="Museo Sans 300" w:hAnsi="Museo Sans 300" w:cs="Segoe UI"/>
          <w:sz w:val="20"/>
          <w:szCs w:val="20"/>
          <w:lang w:eastAsia="es-MX"/>
        </w:rPr>
        <w:t>con</w:t>
      </w:r>
      <w:r w:rsidR="00C60157">
        <w:rPr>
          <w:rFonts w:ascii="Museo Sans 300" w:hAnsi="Museo Sans 300" w:cs="Segoe UI"/>
          <w:sz w:val="20"/>
          <w:szCs w:val="20"/>
          <w:lang w:eastAsia="es-MX"/>
        </w:rPr>
        <w:t>dición irregular</w:t>
      </w:r>
      <w:r w:rsidR="00445FAB" w:rsidRPr="009D142E">
        <w:rPr>
          <w:rFonts w:ascii="Museo Sans 300" w:hAnsi="Museo Sans 300"/>
          <w:color w:val="000000"/>
          <w:sz w:val="20"/>
          <w:szCs w:val="20"/>
          <w:shd w:val="clear" w:color="auto" w:fill="FFFFFF"/>
        </w:rPr>
        <w:t>,</w:t>
      </w:r>
      <w:r w:rsidR="00445FAB">
        <w:rPr>
          <w:rFonts w:ascii="Museo Sans 300" w:hAnsi="Museo Sans 300"/>
          <w:color w:val="000000"/>
          <w:sz w:val="20"/>
          <w:szCs w:val="20"/>
          <w:shd w:val="clear" w:color="auto" w:fill="FFFFFF"/>
        </w:rPr>
        <w:t xml:space="preserve"> el </w:t>
      </w:r>
      <w:r w:rsidR="00445FAB" w:rsidRPr="009D142E">
        <w:rPr>
          <w:rFonts w:ascii="Museo Sans 300" w:hAnsi="Museo Sans 300"/>
          <w:color w:val="000000"/>
          <w:sz w:val="20"/>
          <w:szCs w:val="20"/>
          <w:shd w:val="clear" w:color="auto" w:fill="FFFFFF"/>
        </w:rPr>
        <w:t>usuari</w:t>
      </w:r>
      <w:r w:rsidR="00445FAB">
        <w:rPr>
          <w:rFonts w:ascii="Museo Sans 300" w:hAnsi="Museo Sans 300"/>
          <w:color w:val="000000"/>
          <w:sz w:val="20"/>
          <w:szCs w:val="20"/>
          <w:shd w:val="clear" w:color="auto" w:fill="FFFFFF"/>
        </w:rPr>
        <w:t xml:space="preserve">o </w:t>
      </w:r>
      <w:r w:rsidR="00445FAB" w:rsidRPr="009D142E">
        <w:rPr>
          <w:rFonts w:ascii="Museo Sans 300" w:hAnsi="Museo Sans 300"/>
          <w:color w:val="000000"/>
          <w:sz w:val="20"/>
          <w:szCs w:val="20"/>
          <w:shd w:val="clear" w:color="auto" w:fill="FFFFFF"/>
        </w:rPr>
        <w:t>final</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del</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suministro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eléctrico</w:t>
      </w:r>
      <w:r w:rsidR="00445FAB">
        <w:rPr>
          <w:rFonts w:ascii="Museo Sans 300" w:hAnsi="Museo Sans 300"/>
          <w:color w:val="000000"/>
          <w:sz w:val="20"/>
          <w:szCs w:val="20"/>
          <w:shd w:val="clear" w:color="auto" w:fill="FFFFFF"/>
        </w:rPr>
        <w:t xml:space="preserve"> debe responder por dicha condición</w:t>
      </w:r>
      <w:r w:rsidR="00445FAB" w:rsidRPr="009D142E">
        <w:rPr>
          <w:rFonts w:ascii="Museo Sans 300" w:hAnsi="Museo Sans 300"/>
          <w:color w:val="000000"/>
          <w:sz w:val="20"/>
          <w:szCs w:val="20"/>
          <w:shd w:val="clear" w:color="auto" w:fill="FFFFFF"/>
        </w:rPr>
        <w:t>;</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primero,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porque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contractualmente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así</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está</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establecido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en</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el</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artículo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7</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de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los</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Términos</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y</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Condiciones</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del</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Pliego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Tari</w:t>
      </w:r>
      <w:r w:rsidR="00445FAB">
        <w:rPr>
          <w:rFonts w:ascii="Museo Sans 300" w:hAnsi="Museo Sans 300"/>
          <w:color w:val="000000"/>
          <w:sz w:val="20"/>
          <w:szCs w:val="20"/>
          <w:shd w:val="clear" w:color="auto" w:fill="FFFFFF"/>
        </w:rPr>
        <w:t xml:space="preserve">fario aplicable para el año 2021 </w:t>
      </w:r>
      <w:r w:rsidR="00445FAB" w:rsidRPr="009D142E">
        <w:rPr>
          <w:rFonts w:ascii="Museo Sans 300" w:hAnsi="Museo Sans 300"/>
          <w:color w:val="000000"/>
          <w:sz w:val="20"/>
          <w:szCs w:val="20"/>
          <w:shd w:val="clear" w:color="auto" w:fill="FFFFFF"/>
        </w:rPr>
        <w:t>y,</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segundo,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porque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es</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quien</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obtuvo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un</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beneficio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derivado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de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la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energía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consumida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y</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no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registrada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por</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el</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equipo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de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medición,</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la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cual</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no</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fue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cobrada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oportunamente</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por</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la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empresa</w:t>
      </w:r>
      <w:r w:rsidR="00445FAB">
        <w:rPr>
          <w:rFonts w:ascii="Museo Sans 300" w:hAnsi="Museo Sans 300"/>
          <w:color w:val="000000"/>
          <w:sz w:val="20"/>
          <w:szCs w:val="20"/>
          <w:shd w:val="clear" w:color="auto" w:fill="FFFFFF"/>
        </w:rPr>
        <w:t xml:space="preserve"> </w:t>
      </w:r>
      <w:r w:rsidR="00445FAB" w:rsidRPr="009D142E">
        <w:rPr>
          <w:rFonts w:ascii="Museo Sans 300" w:hAnsi="Museo Sans 300"/>
          <w:color w:val="000000"/>
          <w:sz w:val="20"/>
          <w:szCs w:val="20"/>
          <w:shd w:val="clear" w:color="auto" w:fill="FFFFFF"/>
        </w:rPr>
        <w:t>distribuidora.</w:t>
      </w:r>
      <w:r w:rsidR="00445FAB">
        <w:rPr>
          <w:rStyle w:val="eop"/>
          <w:rFonts w:ascii="Museo Sans 300" w:hAnsi="Museo Sans 300"/>
          <w:sz w:val="20"/>
          <w:szCs w:val="20"/>
          <w:shd w:val="clear" w:color="auto" w:fill="FFFFFF"/>
        </w:rPr>
        <w:t> </w:t>
      </w:r>
    </w:p>
    <w:p w14:paraId="1DC6385C" w14:textId="63290672" w:rsidR="00445FAB" w:rsidRDefault="00445FAB" w:rsidP="00173ED5">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5FD7C9AE" w14:textId="77777777" w:rsidR="00173ED5" w:rsidRPr="00445FAB" w:rsidRDefault="00173ED5" w:rsidP="00445FAB">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45FAB">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7460F8DE" w14:textId="77777777" w:rsidR="00173ED5" w:rsidRDefault="00173ED5" w:rsidP="00173ED5">
      <w:pPr>
        <w:spacing w:after="0" w:line="240" w:lineRule="auto"/>
        <w:ind w:left="-142"/>
        <w:jc w:val="both"/>
        <w:rPr>
          <w:rFonts w:ascii="Museo Sans 300" w:hAnsi="Museo Sans 300" w:cs="Times New Roman"/>
          <w:color w:val="000000"/>
          <w:shd w:val="clear" w:color="auto" w:fill="FFFFFF"/>
        </w:rPr>
      </w:pPr>
    </w:p>
    <w:p w14:paraId="47384E17" w14:textId="77777777" w:rsidR="00173ED5" w:rsidRPr="00445FAB" w:rsidRDefault="00173ED5" w:rsidP="00445FAB">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45FAB">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17F7B01F" w14:textId="77777777" w:rsidR="00445FAB" w:rsidRDefault="00445FAB" w:rsidP="00173ED5">
      <w:pPr>
        <w:suppressAutoHyphens w:val="0"/>
        <w:autoSpaceDN/>
        <w:spacing w:after="0" w:line="240" w:lineRule="auto"/>
        <w:ind w:left="420"/>
        <w:jc w:val="both"/>
        <w:rPr>
          <w:rFonts w:ascii="Museo Sans 300" w:eastAsia="Times New Roman"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443267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1D96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86CC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0AC01D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358A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80164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7421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59DC777" w14:textId="287B33AB" w:rsidR="00005F4A" w:rsidRDefault="0089025D" w:rsidP="00005F4A">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 xml:space="preserve">el informe </w:t>
      </w:r>
      <w:r w:rsidR="007F655A">
        <w:rPr>
          <w:rFonts w:ascii="Museo Sans 300" w:hAnsi="Museo Sans 300" w:cs="Segoe UI"/>
          <w:sz w:val="20"/>
          <w:szCs w:val="20"/>
          <w:lang w:eastAsia="es-MX"/>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358AA">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w:t>
      </w:r>
      <w:r w:rsidR="00005F4A">
        <w:rPr>
          <w:rStyle w:val="normaltextrun"/>
          <w:rFonts w:ascii="Museo Sans 300" w:hAnsi="Museo Sans 300"/>
          <w:color w:val="000000"/>
          <w:sz w:val="20"/>
          <w:szCs w:val="20"/>
          <w:shd w:val="clear" w:color="auto" w:fill="FFFFFF"/>
        </w:rPr>
        <w:t xml:space="preserve"> en la inversión en la entrada y salida de la fase B del equipo medición que impidió el correcto registro del consumo de energía eléctrica en el inmueble.</w:t>
      </w:r>
      <w:r w:rsidR="00005F4A">
        <w:rPr>
          <w:rStyle w:val="eop"/>
          <w:rFonts w:ascii="Museo Sans 300" w:hAnsi="Museo Sans 300"/>
          <w:sz w:val="20"/>
          <w:szCs w:val="20"/>
          <w:shd w:val="clear" w:color="auto" w:fill="FFFFFF"/>
        </w:rPr>
        <w:t> </w:t>
      </w:r>
    </w:p>
    <w:p w14:paraId="6E7D32EB" w14:textId="77777777" w:rsidR="00005F4A" w:rsidRDefault="00005F4A"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4B94490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2394D">
        <w:rPr>
          <w:rFonts w:ascii="Museo Sans 300" w:eastAsia="Times New Roman" w:hAnsi="Museo Sans 300" w:cs="Times New Roman"/>
          <w:sz w:val="20"/>
          <w:szCs w:val="20"/>
          <w:lang w:eastAsia="es-ES"/>
        </w:rPr>
        <w:t>NOVENTA Y NUEVE</w:t>
      </w:r>
      <w:r w:rsidR="006662C8">
        <w:rPr>
          <w:rFonts w:ascii="Museo Sans 300" w:hAnsi="Museo Sans 300"/>
          <w:sz w:val="20"/>
          <w:szCs w:val="20"/>
        </w:rPr>
        <w:t xml:space="preserve"> </w:t>
      </w:r>
      <w:r w:rsidR="0062394D">
        <w:rPr>
          <w:rFonts w:ascii="Museo Sans 300" w:hAnsi="Museo Sans 300"/>
          <w:sz w:val="20"/>
          <w:szCs w:val="20"/>
        </w:rPr>
        <w:t>65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62394D">
        <w:rPr>
          <w:rFonts w:ascii="Museo Sans 300" w:hAnsi="Museo Sans 300"/>
          <w:sz w:val="20"/>
          <w:szCs w:val="20"/>
        </w:rPr>
        <w:t>99.65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E70B5DF" w14:textId="04FDFDC3" w:rsidR="0020572B" w:rsidRDefault="0020572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FCDBD6" w14:textId="658A6AD8" w:rsidR="0020572B" w:rsidRDefault="0020572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A31D2F6" w14:textId="77777777" w:rsidR="0020572B" w:rsidRDefault="0020572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6F720D0" w14:textId="77777777" w:rsidR="004928B7" w:rsidRPr="008E1404" w:rsidRDefault="004928B7" w:rsidP="004928B7">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sidRPr="008E1404">
        <w:rPr>
          <w:rFonts w:ascii="Museo Sans 500" w:eastAsia="Segoe UI" w:hAnsi="Museo Sans 500" w:cs="Segoe UI"/>
          <w:b/>
          <w:bCs/>
          <w:color w:val="000000" w:themeColor="text1"/>
          <w:sz w:val="20"/>
          <w:szCs w:val="20"/>
          <w:lang w:val="es-ES"/>
        </w:rPr>
        <w:t>HABILITACIÓN DE HORARIO LABORAL</w:t>
      </w:r>
    </w:p>
    <w:p w14:paraId="11B2AC13" w14:textId="77777777" w:rsidR="004928B7" w:rsidRDefault="004928B7" w:rsidP="004928B7">
      <w:pPr>
        <w:tabs>
          <w:tab w:val="left" w:pos="567"/>
        </w:tabs>
        <w:spacing w:after="0" w:line="240" w:lineRule="auto"/>
        <w:ind w:left="567"/>
        <w:jc w:val="both"/>
        <w:rPr>
          <w:rStyle w:val="normaltextrun"/>
          <w:rFonts w:ascii="Museo Sans 300" w:hAnsi="Museo Sans 300"/>
          <w:sz w:val="20"/>
          <w:szCs w:val="20"/>
        </w:rPr>
      </w:pPr>
    </w:p>
    <w:p w14:paraId="0E800695" w14:textId="77777777" w:rsidR="004928B7" w:rsidRPr="00C861E4" w:rsidRDefault="004928B7" w:rsidP="004928B7">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60894603" w14:textId="77777777" w:rsidR="004928B7" w:rsidRPr="00C861E4" w:rsidRDefault="004928B7" w:rsidP="004928B7">
      <w:pPr>
        <w:pStyle w:val="paragraph"/>
        <w:spacing w:before="0" w:after="0"/>
        <w:ind w:left="426"/>
        <w:jc w:val="both"/>
        <w:rPr>
          <w:rStyle w:val="normaltextrun"/>
          <w:rFonts w:ascii="Museo Sans 300" w:eastAsia="Museo Sans" w:hAnsi="Museo Sans 300" w:cs="Segoe UI"/>
          <w:sz w:val="20"/>
          <w:szCs w:val="20"/>
        </w:rPr>
      </w:pPr>
    </w:p>
    <w:p w14:paraId="0D4FD0A9" w14:textId="77777777" w:rsidR="004928B7" w:rsidRPr="00C861E4" w:rsidRDefault="004928B7" w:rsidP="004928B7">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diecinueve de agosto de dos mil veintidós, esta Superintendencia emitió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38-2022/GTH-ADM, a través del cual se resolvió extender el horario de atención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 fin de compensar y no tomar como hábil el día dieciséis de septiembre de dos mil veintidós.</w:t>
      </w:r>
    </w:p>
    <w:p w14:paraId="4A04A8A1" w14:textId="77777777" w:rsidR="004928B7" w:rsidRPr="00C861E4" w:rsidRDefault="004928B7" w:rsidP="004928B7">
      <w:pPr>
        <w:pStyle w:val="paragraph"/>
        <w:spacing w:before="0" w:after="0"/>
        <w:ind w:left="426"/>
        <w:jc w:val="both"/>
        <w:rPr>
          <w:rStyle w:val="normaltextrun"/>
          <w:rFonts w:ascii="Museo Sans 300" w:eastAsia="Museo Sans" w:hAnsi="Museo Sans 300" w:cs="Segoe UI"/>
          <w:sz w:val="20"/>
          <w:szCs w:val="20"/>
        </w:rPr>
      </w:pPr>
    </w:p>
    <w:p w14:paraId="2FC5FC09" w14:textId="77777777" w:rsidR="004928B7" w:rsidRPr="00C861E4" w:rsidRDefault="004928B7" w:rsidP="004928B7">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En consecuencia, la SIGET estará habilitada para emitir acuerdos y resoluciones, así como realizar cualquier otro acto administrativo, en el horario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627B7BD2" w14:textId="7777777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4F1982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007F655A">
        <w:rPr>
          <w:rFonts w:ascii="Museo Sans 300" w:eastAsia="Arial" w:hAnsi="Museo Sans 300" w:cs="Times New Roman"/>
          <w:sz w:val="20"/>
          <w:szCs w:val="20"/>
          <w:lang w:eastAsia="es-ES"/>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01A93B" w14:textId="3D2EBF23" w:rsidR="00F90052" w:rsidRPr="00F90052" w:rsidRDefault="00B306DC" w:rsidP="00F90052">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358AA">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F90052" w:rsidRPr="00F90052">
        <w:rPr>
          <w:rStyle w:val="normaltextrun"/>
          <w:rFonts w:ascii="Museo Sans 300" w:hAnsi="Museo Sans 300"/>
          <w:color w:val="000000"/>
          <w:sz w:val="20"/>
          <w:szCs w:val="20"/>
          <w:shd w:val="clear" w:color="auto" w:fill="FFFFFF"/>
        </w:rPr>
        <w:t xml:space="preserve"> una alteración en la acometida de servicio eléctrico</w:t>
      </w:r>
      <w:r w:rsidR="00F90052" w:rsidRPr="00F90052">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F90052" w:rsidRPr="00F90052">
        <w:rPr>
          <w:rStyle w:val="normaltextrun"/>
          <w:rFonts w:ascii="Museo Sans 300" w:hAnsi="Museo Sans 300"/>
          <w:color w:val="000000"/>
          <w:sz w:val="20"/>
          <w:szCs w:val="20"/>
          <w:shd w:val="clear" w:color="auto" w:fill="FFFFFF"/>
        </w:rPr>
        <w:t> </w:t>
      </w:r>
      <w:r w:rsidR="00F90052" w:rsidRPr="00F90052">
        <w:rPr>
          <w:rStyle w:val="eop"/>
          <w:rFonts w:ascii="Museo Sans 300" w:hAnsi="Museo Sans 300"/>
          <w:sz w:val="20"/>
          <w:szCs w:val="20"/>
          <w:shd w:val="clear" w:color="auto" w:fill="FFFFFF"/>
        </w:rPr>
        <w:t> </w:t>
      </w:r>
    </w:p>
    <w:p w14:paraId="00C622DD" w14:textId="77777777" w:rsidR="00F90052" w:rsidRDefault="00F90052" w:rsidP="00F90052">
      <w:pPr>
        <w:pStyle w:val="Prrafodelista"/>
        <w:rPr>
          <w:rFonts w:ascii="Museo Sans 300" w:eastAsia="Arial" w:hAnsi="Museo Sans 300"/>
          <w:sz w:val="20"/>
          <w:szCs w:val="20"/>
          <w:lang w:eastAsia="es-SV"/>
        </w:rPr>
      </w:pPr>
    </w:p>
    <w:p w14:paraId="75A5A84A" w14:textId="324ADCA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2394D">
        <w:rPr>
          <w:rFonts w:ascii="Museo Sans 300" w:eastAsia="Arial" w:hAnsi="Museo Sans 300"/>
          <w:sz w:val="20"/>
          <w:szCs w:val="20"/>
          <w:lang w:eastAsia="es-SV"/>
        </w:rPr>
        <w:t>NOVENTA Y NUEVE</w:t>
      </w:r>
      <w:r w:rsidR="006662C8">
        <w:rPr>
          <w:rFonts w:ascii="Museo Sans 300" w:hAnsi="Museo Sans 300"/>
          <w:sz w:val="20"/>
          <w:szCs w:val="20"/>
        </w:rPr>
        <w:t xml:space="preserve"> </w:t>
      </w:r>
      <w:r w:rsidR="0062394D">
        <w:rPr>
          <w:rFonts w:ascii="Museo Sans 300" w:hAnsi="Museo Sans 300"/>
          <w:sz w:val="20"/>
          <w:szCs w:val="20"/>
        </w:rPr>
        <w:t>65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2394D">
        <w:rPr>
          <w:rFonts w:ascii="Museo Sans 300" w:hAnsi="Museo Sans 300"/>
          <w:sz w:val="20"/>
          <w:szCs w:val="20"/>
        </w:rPr>
        <w:t>99.65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045D00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sidR="007F655A">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3942E3C" w14:textId="77777777" w:rsidR="006B0D8A" w:rsidRPr="000D23F3" w:rsidRDefault="006B0D8A" w:rsidP="006B0D8A">
      <w:pPr>
        <w:pStyle w:val="paragraph"/>
        <w:numPr>
          <w:ilvl w:val="0"/>
          <w:numId w:val="6"/>
        </w:numPr>
        <w:suppressAutoHyphens w:val="0"/>
        <w:autoSpaceDN/>
        <w:spacing w:before="0" w:after="0"/>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lastRenderedPageBreak/>
        <w:t xml:space="preserve">Hacer saber a las partes que la SIGET estará habilitada para emitir acuerdos y resoluciones, así como realizar cualquier otro acto administrativo, en el horario de las 7:30 a </w:t>
      </w:r>
      <w:r>
        <w:rPr>
          <w:rStyle w:val="normaltextrun"/>
          <w:rFonts w:ascii="Museo Sans 300" w:eastAsia="Calibri" w:hAnsi="Museo Sans 300" w:cs="Segoe UI"/>
          <w:sz w:val="20"/>
          <w:szCs w:val="20"/>
        </w:rPr>
        <w:t xml:space="preserve">las </w:t>
      </w:r>
      <w:r w:rsidRPr="000D23F3">
        <w:rPr>
          <w:rStyle w:val="normaltextrun"/>
          <w:rFonts w:ascii="Museo Sans 300" w:eastAsia="Calibri"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0295DCBD" w14:textId="77777777" w:rsidR="006B0D8A" w:rsidRDefault="006B0D8A" w:rsidP="006B0D8A">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31F5B1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6C2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E358A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F655A">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402F" w14:textId="77777777" w:rsidR="008859BF" w:rsidRDefault="008859BF">
      <w:pPr>
        <w:spacing w:after="0" w:line="240" w:lineRule="auto"/>
      </w:pPr>
      <w:r>
        <w:separator/>
      </w:r>
    </w:p>
  </w:endnote>
  <w:endnote w:type="continuationSeparator" w:id="0">
    <w:p w14:paraId="55EF5711" w14:textId="77777777" w:rsidR="008859BF" w:rsidRDefault="008859BF">
      <w:pPr>
        <w:spacing w:after="0" w:line="240" w:lineRule="auto"/>
      </w:pPr>
      <w:r>
        <w:continuationSeparator/>
      </w:r>
    </w:p>
  </w:endnote>
  <w:endnote w:type="continuationNotice" w:id="1">
    <w:p w14:paraId="4FB8D390" w14:textId="77777777" w:rsidR="008859BF" w:rsidRDefault="00885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E1B5" w14:textId="77777777" w:rsidR="008859BF" w:rsidRDefault="008859BF">
      <w:pPr>
        <w:spacing w:after="0" w:line="240" w:lineRule="auto"/>
      </w:pPr>
      <w:r>
        <w:rPr>
          <w:color w:val="000000"/>
        </w:rPr>
        <w:separator/>
      </w:r>
    </w:p>
  </w:footnote>
  <w:footnote w:type="continuationSeparator" w:id="0">
    <w:p w14:paraId="6BDBB1A9" w14:textId="77777777" w:rsidR="008859BF" w:rsidRDefault="008859BF">
      <w:pPr>
        <w:spacing w:after="0" w:line="240" w:lineRule="auto"/>
      </w:pPr>
      <w:r>
        <w:continuationSeparator/>
      </w:r>
    </w:p>
  </w:footnote>
  <w:footnote w:type="continuationNotice" w:id="1">
    <w:p w14:paraId="141A928B" w14:textId="77777777" w:rsidR="008859BF" w:rsidRDefault="00885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11"/>
  </w:num>
  <w:num w:numId="2" w16cid:durableId="459879968">
    <w:abstractNumId w:val="4"/>
  </w:num>
  <w:num w:numId="3" w16cid:durableId="23750049">
    <w:abstractNumId w:val="7"/>
  </w:num>
  <w:num w:numId="4" w16cid:durableId="2012873170">
    <w:abstractNumId w:val="3"/>
  </w:num>
  <w:num w:numId="5" w16cid:durableId="1833788101">
    <w:abstractNumId w:val="0"/>
  </w:num>
  <w:num w:numId="6"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5"/>
  </w:num>
  <w:num w:numId="8" w16cid:durableId="1983803704">
    <w:abstractNumId w:val="12"/>
  </w:num>
  <w:num w:numId="9" w16cid:durableId="663125927">
    <w:abstractNumId w:val="10"/>
  </w:num>
  <w:num w:numId="10" w16cid:durableId="2029942764">
    <w:abstractNumId w:val="6"/>
  </w:num>
  <w:num w:numId="11" w16cid:durableId="878593074">
    <w:abstractNumId w:val="1"/>
  </w:num>
  <w:num w:numId="12" w16cid:durableId="1953321573">
    <w:abstractNumId w:val="8"/>
  </w:num>
  <w:num w:numId="13" w16cid:durableId="12716265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05F4"/>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A0"/>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D96"/>
    <w:rsid w:val="00227C15"/>
    <w:rsid w:val="00230528"/>
    <w:rsid w:val="00231864"/>
    <w:rsid w:val="002366C2"/>
    <w:rsid w:val="0023793B"/>
    <w:rsid w:val="00237CC2"/>
    <w:rsid w:val="0024433B"/>
    <w:rsid w:val="002476E8"/>
    <w:rsid w:val="002479AF"/>
    <w:rsid w:val="00250329"/>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B59"/>
    <w:rsid w:val="003E7384"/>
    <w:rsid w:val="003E7464"/>
    <w:rsid w:val="003F12F0"/>
    <w:rsid w:val="003F27A8"/>
    <w:rsid w:val="003F2B41"/>
    <w:rsid w:val="003F2BD6"/>
    <w:rsid w:val="003F3124"/>
    <w:rsid w:val="003F42F9"/>
    <w:rsid w:val="003F4E1E"/>
    <w:rsid w:val="003F7195"/>
    <w:rsid w:val="00400E8C"/>
    <w:rsid w:val="00404DAA"/>
    <w:rsid w:val="00410FD5"/>
    <w:rsid w:val="00411C80"/>
    <w:rsid w:val="00415F9A"/>
    <w:rsid w:val="0041617B"/>
    <w:rsid w:val="00416384"/>
    <w:rsid w:val="0041772E"/>
    <w:rsid w:val="004203BB"/>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6C7B"/>
    <w:rsid w:val="004C32B6"/>
    <w:rsid w:val="004C38B7"/>
    <w:rsid w:val="004C608E"/>
    <w:rsid w:val="004C6BA6"/>
    <w:rsid w:val="004C7A9A"/>
    <w:rsid w:val="004D17F8"/>
    <w:rsid w:val="004D3B31"/>
    <w:rsid w:val="004D5257"/>
    <w:rsid w:val="004D5373"/>
    <w:rsid w:val="004E00E9"/>
    <w:rsid w:val="004E3AF4"/>
    <w:rsid w:val="004E4C99"/>
    <w:rsid w:val="004E572D"/>
    <w:rsid w:val="004E6680"/>
    <w:rsid w:val="004E71BC"/>
    <w:rsid w:val="004F0B5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8722E"/>
    <w:rsid w:val="0059014D"/>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602489"/>
    <w:rsid w:val="00604815"/>
    <w:rsid w:val="0060737E"/>
    <w:rsid w:val="006122C6"/>
    <w:rsid w:val="00613FD5"/>
    <w:rsid w:val="0062128B"/>
    <w:rsid w:val="00621543"/>
    <w:rsid w:val="00622CB1"/>
    <w:rsid w:val="0062394D"/>
    <w:rsid w:val="006243BA"/>
    <w:rsid w:val="006255AC"/>
    <w:rsid w:val="00625B7D"/>
    <w:rsid w:val="00631508"/>
    <w:rsid w:val="0063253D"/>
    <w:rsid w:val="00632E3E"/>
    <w:rsid w:val="00644567"/>
    <w:rsid w:val="00647B5C"/>
    <w:rsid w:val="00650086"/>
    <w:rsid w:val="00650101"/>
    <w:rsid w:val="0065027F"/>
    <w:rsid w:val="00650CC2"/>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10A4"/>
    <w:rsid w:val="0067339B"/>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6EE5"/>
    <w:rsid w:val="006C0716"/>
    <w:rsid w:val="006C2EA3"/>
    <w:rsid w:val="006C5B81"/>
    <w:rsid w:val="006C6F4C"/>
    <w:rsid w:val="006D213C"/>
    <w:rsid w:val="006D2357"/>
    <w:rsid w:val="006D3619"/>
    <w:rsid w:val="006D4231"/>
    <w:rsid w:val="006D6D2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609E"/>
    <w:rsid w:val="00717ECF"/>
    <w:rsid w:val="00720018"/>
    <w:rsid w:val="00720652"/>
    <w:rsid w:val="0072167B"/>
    <w:rsid w:val="00722711"/>
    <w:rsid w:val="00722EC9"/>
    <w:rsid w:val="007239DA"/>
    <w:rsid w:val="00723C37"/>
    <w:rsid w:val="007240CF"/>
    <w:rsid w:val="007273B4"/>
    <w:rsid w:val="00727E30"/>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655A"/>
    <w:rsid w:val="007F7306"/>
    <w:rsid w:val="007F7A03"/>
    <w:rsid w:val="00801702"/>
    <w:rsid w:val="0080197C"/>
    <w:rsid w:val="00801F1F"/>
    <w:rsid w:val="00804DFE"/>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753A"/>
    <w:rsid w:val="00857E9E"/>
    <w:rsid w:val="00857E9F"/>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59BF"/>
    <w:rsid w:val="008862D5"/>
    <w:rsid w:val="0089025D"/>
    <w:rsid w:val="008908E4"/>
    <w:rsid w:val="00891719"/>
    <w:rsid w:val="00892CE4"/>
    <w:rsid w:val="00892D29"/>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59BF"/>
    <w:rsid w:val="00965BE9"/>
    <w:rsid w:val="00966783"/>
    <w:rsid w:val="0097186E"/>
    <w:rsid w:val="00972F9D"/>
    <w:rsid w:val="00975E5D"/>
    <w:rsid w:val="009767C1"/>
    <w:rsid w:val="00977610"/>
    <w:rsid w:val="00977DDE"/>
    <w:rsid w:val="009816BF"/>
    <w:rsid w:val="00985F86"/>
    <w:rsid w:val="009862DD"/>
    <w:rsid w:val="00986BD6"/>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5DA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2DC"/>
    <w:rsid w:val="00A17BDC"/>
    <w:rsid w:val="00A20D5D"/>
    <w:rsid w:val="00A22A5C"/>
    <w:rsid w:val="00A22A9A"/>
    <w:rsid w:val="00A25328"/>
    <w:rsid w:val="00A25531"/>
    <w:rsid w:val="00A2672A"/>
    <w:rsid w:val="00A30F51"/>
    <w:rsid w:val="00A33F90"/>
    <w:rsid w:val="00A341EC"/>
    <w:rsid w:val="00A34A87"/>
    <w:rsid w:val="00A351D1"/>
    <w:rsid w:val="00A3673B"/>
    <w:rsid w:val="00A36EB4"/>
    <w:rsid w:val="00A37A64"/>
    <w:rsid w:val="00A37B03"/>
    <w:rsid w:val="00A37E25"/>
    <w:rsid w:val="00A416D0"/>
    <w:rsid w:val="00A41754"/>
    <w:rsid w:val="00A43A28"/>
    <w:rsid w:val="00A4572B"/>
    <w:rsid w:val="00A45B67"/>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1212"/>
    <w:rsid w:val="00BB25C6"/>
    <w:rsid w:val="00BB388F"/>
    <w:rsid w:val="00BC2413"/>
    <w:rsid w:val="00BC2A64"/>
    <w:rsid w:val="00BC3FA5"/>
    <w:rsid w:val="00BC4BED"/>
    <w:rsid w:val="00BC563B"/>
    <w:rsid w:val="00BD1CF2"/>
    <w:rsid w:val="00BD38EB"/>
    <w:rsid w:val="00BD4587"/>
    <w:rsid w:val="00BD4FCF"/>
    <w:rsid w:val="00BE0A15"/>
    <w:rsid w:val="00BE130F"/>
    <w:rsid w:val="00BE2A7C"/>
    <w:rsid w:val="00BE3772"/>
    <w:rsid w:val="00BE51EE"/>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248"/>
    <w:rsid w:val="00D30945"/>
    <w:rsid w:val="00D3416D"/>
    <w:rsid w:val="00D34890"/>
    <w:rsid w:val="00D348E0"/>
    <w:rsid w:val="00D36437"/>
    <w:rsid w:val="00D36499"/>
    <w:rsid w:val="00D4496B"/>
    <w:rsid w:val="00D50A91"/>
    <w:rsid w:val="00D526E8"/>
    <w:rsid w:val="00D5396A"/>
    <w:rsid w:val="00D56D8F"/>
    <w:rsid w:val="00D64367"/>
    <w:rsid w:val="00D67E58"/>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58AA"/>
    <w:rsid w:val="00E36AA2"/>
    <w:rsid w:val="00E37DB9"/>
    <w:rsid w:val="00E4322F"/>
    <w:rsid w:val="00E449A9"/>
    <w:rsid w:val="00E455E0"/>
    <w:rsid w:val="00E45EDD"/>
    <w:rsid w:val="00E4648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65EA"/>
    <w:rsid w:val="00F772E4"/>
    <w:rsid w:val="00F77EB5"/>
    <w:rsid w:val="00F82DF3"/>
    <w:rsid w:val="00F85DDB"/>
    <w:rsid w:val="00F86AD2"/>
    <w:rsid w:val="00F90052"/>
    <w:rsid w:val="00F90C00"/>
    <w:rsid w:val="00F92731"/>
    <w:rsid w:val="00F94C43"/>
    <w:rsid w:val="00FA1D39"/>
    <w:rsid w:val="00FA2078"/>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6BA1AFC5-4668-44D8-8029-C120B9F4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24-8-22. Expediente electrónico 49633</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C16FECB-1C7B-487B-860F-87E1E32A4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71</TotalTime>
  <Pages>10</Pages>
  <Words>4676</Words>
  <Characters>25722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24</cp:revision>
  <cp:lastPrinted>2021-09-21T00:49:00Z</cp:lastPrinted>
  <dcterms:created xsi:type="dcterms:W3CDTF">2022-08-24T19:08:00Z</dcterms:created>
  <dcterms:modified xsi:type="dcterms:W3CDTF">2022-11-01T17:09:00Z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