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0EA8BE90"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5D7278">
        <w:rPr>
          <w:rFonts w:ascii="Museo Sans 900" w:eastAsia="Arial" w:hAnsi="Museo Sans 900" w:cs="Arial"/>
          <w:b/>
          <w:bCs/>
          <w:sz w:val="20"/>
          <w:szCs w:val="20"/>
          <w:lang w:val="es-ES_tradnl" w:eastAsia="es-SV"/>
        </w:rPr>
        <w:t>1329</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5D7278">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5D7278">
        <w:rPr>
          <w:rFonts w:ascii="Museo Sans 300" w:eastAsia="Arial" w:hAnsi="Museo Sans 300" w:cs="Arial"/>
          <w:sz w:val="20"/>
          <w:szCs w:val="20"/>
          <w:lang w:val="es-ES_tradnl" w:eastAsia="es-SV"/>
        </w:rPr>
        <w:t>veintiocho</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D7278">
        <w:rPr>
          <w:rFonts w:ascii="Museo Sans 300" w:eastAsia="Arial" w:hAnsi="Museo Sans 300" w:cs="Arial"/>
          <w:sz w:val="20"/>
          <w:szCs w:val="20"/>
          <w:lang w:val="es-ES_tradnl" w:eastAsia="es-SV"/>
        </w:rPr>
        <w:t>junio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30B7C16D"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0B175D">
        <w:rPr>
          <w:rStyle w:val="normaltextrun"/>
          <w:rFonts w:ascii="Museo Sans 300" w:hAnsi="Museo Sans 300" w:cs="Segoe UI"/>
          <w:sz w:val="20"/>
          <w:szCs w:val="20"/>
          <w:lang w:val="es-ES"/>
        </w:rPr>
        <w:t>0657</w:t>
      </w:r>
      <w:r w:rsidR="00EF456E">
        <w:rPr>
          <w:rStyle w:val="normaltextrun"/>
          <w:rFonts w:ascii="Museo Sans 300" w:hAnsi="Museo Sans 300" w:cs="Segoe UI"/>
          <w:sz w:val="20"/>
          <w:szCs w:val="20"/>
          <w:lang w:val="es-ES"/>
        </w:rPr>
        <w:t>-2022-CAU</w:t>
      </w:r>
      <w:bookmarkEnd w:id="0"/>
      <w:r w:rsidR="004A4686">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de fecha </w:t>
      </w:r>
      <w:r w:rsidR="000B175D">
        <w:rPr>
          <w:rStyle w:val="normaltextrun"/>
          <w:rFonts w:ascii="Museo Sans 300" w:hAnsi="Museo Sans 300" w:cs="Segoe UI"/>
          <w:sz w:val="20"/>
          <w:szCs w:val="20"/>
          <w:lang w:val="es-ES"/>
        </w:rPr>
        <w:t>uno</w:t>
      </w:r>
      <w:r w:rsidR="00EF456E">
        <w:rPr>
          <w:rStyle w:val="normaltextrun"/>
          <w:rFonts w:ascii="Museo Sans 300" w:hAnsi="Museo Sans 300" w:cs="Segoe UI"/>
          <w:sz w:val="20"/>
          <w:szCs w:val="20"/>
          <w:lang w:val="es-ES"/>
        </w:rPr>
        <w:t xml:space="preserve"> de abril</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EF456E">
        <w:rPr>
          <w:rStyle w:val="normaltextrun"/>
          <w:rFonts w:ascii="Museo Sans 300" w:hAnsi="Museo Sans 300" w:cs="Segoe UI"/>
          <w:sz w:val="20"/>
          <w:szCs w:val="20"/>
          <w:lang w:val="es-ES"/>
        </w:rPr>
        <w:t xml:space="preserve">la señora </w:t>
      </w:r>
      <w:r w:rsidR="008A778B">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104558CE" w14:textId="76CA2C25" w:rsidR="00201B80" w:rsidRPr="00201B80" w:rsidRDefault="00041BC4" w:rsidP="009E08BC">
      <w:pPr>
        <w:pStyle w:val="paragraph"/>
        <w:numPr>
          <w:ilvl w:val="0"/>
          <w:numId w:val="6"/>
        </w:numPr>
        <w:spacing w:before="0" w:beforeAutospacing="0" w:after="0" w:afterAutospacing="0"/>
        <w:ind w:left="1134" w:right="405"/>
        <w:jc w:val="both"/>
        <w:textAlignment w:val="baseline"/>
        <w:rPr>
          <w:rFonts w:ascii="Segoe UI" w:hAnsi="Segoe UI" w:cs="Segoe UI"/>
          <w:sz w:val="16"/>
          <w:szCs w:val="16"/>
        </w:rPr>
      </w:pPr>
      <w:r w:rsidRPr="00041BC4">
        <w:rPr>
          <w:rStyle w:val="normaltextrun"/>
          <w:rFonts w:ascii="Museo 300" w:hAnsi="Museo 300" w:cs="Segoe UI"/>
          <w:sz w:val="16"/>
          <w:szCs w:val="16"/>
        </w:rPr>
        <w:t>Establecer</w:t>
      </w:r>
      <w:r w:rsidR="00201B80">
        <w:rPr>
          <w:rStyle w:val="normaltextrun"/>
          <w:rFonts w:ascii="Museo 300" w:hAnsi="Museo 300" w:cs="Segoe UI"/>
          <w:sz w:val="16"/>
          <w:szCs w:val="16"/>
        </w:rPr>
        <w:t xml:space="preserve"> </w:t>
      </w:r>
      <w:r w:rsidR="00201B80" w:rsidRPr="00201B80">
        <w:rPr>
          <w:rFonts w:ascii="Museo 300" w:eastAsia="Arial" w:hAnsi="Museo 300"/>
          <w:sz w:val="16"/>
          <w:szCs w:val="16"/>
        </w:rPr>
        <w:t xml:space="preserve">que en el suministro identificado con el </w:t>
      </w:r>
      <w:r w:rsidR="00201B80" w:rsidRPr="00201B80">
        <w:rPr>
          <w:rFonts w:ascii="Museo 300" w:hAnsi="Museo 300"/>
          <w:sz w:val="16"/>
          <w:szCs w:val="16"/>
        </w:rPr>
        <w:t xml:space="preserve">NIC </w:t>
      </w:r>
      <w:r w:rsidR="008A778B">
        <w:rPr>
          <w:rFonts w:ascii="Museo 300" w:hAnsi="Museo 300"/>
          <w:sz w:val="16"/>
          <w:szCs w:val="16"/>
        </w:rPr>
        <w:t>XXX</w:t>
      </w:r>
      <w:r w:rsidR="00201B80" w:rsidRPr="00201B80">
        <w:rPr>
          <w:rFonts w:ascii="Museo 300" w:hAnsi="Museo 300"/>
          <w:sz w:val="16"/>
          <w:szCs w:val="16"/>
        </w:rPr>
        <w:t xml:space="preserve"> se comprobó la existencia de una condición irregular que consistió en</w:t>
      </w:r>
      <w:r w:rsidR="00201B80" w:rsidRPr="00201B80">
        <w:rPr>
          <w:rFonts w:ascii="Museo 300" w:hAnsi="Museo 300"/>
          <w:sz w:val="16"/>
          <w:szCs w:val="16"/>
          <w:lang w:val="es-ES"/>
        </w:rPr>
        <w:t xml:space="preserve"> una línea eléctrica en derivación conectada en la acometida eléctrica que ingresaba a la vivienda</w:t>
      </w:r>
      <w:r w:rsidR="00201B80" w:rsidRPr="00201B80">
        <w:rPr>
          <w:rFonts w:ascii="Museo 300" w:hAnsi="Museo 300"/>
          <w:sz w:val="16"/>
          <w:szCs w:val="16"/>
        </w:rPr>
        <w:t>,</w:t>
      </w:r>
      <w:r w:rsidR="00201B80" w:rsidRPr="00201B80">
        <w:rPr>
          <w:rFonts w:ascii="Museo 300" w:hAnsi="Museo 300" w:cs="Segoe UI"/>
          <w:sz w:val="16"/>
          <w:szCs w:val="16"/>
          <w:lang w:eastAsia="es-MX"/>
        </w:rPr>
        <w:t xml:space="preserve"> generando que el medidor no registrara el consumo total de la energía que fue consumida en dicho suministro.</w:t>
      </w:r>
    </w:p>
    <w:p w14:paraId="2EEC8598" w14:textId="77777777" w:rsidR="00201B80" w:rsidRPr="00201B80" w:rsidRDefault="00201B80" w:rsidP="00201B80">
      <w:pPr>
        <w:pStyle w:val="paragraph"/>
        <w:spacing w:before="0" w:beforeAutospacing="0" w:after="0" w:afterAutospacing="0"/>
        <w:ind w:left="1134" w:right="405"/>
        <w:jc w:val="both"/>
        <w:textAlignment w:val="baseline"/>
        <w:rPr>
          <w:rFonts w:ascii="Segoe UI" w:hAnsi="Segoe UI" w:cs="Segoe UI"/>
          <w:sz w:val="16"/>
          <w:szCs w:val="16"/>
        </w:rPr>
      </w:pPr>
    </w:p>
    <w:p w14:paraId="356D2A43" w14:textId="03059CDB" w:rsidR="00041BC4" w:rsidRPr="00E83E3F" w:rsidRDefault="00E83E3F" w:rsidP="009E08BC">
      <w:pPr>
        <w:pStyle w:val="paragraph"/>
        <w:numPr>
          <w:ilvl w:val="0"/>
          <w:numId w:val="6"/>
        </w:numPr>
        <w:spacing w:before="0" w:beforeAutospacing="0" w:after="0" w:afterAutospacing="0"/>
        <w:ind w:left="1134" w:right="405"/>
        <w:jc w:val="both"/>
        <w:textAlignment w:val="baseline"/>
        <w:rPr>
          <w:rFonts w:ascii="Museo 300" w:eastAsia="Arial" w:hAnsi="Museo 300"/>
          <w:sz w:val="16"/>
          <w:szCs w:val="16"/>
        </w:rPr>
      </w:pPr>
      <w:r w:rsidRPr="00E83E3F">
        <w:rPr>
          <w:rFonts w:ascii="Museo 300" w:eastAsia="Arial" w:hAnsi="Museo 300"/>
          <w:sz w:val="16"/>
          <w:szCs w:val="16"/>
        </w:rPr>
        <w:t>Determinar que la sociedad EEO, S.A. de C.V. tiene el derecho a recuperar la cantidad de OCHENTA Y CINCO</w:t>
      </w:r>
      <w:r w:rsidRPr="00E83E3F">
        <w:rPr>
          <w:rFonts w:ascii="Museo 300" w:hAnsi="Museo 300"/>
          <w:sz w:val="16"/>
          <w:szCs w:val="16"/>
        </w:rPr>
        <w:t xml:space="preserve"> 31/100 DÓLARES DE LOS ESTADOS UNIDOS DE AMÉRICA (USD 85.31) IVA incluido, en concepto de energía no registrada, más los intereses correspondientes de conformidad con el artículo 36 de los Términos y Condiciones Generales al Consumidor Final, para el año 2021</w:t>
      </w:r>
      <w:bookmarkStart w:id="1" w:name="_Hlk101953134"/>
      <w:r w:rsidR="00041BC4" w:rsidRPr="00E83E3F">
        <w:rPr>
          <w:rStyle w:val="normaltextrun"/>
          <w:rFonts w:ascii="Museo 300" w:hAnsi="Museo 300" w:cs="Segoe UI"/>
          <w:sz w:val="16"/>
          <w:szCs w:val="16"/>
        </w:rPr>
        <w:t>.</w:t>
      </w:r>
      <w:bookmarkEnd w:id="1"/>
      <w:r w:rsidR="00041BC4" w:rsidRPr="00E83E3F">
        <w:rPr>
          <w:rStyle w:val="normaltextrun"/>
          <w:rFonts w:ascii="Cambria Math" w:hAnsi="Cambria Math" w:cs="Cambria Math"/>
          <w:sz w:val="16"/>
          <w:szCs w:val="16"/>
        </w:rPr>
        <w:t>  </w:t>
      </w:r>
      <w:r w:rsidR="00041BC4" w:rsidRPr="00E83E3F">
        <w:rPr>
          <w:rStyle w:val="normaltextrun"/>
          <w:rFonts w:ascii="Museo 300" w:hAnsi="Museo 300" w:cs="Segoe UI"/>
          <w:sz w:val="16"/>
          <w:szCs w:val="16"/>
        </w:rPr>
        <w:t>[…]”</w:t>
      </w:r>
      <w:r w:rsidR="00041BC4" w:rsidRPr="00E83E3F">
        <w:rPr>
          <w:rStyle w:val="normaltextrun"/>
          <w:rFonts w:ascii="Cambria Math" w:hAnsi="Cambria Math" w:cs="Cambria Math"/>
          <w:sz w:val="16"/>
          <w:szCs w:val="16"/>
        </w:rPr>
        <w:t> </w:t>
      </w:r>
      <w:r w:rsidR="00AC10F2" w:rsidRPr="00E83E3F">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1EAAFA86"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la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usuari</w:t>
      </w:r>
      <w:r w:rsidR="009E0E1E">
        <w:rPr>
          <w:rStyle w:val="normaltextrun"/>
          <w:rFonts w:ascii="Museo Sans 300" w:hAnsi="Museo Sans 300" w:cs="Segoe UI"/>
          <w:sz w:val="20"/>
          <w:szCs w:val="20"/>
          <w:lang w:val="es-ES"/>
        </w:rPr>
        <w:t>a</w:t>
      </w:r>
      <w:r w:rsidR="00EC3949">
        <w:rPr>
          <w:rStyle w:val="normaltextrun"/>
          <w:rFonts w:ascii="Museo Sans 300" w:hAnsi="Museo Sans 300" w:cs="Segoe UI"/>
          <w:sz w:val="20"/>
          <w:szCs w:val="20"/>
          <w:lang w:val="es-ES"/>
        </w:rPr>
        <w:t xml:space="preserve"> los días </w:t>
      </w:r>
      <w:r w:rsidR="006525A1">
        <w:rPr>
          <w:rStyle w:val="normaltextrun"/>
          <w:rFonts w:ascii="Museo Sans 300" w:hAnsi="Museo Sans 300" w:cs="Segoe UI"/>
          <w:sz w:val="20"/>
          <w:szCs w:val="20"/>
          <w:lang w:val="es-ES"/>
        </w:rPr>
        <w:t>siete</w:t>
      </w:r>
      <w:r w:rsidR="00EC3949">
        <w:rPr>
          <w:rStyle w:val="normaltextrun"/>
          <w:rFonts w:ascii="Museo Sans 300" w:hAnsi="Museo Sans 300" w:cs="Segoe UI"/>
          <w:sz w:val="20"/>
          <w:szCs w:val="20"/>
          <w:lang w:val="es-ES"/>
        </w:rPr>
        <w:t xml:space="preserve"> y </w:t>
      </w:r>
      <w:r w:rsidR="006525A1">
        <w:rPr>
          <w:rStyle w:val="normaltextrun"/>
          <w:rFonts w:ascii="Museo Sans 300" w:hAnsi="Museo Sans 300" w:cs="Segoe UI"/>
          <w:sz w:val="20"/>
          <w:szCs w:val="20"/>
          <w:lang w:val="es-ES"/>
        </w:rPr>
        <w:t>ocho</w:t>
      </w:r>
      <w:r w:rsidR="00EC3949">
        <w:rPr>
          <w:rStyle w:val="normaltextrun"/>
          <w:rFonts w:ascii="Museo Sans 300" w:hAnsi="Museo Sans 300" w:cs="Segoe UI"/>
          <w:sz w:val="20"/>
          <w:szCs w:val="20"/>
          <w:lang w:val="es-ES"/>
        </w:rPr>
        <w:t xml:space="preserve"> de </w:t>
      </w:r>
      <w:r w:rsidR="006525A1">
        <w:rPr>
          <w:rStyle w:val="normaltextrun"/>
          <w:rFonts w:ascii="Museo Sans 300" w:hAnsi="Museo Sans 300" w:cs="Segoe UI"/>
          <w:sz w:val="20"/>
          <w:szCs w:val="20"/>
          <w:lang w:val="es-ES"/>
        </w:rPr>
        <w:t>abril</w:t>
      </w:r>
      <w:r w:rsidR="00EC3949">
        <w:rPr>
          <w:rStyle w:val="normaltextrun"/>
          <w:rFonts w:ascii="Museo Sans 300" w:hAnsi="Museo Sans 300" w:cs="Segoe UI"/>
          <w:sz w:val="20"/>
          <w:szCs w:val="20"/>
          <w:lang w:val="es-ES"/>
        </w:rPr>
        <w:t xml:space="preserve"> de este año, respectivamente.</w:t>
      </w:r>
      <w:r w:rsidR="00AC10F2">
        <w:rPr>
          <w:rStyle w:val="eop"/>
          <w:rFonts w:ascii="Museo Sans 300" w:hAnsi="Museo Sans 300" w:cs="Segoe UI"/>
          <w:sz w:val="20"/>
          <w:szCs w:val="20"/>
        </w:rPr>
        <w:t xml:space="preserve"> </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229B4F10"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546D1F">
        <w:rPr>
          <w:rStyle w:val="normaltextrun"/>
          <w:rFonts w:ascii="Museo Sans 300" w:hAnsi="Museo Sans 300" w:cs="Segoe UI"/>
          <w:sz w:val="20"/>
          <w:szCs w:val="20"/>
          <w:lang w:val="es-ES"/>
        </w:rPr>
        <w:t>veinticinco</w:t>
      </w:r>
      <w:r>
        <w:rPr>
          <w:rStyle w:val="normaltextrun"/>
          <w:rFonts w:ascii="Museo Sans 300" w:hAnsi="Museo Sans 300" w:cs="Segoe UI"/>
          <w:sz w:val="20"/>
          <w:szCs w:val="20"/>
          <w:lang w:val="es-ES"/>
        </w:rPr>
        <w:t xml:space="preserve"> de </w:t>
      </w:r>
      <w:r w:rsidR="00FB1C87">
        <w:rPr>
          <w:rStyle w:val="normaltextrun"/>
          <w:rFonts w:ascii="Museo Sans 300" w:hAnsi="Museo Sans 300" w:cs="Segoe UI"/>
          <w:sz w:val="20"/>
          <w:szCs w:val="20"/>
          <w:lang w:val="es-ES"/>
        </w:rPr>
        <w:t>abril</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el ingeniero</w:t>
      </w:r>
      <w:r w:rsidR="008A778B">
        <w:rPr>
          <w:rStyle w:val="normaltextrun"/>
          <w:rFonts w:ascii="Museo Sans 300" w:hAnsi="Museo Sans 300" w:cs="Segoe UI"/>
          <w:sz w:val="20"/>
          <w:szCs w:val="20"/>
          <w:lang w:val="es-ES"/>
        </w:rPr>
        <w:t xml:space="preserve"> XXX</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0B175D">
        <w:rPr>
          <w:rStyle w:val="normaltextrun"/>
          <w:rFonts w:ascii="Museo Sans 300" w:hAnsi="Museo Sans 300" w:cs="Segoe UI"/>
          <w:sz w:val="20"/>
          <w:szCs w:val="20"/>
          <w:lang w:val="es-ES"/>
        </w:rPr>
        <w:t>0657</w:t>
      </w:r>
      <w:r w:rsidR="00EF456E">
        <w:rPr>
          <w:rStyle w:val="normaltextrun"/>
          <w:rFonts w:ascii="Museo Sans 300" w:hAnsi="Museo Sans 300" w:cs="Segoe UI"/>
          <w:sz w:val="20"/>
          <w:szCs w:val="20"/>
          <w:lang w:val="es-ES"/>
        </w:rPr>
        <w:t>-2022-CAU</w:t>
      </w:r>
      <w:r>
        <w:rPr>
          <w:rStyle w:val="normaltextrun"/>
          <w:rFonts w:ascii="Museo Sans 300" w:hAnsi="Museo Sans 300" w:cs="Segoe UI"/>
          <w:sz w:val="20"/>
          <w:szCs w:val="20"/>
          <w:lang w:val="es-ES"/>
        </w:rPr>
        <w:t>,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3ED80CDC" w14:textId="03ED2666" w:rsidR="006525A1" w:rsidRPr="006525A1" w:rsidRDefault="00041BC4" w:rsidP="009E08BC">
      <w:pPr>
        <w:pStyle w:val="paragraph"/>
        <w:numPr>
          <w:ilvl w:val="0"/>
          <w:numId w:val="7"/>
        </w:numPr>
        <w:spacing w:before="0" w:beforeAutospacing="0" w:after="0" w:afterAutospacing="0"/>
        <w:ind w:left="1418" w:right="567"/>
        <w:jc w:val="both"/>
        <w:textAlignment w:val="baseline"/>
        <w:rPr>
          <w:rStyle w:val="normaltextrun"/>
          <w:rFonts w:ascii="Segoe UI" w:hAnsi="Segoe UI" w:cs="Segoe UI"/>
          <w:sz w:val="16"/>
          <w:szCs w:val="16"/>
        </w:rPr>
      </w:pPr>
      <w:r>
        <w:rPr>
          <w:rStyle w:val="normaltextrun"/>
          <w:rFonts w:ascii="Museo 300" w:hAnsi="Museo 300" w:cs="Segoe UI"/>
          <w:sz w:val="16"/>
          <w:szCs w:val="16"/>
          <w:lang w:val="es-ES"/>
        </w:rPr>
        <w:t>En</w:t>
      </w:r>
      <w:r w:rsidR="006525A1">
        <w:rPr>
          <w:rStyle w:val="normaltextrun"/>
          <w:rFonts w:ascii="Museo 300" w:hAnsi="Museo 300" w:cs="Segoe UI"/>
          <w:sz w:val="16"/>
          <w:szCs w:val="16"/>
          <w:lang w:val="es-ES"/>
        </w:rPr>
        <w:t xml:space="preserve"> </w:t>
      </w:r>
      <w:r w:rsidR="006525A1" w:rsidRPr="006525A1">
        <w:rPr>
          <w:rStyle w:val="normaltextrun"/>
          <w:rFonts w:ascii="Museo 300" w:hAnsi="Museo 300" w:cs="Segoe UI"/>
          <w:sz w:val="16"/>
          <w:szCs w:val="16"/>
        </w:rPr>
        <w:t xml:space="preserve">el análisis elaborado por el CAU de la SIGET, plasmado en el informe técnico No. </w:t>
      </w:r>
      <w:r w:rsidR="008A778B">
        <w:rPr>
          <w:rStyle w:val="normaltextrun"/>
          <w:rFonts w:ascii="Museo 300" w:hAnsi="Museo 300" w:cs="Segoe UI"/>
          <w:sz w:val="16"/>
          <w:szCs w:val="16"/>
        </w:rPr>
        <w:t>XXX</w:t>
      </w:r>
      <w:r w:rsidR="006525A1" w:rsidRPr="006525A1">
        <w:rPr>
          <w:rStyle w:val="normaltextrun"/>
          <w:rFonts w:ascii="Museo 300" w:hAnsi="Museo 300" w:cs="Segoe UI"/>
          <w:sz w:val="16"/>
          <w:szCs w:val="16"/>
        </w:rPr>
        <w:t xml:space="preserve">, se ha establecido que la Distribuidora cuenta con las evidencias fehacientes de la existencia de un incumplimiento contractual por parte del usuario final, al encontrar y documentar claramente una condición irregular en el suministro con NIC </w:t>
      </w:r>
      <w:r w:rsidR="008A778B">
        <w:rPr>
          <w:rStyle w:val="normaltextrun"/>
          <w:rFonts w:ascii="Museo 300" w:hAnsi="Museo 300" w:cs="Segoe UI"/>
          <w:sz w:val="16"/>
          <w:szCs w:val="16"/>
        </w:rPr>
        <w:t>XXX</w:t>
      </w:r>
      <w:r w:rsidR="006525A1" w:rsidRPr="006525A1">
        <w:rPr>
          <w:rStyle w:val="normaltextrun"/>
          <w:rFonts w:ascii="Museo 300" w:hAnsi="Museo 300" w:cs="Segoe UI"/>
          <w:sz w:val="16"/>
          <w:szCs w:val="16"/>
        </w:rPr>
        <w:t>;</w:t>
      </w:r>
    </w:p>
    <w:p w14:paraId="5162B0BF" w14:textId="77777777" w:rsidR="006525A1" w:rsidRDefault="006525A1" w:rsidP="00515BB0">
      <w:pPr>
        <w:pStyle w:val="paragraph"/>
        <w:spacing w:before="0" w:beforeAutospacing="0" w:after="0" w:afterAutospacing="0"/>
        <w:ind w:left="1418" w:right="567"/>
        <w:jc w:val="both"/>
        <w:textAlignment w:val="baseline"/>
        <w:rPr>
          <w:rStyle w:val="normaltextrun"/>
          <w:rFonts w:ascii="Museo 300" w:hAnsi="Museo 300" w:cs="Segoe UI"/>
          <w:sz w:val="16"/>
          <w:szCs w:val="16"/>
        </w:rPr>
      </w:pPr>
    </w:p>
    <w:p w14:paraId="7C35F430" w14:textId="4133E02E" w:rsidR="00041BC4" w:rsidRDefault="00EC3949"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L</w:t>
      </w:r>
      <w:r w:rsidR="00041BC4">
        <w:rPr>
          <w:rStyle w:val="normaltextrun"/>
          <w:rFonts w:ascii="Museo 300" w:hAnsi="Museo 300" w:cs="Segoe UI"/>
          <w:sz w:val="16"/>
          <w:szCs w:val="16"/>
          <w:lang w:val="es-ES"/>
        </w:rPr>
        <w:t xml:space="preserve">a Distribuidora considera que el método de cálculo utilizado por el CAU de la </w:t>
      </w:r>
      <w:proofErr w:type="gramStart"/>
      <w:r w:rsidR="00041BC4">
        <w:rPr>
          <w:rStyle w:val="normaltextrun"/>
          <w:rFonts w:ascii="Museo 300" w:hAnsi="Museo 300" w:cs="Segoe UI"/>
          <w:sz w:val="16"/>
          <w:szCs w:val="16"/>
          <w:lang w:val="es-ES"/>
        </w:rPr>
        <w:t>SIGET</w:t>
      </w:r>
      <w:r w:rsidR="004B330D">
        <w:rPr>
          <w:rStyle w:val="normaltextrun"/>
          <w:rFonts w:ascii="Museo 300" w:hAnsi="Museo 300" w:cs="Segoe UI"/>
          <w:sz w:val="16"/>
          <w:szCs w:val="16"/>
          <w:lang w:val="es-ES"/>
        </w:rPr>
        <w:t>,</w:t>
      </w:r>
      <w:proofErr w:type="gramEnd"/>
      <w:r w:rsidR="00041BC4">
        <w:rPr>
          <w:rStyle w:val="normaltextrun"/>
          <w:rFonts w:ascii="Museo 300" w:hAnsi="Museo 300" w:cs="Segoe UI"/>
          <w:sz w:val="16"/>
          <w:szCs w:val="16"/>
          <w:lang w:val="es-ES"/>
        </w:rPr>
        <w:t xml:space="preserve"> es contrario a lo determinado en el numeral 5.2 del Procedimiento Para Investigar la Existencia de Condiciones Irregulares en el Suministro de Energía Eléctrica del Usuario Final, establecido en el Acuerdo 283-E-2011 emitido por la SIGET</w:t>
      </w:r>
      <w:r w:rsidR="008C33E8">
        <w:rPr>
          <w:rStyle w:val="normaltextrun"/>
          <w:rFonts w:ascii="Museo 300" w:hAnsi="Museo 300" w:cs="Segoe UI"/>
          <w:sz w:val="16"/>
          <w:szCs w:val="16"/>
          <w:lang w:val="es-ES"/>
        </w:rPr>
        <w:t>;</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10A5A0BE" w:rsidR="00041BC4" w:rsidRDefault="00041BC4"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 con el numeral anterior, la Distribuidora considera que el método de cálculo utilizado</w:t>
      </w:r>
      <w:r w:rsidR="008C33E8">
        <w:rPr>
          <w:rStyle w:val="normaltextrun"/>
          <w:rFonts w:ascii="Museo 300" w:hAnsi="Museo 300" w:cs="Segoe UI"/>
          <w:sz w:val="16"/>
          <w:szCs w:val="16"/>
          <w:lang w:val="es-ES"/>
        </w:rPr>
        <w:t xml:space="preserve"> para el presente caso</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xml:space="preserve"> lo cual es el establecido en el Numeral 5.2 literal c) de</w:t>
      </w:r>
      <w:r w:rsidR="004B330D">
        <w:rPr>
          <w:rStyle w:val="normaltextrun"/>
          <w:rFonts w:ascii="Museo 300" w:hAnsi="Museo 300" w:cs="Segoe UI"/>
          <w:sz w:val="16"/>
          <w:szCs w:val="16"/>
          <w:lang w:val="es-ES"/>
        </w:rPr>
        <w:t>l</w:t>
      </w:r>
      <w:r>
        <w:rPr>
          <w:rStyle w:val="normaltextrun"/>
          <w:rFonts w:ascii="Museo 300" w:hAnsi="Museo 300" w:cs="Segoe UI"/>
          <w:sz w:val="16"/>
          <w:szCs w:val="16"/>
          <w:lang w:val="es-ES"/>
        </w:rPr>
        <w:t xml:space="preserve"> Procedimiento establecido en el Acuerdo 283-E-2011 es el adecuado e idóneo para casos en donde se obtiene la corriente que fluye por una línea directa o fuera de medición.</w:t>
      </w:r>
      <w:r>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47FCCF68" w:rsidR="00041BC4" w:rsidRDefault="00041BC4"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De acuerdo</w:t>
      </w:r>
      <w:r w:rsidR="00903842">
        <w:rPr>
          <w:rStyle w:val="normaltextrun"/>
          <w:rFonts w:ascii="Museo 300" w:hAnsi="Museo 300" w:cs="Segoe UI"/>
          <w:sz w:val="16"/>
          <w:szCs w:val="16"/>
          <w:lang w:val="es-ES"/>
        </w:rPr>
        <w:t xml:space="preserve"> con</w:t>
      </w:r>
      <w:r>
        <w:rPr>
          <w:rStyle w:val="normaltextrun"/>
          <w:rFonts w:ascii="Museo 300" w:hAnsi="Museo 300" w:cs="Segoe UI"/>
          <w:sz w:val="16"/>
          <w:szCs w:val="16"/>
          <w:lang w:val="es-ES"/>
        </w:rPr>
        <w:t xml:space="preserve"> la evidencia proporcionada por la Distribuidora al CAU, se confirma que existió una condición irregular en el suministro identificado con número de NIC </w:t>
      </w:r>
      <w:r w:rsidR="008A778B">
        <w:rPr>
          <w:rStyle w:val="normaltextrun"/>
          <w:rFonts w:ascii="Museo 300" w:hAnsi="Museo 300" w:cs="Segoe UI"/>
          <w:sz w:val="16"/>
          <w:szCs w:val="16"/>
          <w:lang w:val="es-ES"/>
        </w:rPr>
        <w:t>XXX</w:t>
      </w:r>
      <w:r>
        <w:rPr>
          <w:rStyle w:val="normaltextrun"/>
          <w:rFonts w:ascii="Museo 300" w:hAnsi="Museo 300" w:cs="Segoe UI"/>
          <w:sz w:val="16"/>
          <w:szCs w:val="16"/>
          <w:lang w:val="es-ES"/>
        </w:rPr>
        <w:t xml:space="preserve">, por lo que se determina que el cobro de energía no registrada por la cantidad de </w:t>
      </w:r>
      <w:r w:rsidR="00E83E3F">
        <w:rPr>
          <w:rStyle w:val="normaltextrun"/>
          <w:rFonts w:ascii="Museo 300" w:hAnsi="Museo 300" w:cs="Segoe UI"/>
          <w:sz w:val="16"/>
          <w:szCs w:val="16"/>
          <w:lang w:val="es-ES"/>
        </w:rPr>
        <w:t>5,557</w:t>
      </w:r>
      <w:r>
        <w:rPr>
          <w:rStyle w:val="normaltextrun"/>
          <w:rFonts w:ascii="Museo 300" w:hAnsi="Museo 300" w:cs="Segoe UI"/>
          <w:sz w:val="16"/>
          <w:szCs w:val="16"/>
          <w:lang w:val="es-ES"/>
        </w:rPr>
        <w:t xml:space="preserve"> kWh, equivalente a</w:t>
      </w:r>
      <w:r w:rsidR="00515BB0">
        <w:rPr>
          <w:rStyle w:val="normaltextrun"/>
          <w:rFonts w:ascii="Museo 300" w:hAnsi="Museo 300" w:cs="Segoe UI"/>
          <w:sz w:val="16"/>
          <w:szCs w:val="16"/>
          <w:lang w:val="es-ES"/>
        </w:rPr>
        <w:t xml:space="preserve"> MIL </w:t>
      </w:r>
      <w:r w:rsidR="00E83E3F">
        <w:rPr>
          <w:rStyle w:val="normaltextrun"/>
          <w:rFonts w:ascii="Museo 300" w:hAnsi="Museo 300" w:cs="Segoe UI"/>
          <w:sz w:val="16"/>
          <w:szCs w:val="16"/>
          <w:lang w:val="es-ES"/>
        </w:rPr>
        <w:t>TRESCIENTOS</w:t>
      </w:r>
      <w:r w:rsidR="00273A7A">
        <w:rPr>
          <w:rStyle w:val="normaltextrun"/>
          <w:rFonts w:ascii="Museo 300" w:hAnsi="Museo 300" w:cs="Segoe UI"/>
          <w:sz w:val="16"/>
          <w:szCs w:val="16"/>
          <w:lang w:val="es-ES"/>
        </w:rPr>
        <w:t xml:space="preserve"> SETENTA</w:t>
      </w:r>
      <w:r>
        <w:rPr>
          <w:rStyle w:val="normaltextrun"/>
          <w:rFonts w:ascii="Museo 300" w:hAnsi="Museo 300" w:cs="Segoe UI"/>
          <w:sz w:val="16"/>
          <w:szCs w:val="16"/>
          <w:lang w:val="es-ES"/>
        </w:rPr>
        <w:t xml:space="preserve"> </w:t>
      </w:r>
      <w:r w:rsidR="00273A7A">
        <w:rPr>
          <w:rStyle w:val="normaltextrun"/>
          <w:rFonts w:ascii="Museo 300" w:hAnsi="Museo 300" w:cs="Segoe UI"/>
          <w:sz w:val="16"/>
          <w:szCs w:val="16"/>
          <w:lang w:val="es-ES"/>
        </w:rPr>
        <w:t>43</w:t>
      </w:r>
      <w:r>
        <w:rPr>
          <w:rStyle w:val="normaltextrun"/>
          <w:rFonts w:ascii="Museo 300" w:hAnsi="Museo 300" w:cs="Segoe UI"/>
          <w:sz w:val="16"/>
          <w:szCs w:val="16"/>
          <w:lang w:val="es-ES"/>
        </w:rPr>
        <w:t>/100 DÓLARES DE LOS ESTADOS UN</w:t>
      </w:r>
      <w:r w:rsidR="004B330D">
        <w:rPr>
          <w:rStyle w:val="normaltextrun"/>
          <w:rFonts w:ascii="Museo 300" w:hAnsi="Museo 300" w:cs="Segoe UI"/>
          <w:sz w:val="16"/>
          <w:szCs w:val="16"/>
          <w:lang w:val="es-ES"/>
        </w:rPr>
        <w:t>IDOS</w:t>
      </w:r>
      <w:r>
        <w:rPr>
          <w:rStyle w:val="normaltextrun"/>
          <w:rFonts w:ascii="Museo 300" w:hAnsi="Museo 300" w:cs="Segoe UI"/>
          <w:sz w:val="16"/>
          <w:szCs w:val="16"/>
          <w:lang w:val="es-ES"/>
        </w:rPr>
        <w:t xml:space="preserve"> DE AMÉRICA (USD</w:t>
      </w:r>
      <w:r w:rsidR="00903842">
        <w:rPr>
          <w:rStyle w:val="normaltextrun"/>
          <w:rFonts w:ascii="Museo 300" w:hAnsi="Museo 300" w:cs="Segoe UI"/>
          <w:sz w:val="16"/>
          <w:szCs w:val="16"/>
          <w:lang w:val="es-ES"/>
        </w:rPr>
        <w:t xml:space="preserve"> </w:t>
      </w:r>
      <w:r w:rsidR="00E83E3F">
        <w:rPr>
          <w:rStyle w:val="normaltextrun"/>
          <w:rFonts w:ascii="Museo 300" w:hAnsi="Museo 300" w:cs="Segoe UI"/>
          <w:sz w:val="16"/>
          <w:szCs w:val="16"/>
          <w:lang w:val="es-ES"/>
        </w:rPr>
        <w:t>1,370.43</w:t>
      </w:r>
      <w:r w:rsidR="00903842">
        <w:rPr>
          <w:rStyle w:val="normaltextrun"/>
          <w:rFonts w:ascii="Museo 300" w:hAnsi="Museo 300" w:cs="Segoe UI"/>
          <w:sz w:val="16"/>
          <w:szCs w:val="16"/>
          <w:lang w:val="es-ES"/>
        </w:rPr>
        <w:t>)</w:t>
      </w:r>
      <w:r>
        <w:rPr>
          <w:rStyle w:val="normaltextrun"/>
          <w:rFonts w:ascii="Museo 300" w:hAnsi="Museo 300" w:cs="Segoe UI"/>
          <w:sz w:val="16"/>
          <w:szCs w:val="16"/>
          <w:lang w:val="es-ES"/>
        </w:rPr>
        <w:t>, es procedente. […].”</w:t>
      </w:r>
      <w:r>
        <w:rPr>
          <w:rStyle w:val="normaltextrun"/>
          <w:rFonts w:ascii="Cambria Math" w:hAnsi="Cambria Math" w:cs="Segoe UI"/>
          <w:sz w:val="16"/>
          <w:szCs w:val="16"/>
          <w:lang w:val="es-ES"/>
        </w:rPr>
        <w:t> </w:t>
      </w:r>
      <w:r>
        <w:rPr>
          <w:rStyle w:val="normaltextrun"/>
          <w:rFonts w:ascii="Cambria Math" w:hAnsi="Cambria Math" w:cs="Cambria Math"/>
          <w:sz w:val="16"/>
          <w:szCs w:val="16"/>
          <w:lang w:val="es-ES"/>
        </w:rPr>
        <w:t> </w:t>
      </w:r>
      <w:r>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310B06A8"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221D24">
        <w:rPr>
          <w:rFonts w:ascii="Museo Sans 300" w:eastAsia="Arial" w:hAnsi="Museo Sans 300" w:cs="Arial"/>
          <w:sz w:val="20"/>
          <w:szCs w:val="20"/>
          <w:lang w:val="es-ES_tradnl" w:eastAsia="es-SV"/>
        </w:rPr>
        <w:t>088</w:t>
      </w:r>
      <w:r w:rsidR="00273A7A">
        <w:rPr>
          <w:rFonts w:ascii="Museo Sans 300" w:eastAsia="Arial" w:hAnsi="Museo Sans 300" w:cs="Arial"/>
          <w:sz w:val="20"/>
          <w:szCs w:val="20"/>
          <w:lang w:val="es-ES_tradnl" w:eastAsia="es-SV"/>
        </w:rPr>
        <w:t>4</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221D24">
        <w:rPr>
          <w:rFonts w:ascii="Museo Sans 300" w:eastAsia="Arial" w:hAnsi="Museo Sans 300" w:cs="Arial"/>
          <w:sz w:val="20"/>
          <w:szCs w:val="20"/>
          <w:lang w:val="es-ES_tradnl" w:eastAsia="es-SV"/>
        </w:rPr>
        <w:t>dos</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221D24">
        <w:rPr>
          <w:rFonts w:ascii="Museo Sans 300" w:eastAsia="Arial" w:hAnsi="Museo Sans 300" w:cs="Arial"/>
          <w:sz w:val="20"/>
          <w:szCs w:val="20"/>
          <w:lang w:val="es-ES_tradnl" w:eastAsia="es-SV"/>
        </w:rPr>
        <w:t>mayo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221D24">
        <w:rPr>
          <w:rFonts w:ascii="Museo Sans 300" w:eastAsia="Arial" w:hAnsi="Museo Sans 300" w:cs="Arial"/>
          <w:sz w:val="20"/>
          <w:szCs w:val="20"/>
          <w:lang w:val="es-ES_tradnl" w:eastAsia="es-SV"/>
        </w:rPr>
        <w:t xml:space="preserve"> la</w:t>
      </w:r>
      <w:r w:rsidR="005E4ABF">
        <w:rPr>
          <w:rFonts w:ascii="Museo Sans 300" w:eastAsia="Times New Roman" w:hAnsi="Museo Sans 300"/>
          <w:sz w:val="20"/>
          <w:szCs w:val="20"/>
          <w:lang w:eastAsia="es-ES"/>
        </w:rPr>
        <w:t xml:space="preserve"> señor</w:t>
      </w:r>
      <w:r w:rsidR="00221D24">
        <w:rPr>
          <w:rFonts w:ascii="Museo Sans 300" w:eastAsia="Times New Roman" w:hAnsi="Museo Sans 300"/>
          <w:sz w:val="20"/>
          <w:szCs w:val="20"/>
          <w:lang w:eastAsia="es-ES"/>
        </w:rPr>
        <w:t>a</w:t>
      </w:r>
      <w:r w:rsidR="005E4ABF">
        <w:rPr>
          <w:rFonts w:ascii="Museo Sans 300" w:eastAsia="Times New Roman" w:hAnsi="Museo Sans 300"/>
          <w:sz w:val="20"/>
          <w:szCs w:val="20"/>
          <w:lang w:eastAsia="es-ES"/>
        </w:rPr>
        <w:t xml:space="preserve"> </w:t>
      </w:r>
      <w:r w:rsidR="008A778B">
        <w:rPr>
          <w:rFonts w:ascii="Museo Sans 300" w:eastAsia="Times New Roman" w:hAnsi="Museo Sans 300"/>
          <w:sz w:val="20"/>
          <w:szCs w:val="20"/>
          <w:lang w:eastAsia="es-ES"/>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EBD54AE" w14:textId="7F212598"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lastRenderedPageBreak/>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230F42">
        <w:rPr>
          <w:rFonts w:ascii="Museo Sans 300" w:eastAsia="Times New Roman" w:hAnsi="Museo Sans 300"/>
          <w:sz w:val="20"/>
          <w:szCs w:val="20"/>
          <w:lang w:val="es-ES" w:eastAsia="es-ES"/>
        </w:rPr>
        <w:t xml:space="preserve"> la</w:t>
      </w:r>
      <w:r w:rsidR="00273A7A">
        <w:rPr>
          <w:rFonts w:ascii="Museo Sans 300" w:eastAsia="Times New Roman" w:hAnsi="Museo Sans 300"/>
          <w:sz w:val="20"/>
          <w:szCs w:val="20"/>
          <w:lang w:val="es-ES" w:eastAsia="es-ES"/>
        </w:rPr>
        <w:t xml:space="preserve"> señora Bonilla</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2038D31E" w:rsidR="00D11108" w:rsidRPr="00230F42" w:rsidRDefault="00230F42" w:rsidP="00230F4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 xml:space="preserve">tribuidora y a la </w:t>
      </w:r>
      <w:r w:rsidR="00273A7A">
        <w:rPr>
          <w:rFonts w:ascii="Museo Sans 300" w:hAnsi="Museo Sans 300"/>
          <w:sz w:val="20"/>
          <w:szCs w:val="20"/>
        </w:rPr>
        <w:t>usuaria</w:t>
      </w:r>
      <w:r w:rsidRPr="24487779">
        <w:rPr>
          <w:rFonts w:ascii="Museo Sans 300" w:hAnsi="Museo Sans 300"/>
          <w:sz w:val="20"/>
          <w:szCs w:val="20"/>
        </w:rPr>
        <w:t xml:space="preserve"> los días </w:t>
      </w:r>
      <w:r>
        <w:rPr>
          <w:rFonts w:ascii="Museo Sans 300" w:hAnsi="Museo Sans 300"/>
          <w:sz w:val="20"/>
          <w:szCs w:val="20"/>
        </w:rPr>
        <w:t>once y doce de mayo del presente año,</w:t>
      </w:r>
      <w:r w:rsidRPr="24487779">
        <w:rPr>
          <w:rStyle w:val="normaltextrun"/>
          <w:rFonts w:ascii="Museo Sans 300" w:eastAsia="Museo Sans" w:hAnsi="Museo Sans 300" w:cs="Segoe UI"/>
          <w:sz w:val="20"/>
          <w:szCs w:val="20"/>
        </w:rPr>
        <w:t xml:space="preserve"> respectivamente,</w:t>
      </w:r>
      <w:r w:rsidR="00486CB6" w:rsidRPr="00230F42">
        <w:rPr>
          <w:rFonts w:ascii="Museo Sans 300" w:eastAsia="Museo Sans" w:hAnsi="Museo Sans 300" w:cs="Segoe UI"/>
          <w:sz w:val="20"/>
          <w:szCs w:val="20"/>
          <w:lang w:val="es-ES_tradnl"/>
        </w:rPr>
        <w:t xml:space="preserve"> por lo que el plazo</w:t>
      </w:r>
      <w:r w:rsidR="003F6BD4" w:rsidRPr="00230F42">
        <w:rPr>
          <w:rFonts w:ascii="Museo Sans 300" w:eastAsia="Museo Sans" w:hAnsi="Museo Sans 300" w:cs="Segoe UI"/>
          <w:sz w:val="20"/>
          <w:szCs w:val="20"/>
          <w:lang w:val="es-ES_tradnl"/>
        </w:rPr>
        <w:t xml:space="preserve"> otorgado a</w:t>
      </w:r>
      <w:r w:rsidR="00273A7A">
        <w:rPr>
          <w:rFonts w:ascii="Museo Sans 300" w:eastAsia="Museo Sans" w:hAnsi="Museo Sans 300" w:cs="Segoe UI"/>
          <w:sz w:val="20"/>
          <w:szCs w:val="20"/>
          <w:lang w:val="es-ES_tradnl"/>
        </w:rPr>
        <w:t xml:space="preserve"> la</w:t>
      </w:r>
      <w:r w:rsidR="003F6BD4" w:rsidRPr="00230F42">
        <w:rPr>
          <w:rFonts w:ascii="Museo Sans 300" w:eastAsia="Museo Sans" w:hAnsi="Museo Sans 300" w:cs="Segoe UI"/>
          <w:sz w:val="20"/>
          <w:szCs w:val="20"/>
          <w:lang w:val="es-ES_tradnl"/>
        </w:rPr>
        <w:t xml:space="preserve"> </w:t>
      </w:r>
      <w:r w:rsidR="004569D2" w:rsidRPr="00230F42">
        <w:rPr>
          <w:rFonts w:ascii="Museo Sans 300" w:eastAsia="Museo Sans" w:hAnsi="Museo Sans 300" w:cs="Segoe UI"/>
          <w:sz w:val="20"/>
          <w:szCs w:val="20"/>
          <w:lang w:val="es-ES_tradnl"/>
        </w:rPr>
        <w:t>usuari</w:t>
      </w:r>
      <w:r w:rsidR="00273A7A">
        <w:rPr>
          <w:rFonts w:ascii="Museo Sans 300" w:eastAsia="Museo Sans" w:hAnsi="Museo Sans 300" w:cs="Segoe UI"/>
          <w:sz w:val="20"/>
          <w:szCs w:val="20"/>
          <w:lang w:val="es-ES_tradnl"/>
        </w:rPr>
        <w:t>a</w:t>
      </w:r>
      <w:r w:rsidR="003F6BD4" w:rsidRPr="00230F42">
        <w:rPr>
          <w:rFonts w:ascii="Museo Sans 300" w:eastAsia="Museo Sans" w:hAnsi="Museo Sans 300" w:cs="Segoe UI"/>
          <w:sz w:val="20"/>
          <w:szCs w:val="20"/>
          <w:lang w:val="es-ES_tradnl"/>
        </w:rPr>
        <w:t xml:space="preserve"> venció el </w:t>
      </w:r>
      <w:r>
        <w:rPr>
          <w:rFonts w:ascii="Museo Sans 300" w:eastAsia="Museo Sans" w:hAnsi="Museo Sans 300" w:cs="Segoe UI"/>
          <w:sz w:val="20"/>
          <w:szCs w:val="20"/>
          <w:lang w:val="es-ES_tradnl"/>
        </w:rPr>
        <w:t>veintiséis</w:t>
      </w:r>
      <w:r w:rsidR="003F6BD4" w:rsidRPr="00230F42">
        <w:rPr>
          <w:rFonts w:ascii="Museo Sans 300" w:eastAsia="Museo Sans" w:hAnsi="Museo Sans 300" w:cs="Segoe UI"/>
          <w:sz w:val="20"/>
          <w:szCs w:val="20"/>
          <w:lang w:val="es-ES_tradnl"/>
        </w:rPr>
        <w:t xml:space="preserve"> de</w:t>
      </w:r>
      <w:r w:rsidR="00CC0429" w:rsidRPr="00230F42">
        <w:rPr>
          <w:rFonts w:ascii="Museo Sans 300" w:eastAsia="Museo Sans" w:hAnsi="Museo Sans 300" w:cs="Segoe UI"/>
          <w:sz w:val="20"/>
          <w:szCs w:val="20"/>
          <w:lang w:val="es-ES_tradnl"/>
        </w:rPr>
        <w:t xml:space="preserve"> </w:t>
      </w:r>
      <w:r w:rsidR="00273A7A">
        <w:rPr>
          <w:rFonts w:ascii="Museo Sans 300" w:eastAsia="Museo Sans" w:hAnsi="Museo Sans 300" w:cs="Segoe UI"/>
          <w:sz w:val="20"/>
          <w:szCs w:val="20"/>
          <w:lang w:val="es-ES_tradnl"/>
        </w:rPr>
        <w:t>mayo</w:t>
      </w:r>
      <w:r w:rsidR="00C35B77">
        <w:rPr>
          <w:rFonts w:ascii="Museo Sans 300" w:eastAsia="Museo Sans" w:hAnsi="Museo Sans 300" w:cs="Segoe UI"/>
          <w:sz w:val="20"/>
          <w:szCs w:val="20"/>
          <w:lang w:val="es-ES_tradnl"/>
        </w:rPr>
        <w:t xml:space="preserve"> de este año.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6110EC82" w14:textId="393AC03D" w:rsidR="00B15664" w:rsidRDefault="00C35B77"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BA5729">
        <w:rPr>
          <w:rFonts w:ascii="Museo Sans 300" w:hAnsi="Museo Sans 300"/>
          <w:sz w:val="20"/>
          <w:szCs w:val="20"/>
          <w:lang w:val="es-ES"/>
        </w:rPr>
        <w:t xml:space="preserve">El día </w:t>
      </w:r>
      <w:r>
        <w:rPr>
          <w:rFonts w:ascii="Museo Sans 300" w:hAnsi="Museo Sans 300"/>
          <w:sz w:val="20"/>
          <w:szCs w:val="20"/>
          <w:lang w:val="es-ES"/>
        </w:rPr>
        <w:t>trece</w:t>
      </w:r>
      <w:r w:rsidRPr="00BA5729">
        <w:rPr>
          <w:rFonts w:ascii="Museo Sans 300" w:hAnsi="Museo Sans 300"/>
          <w:sz w:val="20"/>
          <w:szCs w:val="20"/>
          <w:lang w:val="es-ES"/>
        </w:rPr>
        <w:t xml:space="preserve"> de ma</w:t>
      </w:r>
      <w:r>
        <w:rPr>
          <w:rFonts w:ascii="Museo Sans 300" w:hAnsi="Museo Sans 300"/>
          <w:sz w:val="20"/>
          <w:szCs w:val="20"/>
          <w:lang w:val="es-ES"/>
        </w:rPr>
        <w:t>yo</w:t>
      </w:r>
      <w:r w:rsidRPr="00BA5729">
        <w:rPr>
          <w:rFonts w:ascii="Museo Sans 300" w:hAnsi="Museo Sans 300"/>
          <w:sz w:val="20"/>
          <w:szCs w:val="20"/>
          <w:lang w:val="es-ES"/>
        </w:rPr>
        <w:t xml:space="preserve"> del presente año, </w:t>
      </w:r>
      <w:r>
        <w:rPr>
          <w:rFonts w:ascii="Museo Sans 300" w:hAnsi="Museo Sans 300"/>
          <w:sz w:val="20"/>
          <w:szCs w:val="20"/>
          <w:lang w:val="es-ES"/>
        </w:rPr>
        <w:t xml:space="preserve">la señora </w:t>
      </w:r>
      <w:r w:rsidR="008A778B">
        <w:rPr>
          <w:rFonts w:ascii="Museo Sans 300" w:hAnsi="Museo Sans 300"/>
          <w:sz w:val="20"/>
          <w:szCs w:val="20"/>
          <w:lang w:val="es-ES"/>
        </w:rPr>
        <w:t>XXX</w:t>
      </w:r>
      <w:r>
        <w:rPr>
          <w:rFonts w:ascii="Museo Sans 300" w:hAnsi="Museo Sans 300"/>
          <w:sz w:val="20"/>
          <w:szCs w:val="20"/>
          <w:lang w:val="es-ES"/>
        </w:rPr>
        <w:t>,</w:t>
      </w:r>
      <w:r w:rsidRPr="00BA5729">
        <w:rPr>
          <w:rFonts w:ascii="Museo Sans 300" w:hAnsi="Museo Sans 300"/>
          <w:sz w:val="20"/>
          <w:szCs w:val="20"/>
          <w:lang w:val="es-ES"/>
        </w:rPr>
        <w:t xml:space="preserve"> presentó un escrito por medio del cual manifestó</w:t>
      </w:r>
      <w:r w:rsidR="00B15664">
        <w:rPr>
          <w:rFonts w:ascii="Museo Sans 300" w:hAnsi="Museo Sans 300"/>
          <w:sz w:val="20"/>
          <w:szCs w:val="20"/>
          <w:lang w:val="es-ES"/>
        </w:rPr>
        <w:t>, entre otros argumentos, lo siguiente:</w:t>
      </w:r>
    </w:p>
    <w:p w14:paraId="2E628E76" w14:textId="77777777" w:rsidR="00B15664" w:rsidRDefault="00B15664"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4B547852" w14:textId="6E2BB2BD" w:rsidR="00925B1A" w:rsidRPr="00925B1A" w:rsidRDefault="00925B1A" w:rsidP="00925B1A">
      <w:pPr>
        <w:spacing w:after="0" w:line="240" w:lineRule="auto"/>
        <w:ind w:left="708"/>
        <w:jc w:val="both"/>
        <w:textAlignment w:val="baseline"/>
        <w:rPr>
          <w:rFonts w:ascii="Museo 300" w:eastAsia="Museo Sans" w:hAnsi="Museo 300" w:cs="Segoe UI"/>
          <w:sz w:val="16"/>
          <w:szCs w:val="16"/>
          <w:lang w:val="es-ES" w:eastAsia="es-SV"/>
        </w:rPr>
      </w:pPr>
      <w:r w:rsidRPr="00925B1A">
        <w:rPr>
          <w:rFonts w:ascii="Museo 300" w:eastAsia="Museo Sans" w:hAnsi="Museo 300" w:cs="Segoe UI"/>
          <w:sz w:val="16"/>
          <w:szCs w:val="16"/>
          <w:lang w:val="es-ES" w:eastAsia="es-SV"/>
        </w:rPr>
        <w:t>“</w:t>
      </w:r>
      <w:r w:rsidR="005E6FA7">
        <w:rPr>
          <w:rFonts w:ascii="Museo 300" w:eastAsia="Museo Sans" w:hAnsi="Museo 300" w:cs="Segoe UI"/>
          <w:sz w:val="16"/>
          <w:szCs w:val="16"/>
          <w:lang w:val="es-ES" w:eastAsia="es-SV"/>
        </w:rPr>
        <w:t>[</w:t>
      </w:r>
      <w:r w:rsidRPr="00925B1A">
        <w:rPr>
          <w:rFonts w:ascii="Museo 300" w:eastAsia="Museo Sans" w:hAnsi="Museo 300" w:cs="Segoe UI"/>
          <w:sz w:val="16"/>
          <w:szCs w:val="16"/>
          <w:lang w:val="es-ES" w:eastAsia="es-SV"/>
        </w:rPr>
        <w:t>…</w:t>
      </w:r>
      <w:r w:rsidR="005E6FA7">
        <w:rPr>
          <w:rFonts w:ascii="Museo 300" w:eastAsia="Museo Sans" w:hAnsi="Museo 300" w:cs="Segoe UI"/>
          <w:sz w:val="16"/>
          <w:szCs w:val="16"/>
          <w:lang w:val="es-ES" w:eastAsia="es-SV"/>
        </w:rPr>
        <w:t xml:space="preserve">] </w:t>
      </w:r>
      <w:r w:rsidRPr="00925B1A">
        <w:rPr>
          <w:rFonts w:ascii="Museo 300" w:eastAsia="Museo Sans" w:hAnsi="Museo 300" w:cs="Segoe UI"/>
          <w:sz w:val="16"/>
          <w:szCs w:val="16"/>
          <w:lang w:val="es-ES" w:eastAsia="es-SV"/>
        </w:rPr>
        <w:t>he expresado mi inconformidad con la resolución hecha en cuanto la aportación de los hechos expresados por</w:t>
      </w:r>
      <w:r w:rsidR="00793AD0">
        <w:rPr>
          <w:rFonts w:ascii="Museo 300" w:eastAsia="Museo Sans" w:hAnsi="Museo 300" w:cs="Segoe UI"/>
          <w:sz w:val="16"/>
          <w:szCs w:val="16"/>
          <w:lang w:val="es-ES" w:eastAsia="es-SV"/>
        </w:rPr>
        <w:t xml:space="preserve"> la sociedad</w:t>
      </w:r>
      <w:r w:rsidRPr="00925B1A">
        <w:rPr>
          <w:rFonts w:ascii="Museo 300" w:eastAsia="Museo Sans" w:hAnsi="Museo 300" w:cs="Segoe UI"/>
          <w:sz w:val="16"/>
          <w:szCs w:val="16"/>
          <w:lang w:val="es-ES" w:eastAsia="es-SV"/>
        </w:rPr>
        <w:t xml:space="preserve"> EEO, S.A. de C.V. Alegando: errónea fijación de los hechos y valoraciones de las pruebas aportadas, no dando su validez al informe técnico del CAU, en cuanto al promedio utilizado por la Distribuidora es muy superior al consumo real</w:t>
      </w:r>
      <w:r w:rsidR="005E6FA7">
        <w:rPr>
          <w:rFonts w:ascii="Museo 300" w:eastAsia="Museo Sans" w:hAnsi="Museo 300" w:cs="Segoe UI"/>
          <w:sz w:val="16"/>
          <w:szCs w:val="16"/>
          <w:lang w:val="es-ES" w:eastAsia="es-SV"/>
        </w:rPr>
        <w:t xml:space="preserve"> (…)</w:t>
      </w:r>
    </w:p>
    <w:p w14:paraId="274BE96D" w14:textId="77777777" w:rsidR="005E6FA7" w:rsidRDefault="005E6FA7" w:rsidP="00925B1A">
      <w:pPr>
        <w:spacing w:after="0" w:line="240" w:lineRule="auto"/>
        <w:ind w:left="708"/>
        <w:jc w:val="both"/>
        <w:textAlignment w:val="baseline"/>
        <w:rPr>
          <w:rFonts w:ascii="Museo 300" w:eastAsia="Museo Sans" w:hAnsi="Museo 300" w:cs="Segoe UI"/>
          <w:sz w:val="16"/>
          <w:szCs w:val="16"/>
          <w:lang w:val="es-ES" w:eastAsia="es-SV"/>
        </w:rPr>
      </w:pPr>
    </w:p>
    <w:p w14:paraId="5BFBAA27" w14:textId="31BA93C0" w:rsidR="005E6FA7" w:rsidRPr="00925B1A" w:rsidRDefault="005E6FA7" w:rsidP="005E6FA7">
      <w:pPr>
        <w:spacing w:after="0" w:line="240" w:lineRule="auto"/>
        <w:ind w:left="708"/>
        <w:jc w:val="both"/>
        <w:textAlignment w:val="baseline"/>
        <w:rPr>
          <w:rFonts w:ascii="Museo 300" w:eastAsia="Museo Sans" w:hAnsi="Museo 300" w:cs="Segoe UI"/>
          <w:sz w:val="16"/>
          <w:szCs w:val="16"/>
          <w:lang w:val="es-ES" w:eastAsia="es-SV"/>
        </w:rPr>
      </w:pPr>
      <w:r>
        <w:rPr>
          <w:rFonts w:ascii="Museo 300" w:eastAsia="Museo Sans" w:hAnsi="Museo 300" w:cs="Segoe UI"/>
          <w:sz w:val="16"/>
          <w:szCs w:val="16"/>
          <w:lang w:val="es-ES" w:eastAsia="es-SV"/>
        </w:rPr>
        <w:t>(…</w:t>
      </w:r>
      <w:r w:rsidR="00925B1A" w:rsidRPr="00925B1A">
        <w:rPr>
          <w:rFonts w:ascii="Museo 300" w:eastAsia="Museo Sans" w:hAnsi="Museo 300" w:cs="Segoe UI"/>
          <w:sz w:val="16"/>
          <w:szCs w:val="16"/>
          <w:lang w:val="es-ES" w:eastAsia="es-SV"/>
        </w:rPr>
        <w:t>) no es cierto que se haya ocultado evidencia, ya que los aparatos</w:t>
      </w:r>
      <w:r w:rsidR="00925B1A">
        <w:rPr>
          <w:rFonts w:ascii="Museo 300" w:eastAsia="Museo Sans" w:hAnsi="Museo 300" w:cs="Segoe UI"/>
          <w:sz w:val="16"/>
          <w:szCs w:val="16"/>
          <w:lang w:val="es-ES" w:eastAsia="es-SV"/>
        </w:rPr>
        <w:t xml:space="preserve"> que han encontrado cuando fueron a inspección, son los que siempre se han tenido y se tienen a la fecha, y que no se han ocultado conectores, o cargas alimentadas de la misma línea tal como lo expresa la Distribuidora</w:t>
      </w:r>
      <w:r>
        <w:rPr>
          <w:rFonts w:ascii="Museo 300" w:eastAsia="Museo Sans" w:hAnsi="Museo 300" w:cs="Segoe UI"/>
          <w:sz w:val="16"/>
          <w:szCs w:val="16"/>
          <w:lang w:val="es-ES" w:eastAsia="es-SV"/>
        </w:rPr>
        <w:t xml:space="preserve"> (…)</w:t>
      </w:r>
    </w:p>
    <w:p w14:paraId="22BDCA4C" w14:textId="79D66A57" w:rsidR="00925B1A" w:rsidRDefault="00925B1A" w:rsidP="00925B1A">
      <w:pPr>
        <w:spacing w:after="0" w:line="240" w:lineRule="auto"/>
        <w:ind w:left="708"/>
        <w:jc w:val="both"/>
        <w:textAlignment w:val="baseline"/>
        <w:rPr>
          <w:rFonts w:ascii="Museo 300" w:eastAsia="Museo Sans" w:hAnsi="Museo 300" w:cs="Segoe UI"/>
          <w:sz w:val="16"/>
          <w:szCs w:val="16"/>
          <w:lang w:val="es-ES" w:eastAsia="es-SV"/>
        </w:rPr>
      </w:pPr>
    </w:p>
    <w:p w14:paraId="6D3E6FC6" w14:textId="74E0306C" w:rsidR="006B3965" w:rsidRDefault="00925B1A" w:rsidP="00925B1A">
      <w:pPr>
        <w:spacing w:after="0" w:line="240" w:lineRule="auto"/>
        <w:ind w:left="708"/>
        <w:jc w:val="both"/>
        <w:textAlignment w:val="baseline"/>
        <w:rPr>
          <w:rFonts w:ascii="Museo 300" w:eastAsia="Museo Sans" w:hAnsi="Museo 300" w:cs="Segoe UI"/>
          <w:sz w:val="16"/>
          <w:szCs w:val="16"/>
          <w:lang w:val="es-ES" w:eastAsia="es-SV"/>
        </w:rPr>
      </w:pPr>
      <w:r>
        <w:rPr>
          <w:rFonts w:ascii="Museo 300" w:eastAsia="Museo Sans" w:hAnsi="Museo 300" w:cs="Segoe UI"/>
          <w:sz w:val="16"/>
          <w:szCs w:val="16"/>
          <w:lang w:val="es-ES" w:eastAsia="es-SV"/>
        </w:rPr>
        <w:t>(…) el día 21 de septiembre de 2021, se presentaron empleados de la Sociedad EEO S.A. de C.V, a eso de las 3 horas, siendo un horario no establecido para hacer supervisiones de contadores mucho menos de revisar aparatos eléctricos de una viviend</w:t>
      </w:r>
      <w:r w:rsidR="00432B24">
        <w:rPr>
          <w:rFonts w:ascii="Museo 300" w:eastAsia="Museo Sans" w:hAnsi="Museo 300" w:cs="Segoe UI"/>
          <w:sz w:val="16"/>
          <w:szCs w:val="16"/>
          <w:lang w:val="es-ES" w:eastAsia="es-SV"/>
        </w:rPr>
        <w:t xml:space="preserve">a, (…) manifestando ellos en su informe que en la vivienda estaba cerrada, por supuesto estaba cerrada por ser un horario de descanso, para toda la familia. Y que si tuve conocimiento de su visita (…) por el vecino que al amanecer me manifestó que habían entrado a supervisar el contador y los cables de distribución </w:t>
      </w:r>
      <w:r w:rsidR="006B3965">
        <w:rPr>
          <w:rFonts w:ascii="Museo 300" w:eastAsia="Museo Sans" w:hAnsi="Museo 300" w:cs="Segoe UI"/>
          <w:sz w:val="16"/>
          <w:szCs w:val="16"/>
          <w:lang w:val="es-ES" w:eastAsia="es-SV"/>
        </w:rPr>
        <w:t>(…)</w:t>
      </w:r>
    </w:p>
    <w:p w14:paraId="1E1FDDAF" w14:textId="77777777" w:rsidR="005E6FA7" w:rsidRDefault="005E6FA7" w:rsidP="00925B1A">
      <w:pPr>
        <w:spacing w:after="0" w:line="240" w:lineRule="auto"/>
        <w:ind w:left="708"/>
        <w:jc w:val="both"/>
        <w:textAlignment w:val="baseline"/>
        <w:rPr>
          <w:rFonts w:ascii="Museo 300" w:eastAsia="Museo Sans" w:hAnsi="Museo 300" w:cs="Segoe UI"/>
          <w:sz w:val="16"/>
          <w:szCs w:val="16"/>
          <w:lang w:val="es-ES" w:eastAsia="es-SV"/>
        </w:rPr>
      </w:pPr>
    </w:p>
    <w:p w14:paraId="6425748B" w14:textId="634470DE" w:rsidR="00925B1A" w:rsidRPr="00925B1A" w:rsidRDefault="001C41E0" w:rsidP="001C41E0">
      <w:pPr>
        <w:spacing w:after="0" w:line="240" w:lineRule="auto"/>
        <w:ind w:left="708"/>
        <w:jc w:val="both"/>
        <w:textAlignment w:val="baseline"/>
        <w:rPr>
          <w:rFonts w:ascii="Museo 300" w:eastAsia="Museo Sans" w:hAnsi="Museo 300" w:cs="Segoe UI"/>
          <w:sz w:val="16"/>
          <w:szCs w:val="16"/>
          <w:lang w:val="es-ES" w:eastAsia="es-SV"/>
        </w:rPr>
      </w:pPr>
      <w:r>
        <w:rPr>
          <w:rFonts w:ascii="Museo 300" w:eastAsia="Museo Sans" w:hAnsi="Museo 300" w:cs="Segoe UI"/>
          <w:sz w:val="16"/>
          <w:szCs w:val="16"/>
          <w:lang w:val="es-ES" w:eastAsia="es-SV"/>
        </w:rPr>
        <w:t xml:space="preserve">(…) </w:t>
      </w:r>
      <w:r w:rsidR="006B3965">
        <w:rPr>
          <w:rFonts w:ascii="Museo 300" w:eastAsia="Museo Sans" w:hAnsi="Museo 300" w:cs="Segoe UI"/>
          <w:sz w:val="16"/>
          <w:szCs w:val="16"/>
          <w:lang w:val="es-ES" w:eastAsia="es-SV"/>
        </w:rPr>
        <w:t xml:space="preserve">Que no me niego a pagar el consumo de energía calculado y establecido por el CAU, de la SIGET </w:t>
      </w:r>
      <w:r w:rsidR="005E6FA7">
        <w:rPr>
          <w:rFonts w:ascii="Museo 300" w:eastAsia="Museo Sans" w:hAnsi="Museo 300" w:cs="Segoe UI"/>
          <w:sz w:val="16"/>
          <w:szCs w:val="16"/>
          <w:lang w:val="es-ES" w:eastAsia="es-SV"/>
        </w:rPr>
        <w:t>[</w:t>
      </w:r>
      <w:r w:rsidR="00925B1A" w:rsidRPr="00925B1A">
        <w:rPr>
          <w:rFonts w:ascii="Museo 300" w:eastAsia="Museo Sans" w:hAnsi="Museo 300" w:cs="Segoe UI"/>
          <w:sz w:val="16"/>
          <w:szCs w:val="16"/>
          <w:lang w:val="es-ES" w:eastAsia="es-SV"/>
        </w:rPr>
        <w:t>…</w:t>
      </w:r>
      <w:r w:rsidR="005E6FA7">
        <w:rPr>
          <w:rFonts w:ascii="Museo 300" w:eastAsia="Museo Sans" w:hAnsi="Museo 300" w:cs="Segoe UI"/>
          <w:sz w:val="16"/>
          <w:szCs w:val="16"/>
          <w:lang w:val="es-ES" w:eastAsia="es-SV"/>
        </w:rPr>
        <w:t>]</w:t>
      </w:r>
      <w:r w:rsidR="00925B1A" w:rsidRPr="00925B1A">
        <w:rPr>
          <w:rFonts w:ascii="Museo 300" w:eastAsia="Museo Sans" w:hAnsi="Museo 300" w:cs="Segoe UI"/>
          <w:sz w:val="16"/>
          <w:szCs w:val="16"/>
          <w:lang w:val="es-ES" w:eastAsia="es-SV"/>
        </w:rPr>
        <w:t>”.</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223CB316"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6B3965">
        <w:rPr>
          <w:rFonts w:ascii="Museo Sans 300" w:eastAsia="Arial" w:hAnsi="Museo Sans 300" w:cs="Arial"/>
          <w:sz w:val="20"/>
          <w:szCs w:val="20"/>
          <w:lang w:val="es-ES_tradnl" w:eastAsia="es-SV"/>
        </w:rPr>
        <w:t>ocho</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junio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8A778B">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1D96105E"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 xml:space="preserve">1. </w:t>
      </w:r>
      <w:r w:rsidR="008D3B33">
        <w:rPr>
          <w:rFonts w:ascii="Museo 300" w:hAnsi="Museo 300" w:cs="Arial"/>
          <w:b/>
          <w:bCs/>
          <w:sz w:val="16"/>
          <w:szCs w:val="16"/>
        </w:rPr>
        <w:t>Comentario del informe técnico</w:t>
      </w:r>
      <w:r w:rsidR="00416290">
        <w:rPr>
          <w:rFonts w:ascii="Museo 300" w:hAnsi="Museo 300" w:cs="Arial"/>
          <w:b/>
          <w:bCs/>
          <w:sz w:val="16"/>
          <w:szCs w:val="16"/>
        </w:rPr>
        <w:t xml:space="preserve"> </w:t>
      </w:r>
      <w:r w:rsidR="008A778B">
        <w:rPr>
          <w:rFonts w:ascii="Museo 300" w:hAnsi="Museo 300" w:cs="Arial"/>
          <w:b/>
          <w:bCs/>
          <w:sz w:val="16"/>
          <w:szCs w:val="16"/>
        </w:rPr>
        <w:t>XXX</w:t>
      </w:r>
      <w:r w:rsidR="00DE35AC" w:rsidRPr="00DE35AC">
        <w:rPr>
          <w:rFonts w:ascii="Museo 300" w:hAnsi="Museo 300" w:cs="Arial"/>
          <w:b/>
          <w:bCs/>
          <w:sz w:val="16"/>
          <w:szCs w:val="16"/>
        </w:rPr>
        <w:t xml:space="preserve">: </w:t>
      </w:r>
    </w:p>
    <w:p w14:paraId="648D9915" w14:textId="4F3C285C" w:rsidR="00DE35AC" w:rsidRPr="00B62F1A" w:rsidRDefault="00DE35AC" w:rsidP="00B62F1A">
      <w:pPr>
        <w:pStyle w:val="Prrafodelista"/>
        <w:spacing w:after="0" w:line="240" w:lineRule="auto"/>
        <w:ind w:left="1211" w:right="425"/>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 </w:t>
      </w:r>
      <w:r w:rsidR="008D3B33">
        <w:rPr>
          <w:rStyle w:val="normaltextrun"/>
          <w:rFonts w:ascii="Museo 300" w:hAnsi="Museo 300" w:cs="Segoe UI"/>
          <w:i/>
          <w:iCs/>
          <w:sz w:val="16"/>
          <w:szCs w:val="16"/>
        </w:rPr>
        <w:t>Con base en las fotografías remitidas por la distribuidora, se hacen las siguientes valoraciones</w:t>
      </w:r>
      <w:r w:rsidRPr="00B62F1A">
        <w:rPr>
          <w:rStyle w:val="normaltextrun"/>
          <w:rFonts w:ascii="Museo 300" w:hAnsi="Museo 300" w:cs="Segoe UI"/>
          <w:i/>
          <w:iCs/>
          <w:sz w:val="16"/>
          <w:szCs w:val="16"/>
        </w:rPr>
        <w:t>:</w:t>
      </w:r>
    </w:p>
    <w:p w14:paraId="2344EA7E" w14:textId="4B399656" w:rsidR="003627A8" w:rsidRDefault="00DE35AC" w:rsidP="009E08BC">
      <w:pPr>
        <w:pStyle w:val="Prrafodelista"/>
        <w:widowControl w:val="0"/>
        <w:numPr>
          <w:ilvl w:val="0"/>
          <w:numId w:val="9"/>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DE35AC">
        <w:rPr>
          <w:rStyle w:val="normaltextrun"/>
          <w:rFonts w:ascii="Museo 300" w:hAnsi="Museo 300" w:cs="Segoe UI"/>
          <w:i/>
          <w:iCs/>
          <w:sz w:val="16"/>
          <w:szCs w:val="16"/>
        </w:rPr>
        <w:t xml:space="preserve">La distribuidora </w:t>
      </w:r>
      <w:r w:rsidR="008D3B33">
        <w:rPr>
          <w:rStyle w:val="normaltextrun"/>
          <w:rFonts w:ascii="Museo 300" w:hAnsi="Museo 300" w:cs="Segoe UI"/>
          <w:i/>
          <w:iCs/>
          <w:sz w:val="16"/>
          <w:szCs w:val="16"/>
        </w:rPr>
        <w:t xml:space="preserve">presentó a esta superintendencia dos fotografías de la medición de intensidad de corriente una con </w:t>
      </w:r>
      <w:proofErr w:type="gramStart"/>
      <w:r w:rsidR="008D3B33">
        <w:rPr>
          <w:rStyle w:val="normaltextrun"/>
          <w:rFonts w:ascii="Museo 300" w:hAnsi="Museo 300" w:cs="Segoe UI"/>
          <w:i/>
          <w:iCs/>
          <w:sz w:val="16"/>
          <w:szCs w:val="16"/>
        </w:rPr>
        <w:t>una valor</w:t>
      </w:r>
      <w:proofErr w:type="gramEnd"/>
      <w:r w:rsidR="008D3B33">
        <w:rPr>
          <w:rStyle w:val="normaltextrun"/>
          <w:rFonts w:ascii="Museo 300" w:hAnsi="Museo 300" w:cs="Segoe UI"/>
          <w:i/>
          <w:iCs/>
          <w:sz w:val="16"/>
          <w:szCs w:val="16"/>
        </w:rPr>
        <w:t xml:space="preserve"> de 13.24 amperios y la otra con 21.44 amperios.</w:t>
      </w:r>
    </w:p>
    <w:p w14:paraId="4EE99474" w14:textId="4694A271" w:rsidR="004F0D94" w:rsidRDefault="008D3B33" w:rsidP="009E08BC">
      <w:pPr>
        <w:pStyle w:val="Prrafodelista"/>
        <w:widowControl w:val="0"/>
        <w:numPr>
          <w:ilvl w:val="0"/>
          <w:numId w:val="9"/>
        </w:numPr>
        <w:tabs>
          <w:tab w:val="left" w:pos="1315"/>
        </w:tabs>
        <w:autoSpaceDE w:val="0"/>
        <w:autoSpaceDN w:val="0"/>
        <w:spacing w:after="0" w:line="254" w:lineRule="auto"/>
        <w:ind w:right="425" w:hanging="361"/>
        <w:contextualSpacing w:val="0"/>
        <w:jc w:val="both"/>
        <w:rPr>
          <w:rStyle w:val="normaltextrun"/>
          <w:rFonts w:ascii="Museo 300" w:hAnsi="Museo 300" w:cs="Segoe UI"/>
          <w:i/>
          <w:iCs/>
          <w:sz w:val="16"/>
          <w:szCs w:val="16"/>
        </w:rPr>
      </w:pPr>
      <w:r w:rsidRPr="000D7FAA">
        <w:rPr>
          <w:rStyle w:val="normaltextrun"/>
          <w:rFonts w:ascii="Museo 300" w:hAnsi="Museo 300" w:cs="Segoe UI"/>
          <w:i/>
          <w:iCs/>
          <w:sz w:val="16"/>
          <w:szCs w:val="16"/>
        </w:rPr>
        <w:t xml:space="preserve">EEO </w:t>
      </w:r>
      <w:r w:rsidR="000D7FAA" w:rsidRPr="000D7FAA">
        <w:rPr>
          <w:rStyle w:val="normaltextrun"/>
          <w:rFonts w:ascii="Museo 300" w:hAnsi="Museo 300" w:cs="Segoe UI"/>
          <w:i/>
          <w:iCs/>
          <w:sz w:val="16"/>
          <w:szCs w:val="16"/>
        </w:rPr>
        <w:t>seleccionó el valor mayor de la corriente medida para el cálculo de ENR;</w:t>
      </w:r>
      <w:r w:rsidR="000D7FAA">
        <w:rPr>
          <w:rStyle w:val="normaltextrun"/>
          <w:rFonts w:ascii="Museo 300" w:hAnsi="Museo 300" w:cs="Segoe UI"/>
          <w:b/>
          <w:bCs/>
          <w:i/>
          <w:iCs/>
          <w:sz w:val="16"/>
          <w:szCs w:val="16"/>
        </w:rPr>
        <w:t xml:space="preserve"> sin embargo, no presentó evidencia para sustentar cual equipo eléctrico presentaba este consumo, dicha corriente no es congruente con la corriente máxima verificada por el CAU</w:t>
      </w:r>
      <w:r w:rsidR="00D2583D">
        <w:rPr>
          <w:rStyle w:val="normaltextrun"/>
          <w:rFonts w:ascii="Museo 300" w:hAnsi="Museo 300" w:cs="Segoe UI"/>
          <w:b/>
          <w:bCs/>
          <w:i/>
          <w:iCs/>
          <w:sz w:val="16"/>
          <w:szCs w:val="16"/>
        </w:rPr>
        <w:t xml:space="preserve">. </w:t>
      </w:r>
      <w:r w:rsidR="00DE35AC" w:rsidRPr="003627A8">
        <w:rPr>
          <w:rStyle w:val="normaltextrun"/>
          <w:rFonts w:ascii="Museo 300" w:hAnsi="Museo 300" w:cs="Segoe UI"/>
          <w:i/>
          <w:iCs/>
          <w:sz w:val="16"/>
          <w:szCs w:val="16"/>
        </w:rPr>
        <w:t>(…)</w:t>
      </w:r>
    </w:p>
    <w:p w14:paraId="568C7C66" w14:textId="77777777" w:rsidR="00C9378A" w:rsidRPr="00C9378A" w:rsidRDefault="00C9378A" w:rsidP="00C9378A">
      <w:pPr>
        <w:pStyle w:val="Prrafodelista"/>
        <w:widowControl w:val="0"/>
        <w:tabs>
          <w:tab w:val="left" w:pos="1315"/>
        </w:tabs>
        <w:autoSpaceDE w:val="0"/>
        <w:autoSpaceDN w:val="0"/>
        <w:spacing w:after="0" w:line="254" w:lineRule="auto"/>
        <w:ind w:left="1676" w:right="425"/>
        <w:contextualSpacing w:val="0"/>
        <w:jc w:val="both"/>
        <w:rPr>
          <w:rFonts w:ascii="Museo 300" w:hAnsi="Museo 300" w:cs="Segoe UI"/>
          <w:i/>
          <w:iCs/>
          <w:sz w:val="16"/>
          <w:szCs w:val="16"/>
        </w:rPr>
      </w:pPr>
    </w:p>
    <w:p w14:paraId="306E4DE2" w14:textId="09564D8B"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035A53D5" w14:textId="4E8E6A6D" w:rsidR="00DE35AC" w:rsidRPr="00081CEC" w:rsidRDefault="006D2809" w:rsidP="00081CEC">
      <w:pPr>
        <w:pStyle w:val="Prrafodelista"/>
        <w:ind w:left="1211" w:right="425"/>
        <w:jc w:val="both"/>
        <w:rPr>
          <w:rStyle w:val="normaltextrun"/>
          <w:rFonts w:ascii="Museo 300" w:eastAsia="SimSun" w:hAnsi="Museo 300" w:cs="Segoe UI"/>
          <w:spacing w:val="-5"/>
          <w:sz w:val="16"/>
          <w:szCs w:val="16"/>
          <w:lang w:val="es-ES"/>
        </w:rPr>
      </w:pPr>
      <w:r w:rsidRPr="006D2809">
        <w:rPr>
          <w:rFonts w:ascii="Museo 300" w:eastAsia="SimSun" w:hAnsi="Museo 300" w:cs="Segoe UI"/>
          <w:spacing w:val="-5"/>
          <w:sz w:val="16"/>
          <w:szCs w:val="16"/>
          <w:lang w:val="es-ES"/>
        </w:rPr>
        <w:t>En relación con el comentario anterior detallado en el informe técnico del CAU, específicamente el marcado en negrita no es un análisis de una situación real de una condición irregular encontrada en un suministro eléctrico debido a lo siguiente: 1. Cuando el personal técnico realiza una inspección a un suministro eléctrico con indicios de la existencia de una condición irregular, la tarea consiste en documentar la existencia de esta (imágenes de la línea directa), luego medir la intensidad de la corriente que por ella fluye en ese momento a fin de obtener la corriente que en esa condición está siendo utilizada y no registrada por el medidor. En la mayoría de los casos (si no es que en todos), el usuario final que ha cometido un fraude, no permite el ingreso a la vivienda al personal de la Distribuidora para poder identificar los equipos que están siendo alimentados por dicha línea directa; 2. Que el CAU compare la intensidad de la corriente medida en una línea directa con la verificada por el técnico del CAU en la visita posterior (</w:t>
      </w:r>
      <w:r w:rsidRPr="006D2809">
        <w:rPr>
          <w:rFonts w:ascii="Museo 300" w:eastAsia="SimSun" w:hAnsi="Museo 300" w:cs="Segoe UI"/>
          <w:b/>
          <w:bCs/>
          <w:spacing w:val="-5"/>
          <w:sz w:val="16"/>
          <w:szCs w:val="16"/>
          <w:lang w:val="es-ES"/>
        </w:rPr>
        <w:t>dicha corriente no es congruente con la corriente máxima verificada por el CAU</w:t>
      </w:r>
      <w:r w:rsidRPr="006D2809">
        <w:rPr>
          <w:rFonts w:ascii="Museo 300" w:eastAsia="SimSun" w:hAnsi="Museo 300" w:cs="Segoe UI"/>
          <w:spacing w:val="-5"/>
          <w:sz w:val="16"/>
          <w:szCs w:val="16"/>
          <w:lang w:val="es-ES"/>
        </w:rPr>
        <w:t xml:space="preserve">) para desvirtuar la evidencia obtenida por la Distribuidora, es un análisis totalmente erróneo, ya que hacer esta valoración es </w:t>
      </w:r>
      <w:r w:rsidRPr="006D2809">
        <w:rPr>
          <w:rFonts w:ascii="Museo 300" w:eastAsia="SimSun" w:hAnsi="Museo 300" w:cs="Segoe UI"/>
          <w:b/>
          <w:bCs/>
          <w:spacing w:val="-5"/>
          <w:sz w:val="16"/>
          <w:szCs w:val="16"/>
          <w:u w:val="single"/>
          <w:lang w:val="es-ES"/>
        </w:rPr>
        <w:t>asegurar</w:t>
      </w:r>
      <w:r w:rsidRPr="006D2809">
        <w:rPr>
          <w:rFonts w:ascii="Museo 300" w:eastAsia="SimSun" w:hAnsi="Museo 300" w:cs="Segoe UI"/>
          <w:spacing w:val="-5"/>
          <w:sz w:val="16"/>
          <w:szCs w:val="16"/>
          <w:lang w:val="es-ES"/>
        </w:rPr>
        <w:t xml:space="preserve"> que el usuario final no ha modificado ni retirado las cargas que tenía conectadas en la línea directa al momento de la visita por el personal técnico de la Distribuidora, y esperar a que el CAU le realizara la visita para mostrarlas. Como suele suceder en estos casos, posterior a ser descubierta una condición irregular, el usuario final retirar el </w:t>
      </w:r>
      <w:proofErr w:type="spellStart"/>
      <w:r w:rsidRPr="006D2809">
        <w:rPr>
          <w:rFonts w:ascii="Museo 300" w:eastAsia="SimSun" w:hAnsi="Museo 300" w:cs="Segoe UI"/>
          <w:spacing w:val="-5"/>
          <w:sz w:val="16"/>
          <w:szCs w:val="16"/>
          <w:lang w:val="es-ES"/>
        </w:rPr>
        <w:t>ó</w:t>
      </w:r>
      <w:proofErr w:type="spellEnd"/>
      <w:r w:rsidRPr="006D2809">
        <w:rPr>
          <w:rFonts w:ascii="Museo 300" w:eastAsia="SimSun" w:hAnsi="Museo 300" w:cs="Segoe UI"/>
          <w:spacing w:val="-5"/>
          <w:sz w:val="16"/>
          <w:szCs w:val="16"/>
          <w:lang w:val="es-ES"/>
        </w:rPr>
        <w:t xml:space="preserve"> los equipos que conectaba de forma directa al momento de interponer la </w:t>
      </w:r>
      <w:r w:rsidRPr="006D2809">
        <w:rPr>
          <w:rFonts w:ascii="Museo 300" w:eastAsia="SimSun" w:hAnsi="Museo 300" w:cs="Segoe UI"/>
          <w:spacing w:val="-5"/>
          <w:sz w:val="16"/>
          <w:szCs w:val="16"/>
          <w:lang w:val="es-ES"/>
        </w:rPr>
        <w:lastRenderedPageBreak/>
        <w:t>denuncia en la SIGET, sabedor que será visitado por un técnico de dicha institución. No debería el CAU comparar las condiciones encontradas en el suministro en la visita realizada por ellos con lo encontrado por el personal de la Distribuidora al momento de descubrir una condición irregular, para determinar y resolver sobre los equipos eléctricos instalados en un inmueble y a partir de ello desvirtuar la evidencia obtenida válidamente por la Distribuidora.</w:t>
      </w:r>
      <w:r w:rsidR="00081CEC">
        <w:rPr>
          <w:rFonts w:ascii="Museo 300" w:eastAsia="SimSun" w:hAnsi="Museo 300" w:cs="Segoe UI"/>
          <w:spacing w:val="-5"/>
          <w:sz w:val="16"/>
          <w:szCs w:val="16"/>
          <w:lang w:val="es-ES"/>
        </w:rPr>
        <w:t xml:space="preserve"> </w:t>
      </w:r>
      <w:r w:rsidR="00DE35AC" w:rsidRPr="00081CEC">
        <w:rPr>
          <w:rStyle w:val="normaltextrun"/>
          <w:rFonts w:ascii="Museo 300" w:hAnsi="Museo 300" w:cs="Segoe UI"/>
          <w:i/>
          <w:iCs/>
          <w:sz w:val="16"/>
          <w:szCs w:val="16"/>
        </w:rPr>
        <w:t>[…]”</w:t>
      </w:r>
    </w:p>
    <w:p w14:paraId="7258B747" w14:textId="77777777"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50B91D01" w14:textId="77777777" w:rsidR="00725F67" w:rsidRPr="00725F67" w:rsidRDefault="00725F67" w:rsidP="00725F67">
      <w:pPr>
        <w:pStyle w:val="Textoindependiente"/>
        <w:spacing w:after="220" w:line="180" w:lineRule="atLeast"/>
        <w:ind w:left="720"/>
        <w:jc w:val="both"/>
        <w:rPr>
          <w:rFonts w:ascii="Museo 300" w:eastAsia="SimSun" w:hAnsi="Museo 300" w:cs="Arial"/>
          <w:spacing w:val="-5"/>
          <w:sz w:val="16"/>
          <w:szCs w:val="16"/>
          <w:lang w:val="es-ES"/>
        </w:rPr>
      </w:pPr>
      <w:r w:rsidRPr="00725F67">
        <w:rPr>
          <w:rFonts w:ascii="Museo 300" w:eastAsia="SimSun" w:hAnsi="Museo 300" w:cs="Arial"/>
          <w:spacing w:val="-5"/>
          <w:sz w:val="16"/>
          <w:szCs w:val="16"/>
          <w:lang w:val="es-ES"/>
        </w:rPr>
        <w:t>Respecto al argumento anterior es preciso determinar lo siguiente:</w:t>
      </w:r>
    </w:p>
    <w:p w14:paraId="689A91BE" w14:textId="77777777" w:rsidR="00725F67" w:rsidRPr="00725F67" w:rsidRDefault="00725F67" w:rsidP="00725F67">
      <w:pPr>
        <w:pStyle w:val="Textoindependiente"/>
        <w:spacing w:after="220" w:line="180" w:lineRule="atLeast"/>
        <w:ind w:left="720"/>
        <w:jc w:val="both"/>
        <w:rPr>
          <w:rFonts w:ascii="Museo 300" w:eastAsia="SimSun" w:hAnsi="Museo 300"/>
          <w:spacing w:val="-5"/>
          <w:sz w:val="16"/>
          <w:szCs w:val="16"/>
        </w:rPr>
      </w:pPr>
      <w:r w:rsidRPr="00725F67">
        <w:rPr>
          <w:rFonts w:ascii="Museo 300" w:eastAsia="SimSun" w:hAnsi="Museo 300"/>
          <w:spacing w:val="-5"/>
          <w:sz w:val="16"/>
          <w:szCs w:val="16"/>
        </w:rPr>
        <w:t xml:space="preserve">El actuar de la empresa distribuidora durante la realización de la inspección técnica en la cual se detecta una condición irregular, deben ir enfocado en obtener y recabar la mayor cantidad de evidencias posibles que le permita fundamentar técnicamente el cobro relacionado a una energía consumida y no registrada apegado a un dato real. </w:t>
      </w:r>
    </w:p>
    <w:p w14:paraId="67264C51" w14:textId="77777777" w:rsidR="00993A12" w:rsidRDefault="00725F67" w:rsidP="00725F67">
      <w:pPr>
        <w:pStyle w:val="Textoindependiente"/>
        <w:spacing w:after="220" w:line="180" w:lineRule="atLeast"/>
        <w:ind w:left="720"/>
        <w:jc w:val="both"/>
        <w:rPr>
          <w:rFonts w:ascii="Museo 300" w:eastAsia="Times New Roman" w:hAnsi="Museo 300"/>
          <w:spacing w:val="-5"/>
          <w:sz w:val="16"/>
          <w:szCs w:val="16"/>
          <w:lang w:val="es-ES" w:eastAsia="es-SV"/>
        </w:rPr>
      </w:pPr>
      <w:r w:rsidRPr="00725F67">
        <w:rPr>
          <w:rFonts w:ascii="Museo 300" w:eastAsia="Times New Roman" w:hAnsi="Museo 300"/>
          <w:spacing w:val="-5"/>
          <w:sz w:val="16"/>
          <w:szCs w:val="16"/>
          <w:lang w:val="es-ES" w:eastAsia="es-SV"/>
        </w:rPr>
        <w:t xml:space="preserve">En ese orden, la tarea de EEO durante la inspección </w:t>
      </w:r>
      <w:r>
        <w:rPr>
          <w:rFonts w:ascii="Museo 300" w:eastAsia="Times New Roman" w:hAnsi="Museo 300"/>
          <w:spacing w:val="-5"/>
          <w:sz w:val="16"/>
          <w:szCs w:val="16"/>
          <w:lang w:val="es-ES" w:eastAsia="es-SV"/>
        </w:rPr>
        <w:t>(…)</w:t>
      </w:r>
      <w:r w:rsidRPr="00725F67">
        <w:rPr>
          <w:rFonts w:ascii="Museo 300" w:eastAsia="Times New Roman" w:hAnsi="Museo 300"/>
          <w:spacing w:val="-5"/>
          <w:sz w:val="16"/>
          <w:szCs w:val="16"/>
          <w:lang w:val="es-ES" w:eastAsia="es-SV"/>
        </w:rPr>
        <w:t xml:space="preserve"> </w:t>
      </w:r>
      <w:r w:rsidR="00993A12" w:rsidRPr="00993A12">
        <w:rPr>
          <w:rFonts w:ascii="Museo 300" w:eastAsia="Times New Roman" w:hAnsi="Museo 300"/>
          <w:spacing w:val="-5"/>
          <w:sz w:val="16"/>
          <w:szCs w:val="16"/>
          <w:lang w:val="es-ES" w:eastAsia="es-SV"/>
        </w:rPr>
        <w:t xml:space="preserve">tiene el peso y la obligación de recabar las suficientes pruebas para sustentar el cobro que pretende efectuar al suministro del usuario final. Por tanto, el momento idóneo que tiene la distribuidora para determinar los equipos eléctricos que están conectados a una línea directa es cuando se realiza dicho hallazgo, y así poder fundamentar técnicamente el tiempo de uso utilizado para el cálculo de ENR.  </w:t>
      </w:r>
    </w:p>
    <w:p w14:paraId="47D22637" w14:textId="661B5578" w:rsidR="00725F67" w:rsidRDefault="00725F67" w:rsidP="00725F67">
      <w:pPr>
        <w:pStyle w:val="Textoindependiente"/>
        <w:spacing w:after="220" w:line="180" w:lineRule="atLeast"/>
        <w:ind w:left="720"/>
        <w:jc w:val="both"/>
        <w:rPr>
          <w:rFonts w:ascii="Museo 300" w:eastAsia="SimSun" w:hAnsi="Museo 300"/>
          <w:spacing w:val="-5"/>
          <w:sz w:val="16"/>
          <w:szCs w:val="16"/>
        </w:rPr>
      </w:pPr>
      <w:r w:rsidRPr="00725F67">
        <w:rPr>
          <w:rFonts w:ascii="Museo 300" w:eastAsia="SimSun" w:hAnsi="Museo 300"/>
          <w:spacing w:val="-5"/>
          <w:sz w:val="16"/>
          <w:szCs w:val="16"/>
        </w:rPr>
        <w:t xml:space="preserve">Por otra parte, con referencia a lo planteado por EEO relacionado al hecho que, en la mayoría de los casos, el usuario final que ha cometido una condición irregular no permite el ingreso a la vivienda al personal de la Distribuidora para poder identificar los equipos que están siendo alimentados por una línea directa como la analizada en el </w:t>
      </w:r>
      <w:r w:rsidR="008A778B">
        <w:rPr>
          <w:rFonts w:ascii="Museo 300" w:eastAsia="SimSun" w:hAnsi="Museo 300"/>
          <w:spacing w:val="-5"/>
          <w:sz w:val="16"/>
          <w:szCs w:val="16"/>
        </w:rPr>
        <w:t>XXX</w:t>
      </w:r>
      <w:r w:rsidRPr="00725F67">
        <w:rPr>
          <w:rFonts w:ascii="Museo 300" w:eastAsia="SimSun" w:hAnsi="Museo 300"/>
          <w:spacing w:val="-5"/>
          <w:sz w:val="16"/>
          <w:szCs w:val="16"/>
        </w:rPr>
        <w:t xml:space="preserve">, el CAU plantea lo siguiente: </w:t>
      </w:r>
    </w:p>
    <w:p w14:paraId="30E73209" w14:textId="77777777" w:rsidR="007149DF" w:rsidRPr="007149DF" w:rsidRDefault="007149DF" w:rsidP="009E08BC">
      <w:pPr>
        <w:pStyle w:val="Prrafodelista"/>
        <w:widowControl w:val="0"/>
        <w:numPr>
          <w:ilvl w:val="0"/>
          <w:numId w:val="9"/>
        </w:numPr>
        <w:tabs>
          <w:tab w:val="left" w:pos="1315"/>
        </w:tabs>
        <w:autoSpaceDE w:val="0"/>
        <w:autoSpaceDN w:val="0"/>
        <w:spacing w:after="0" w:line="254" w:lineRule="auto"/>
        <w:ind w:right="425" w:hanging="361"/>
        <w:contextualSpacing w:val="0"/>
        <w:jc w:val="both"/>
        <w:rPr>
          <w:rFonts w:ascii="Museo 300" w:eastAsia="SimSun" w:hAnsi="Museo 300"/>
          <w:spacing w:val="-5"/>
          <w:sz w:val="16"/>
          <w:szCs w:val="16"/>
        </w:rPr>
      </w:pPr>
      <w:r w:rsidRPr="007149DF">
        <w:rPr>
          <w:rFonts w:ascii="Museo 300" w:eastAsia="SimSun" w:hAnsi="Museo 300"/>
          <w:spacing w:val="-5"/>
          <w:sz w:val="16"/>
          <w:szCs w:val="16"/>
        </w:rPr>
        <w:t>EEO no presenta ninguna evidencia que sustente que dicha situación ocurrió durante la inspección que realizó en el suministro de la denunciante en fecha 21 de agosto de 2021.</w:t>
      </w:r>
    </w:p>
    <w:p w14:paraId="106E20AC" w14:textId="43240E80" w:rsidR="007149DF" w:rsidRDefault="007149DF" w:rsidP="009E08BC">
      <w:pPr>
        <w:pStyle w:val="Prrafodelista"/>
        <w:widowControl w:val="0"/>
        <w:numPr>
          <w:ilvl w:val="0"/>
          <w:numId w:val="9"/>
        </w:numPr>
        <w:tabs>
          <w:tab w:val="left" w:pos="1315"/>
        </w:tabs>
        <w:autoSpaceDE w:val="0"/>
        <w:autoSpaceDN w:val="0"/>
        <w:spacing w:after="0" w:line="254" w:lineRule="auto"/>
        <w:ind w:right="425" w:hanging="361"/>
        <w:contextualSpacing w:val="0"/>
        <w:jc w:val="both"/>
        <w:rPr>
          <w:rFonts w:ascii="Museo 300" w:eastAsia="SimSun" w:hAnsi="Museo 300"/>
          <w:spacing w:val="-5"/>
          <w:sz w:val="16"/>
          <w:szCs w:val="16"/>
        </w:rPr>
      </w:pPr>
      <w:r w:rsidRPr="007149DF">
        <w:rPr>
          <w:rFonts w:ascii="Museo 300" w:eastAsia="SimSun" w:hAnsi="Museo 300"/>
          <w:spacing w:val="-5"/>
          <w:sz w:val="16"/>
          <w:szCs w:val="16"/>
        </w:rPr>
        <w:t xml:space="preserve">No se dejó indicado en el acta de condiciones irregulares el hecho que la usuaria les impidió el ingreso al inmueble, por lo que no se tiene certeza que lo planteado por EEO es una situación que haya ocurrido durante la inspección antes citada. </w:t>
      </w:r>
    </w:p>
    <w:p w14:paraId="594D0D41" w14:textId="77777777" w:rsidR="007149DF" w:rsidRPr="007149DF" w:rsidRDefault="007149DF" w:rsidP="007149DF">
      <w:pPr>
        <w:pStyle w:val="Prrafodelista"/>
        <w:widowControl w:val="0"/>
        <w:tabs>
          <w:tab w:val="left" w:pos="1315"/>
        </w:tabs>
        <w:autoSpaceDE w:val="0"/>
        <w:autoSpaceDN w:val="0"/>
        <w:spacing w:after="0" w:line="254" w:lineRule="auto"/>
        <w:ind w:left="1676" w:right="425"/>
        <w:contextualSpacing w:val="0"/>
        <w:jc w:val="both"/>
        <w:rPr>
          <w:rFonts w:ascii="Museo 300" w:eastAsia="SimSun" w:hAnsi="Museo 300"/>
          <w:spacing w:val="-5"/>
          <w:sz w:val="16"/>
          <w:szCs w:val="16"/>
        </w:rPr>
      </w:pPr>
    </w:p>
    <w:p w14:paraId="31DD54E5" w14:textId="6E32081D" w:rsidR="007149DF" w:rsidRPr="007149DF" w:rsidRDefault="007149DF" w:rsidP="007149DF">
      <w:pPr>
        <w:pStyle w:val="Textoindependiente"/>
        <w:spacing w:after="220" w:line="180" w:lineRule="atLeast"/>
        <w:ind w:left="720"/>
        <w:jc w:val="both"/>
        <w:rPr>
          <w:rFonts w:ascii="Museo 300" w:eastAsia="SimSun" w:hAnsi="Museo 300"/>
          <w:spacing w:val="-5"/>
          <w:sz w:val="16"/>
          <w:szCs w:val="16"/>
        </w:rPr>
      </w:pPr>
      <w:r w:rsidRPr="007149DF">
        <w:rPr>
          <w:rFonts w:ascii="Museo 300" w:eastAsia="SimSun" w:hAnsi="Museo 300"/>
          <w:spacing w:val="-5"/>
          <w:sz w:val="16"/>
          <w:szCs w:val="16"/>
        </w:rPr>
        <w:t xml:space="preserve">Respecto al hecho que EEO considere erróneo el análisis del CAU sobre la corriente utilizada por EEO para el cálculo de la ENR (21.44 amperios) y la máxima verificada por el técnico del CAU en fecha 2 de febrero del presente año, el CAU plantea lo siguiente: </w:t>
      </w:r>
    </w:p>
    <w:p w14:paraId="58F5FD39" w14:textId="734F5361" w:rsidR="007149DF" w:rsidRPr="00A25F25" w:rsidRDefault="007149DF" w:rsidP="009E08BC">
      <w:pPr>
        <w:pStyle w:val="Prrafodelista"/>
        <w:widowControl w:val="0"/>
        <w:numPr>
          <w:ilvl w:val="0"/>
          <w:numId w:val="9"/>
        </w:numPr>
        <w:tabs>
          <w:tab w:val="left" w:pos="1315"/>
        </w:tabs>
        <w:autoSpaceDE w:val="0"/>
        <w:autoSpaceDN w:val="0"/>
        <w:spacing w:after="0" w:line="254" w:lineRule="auto"/>
        <w:ind w:right="425" w:hanging="361"/>
        <w:contextualSpacing w:val="0"/>
        <w:jc w:val="both"/>
        <w:rPr>
          <w:rFonts w:ascii="Museo 300" w:eastAsia="SimSun" w:hAnsi="Museo 300"/>
          <w:spacing w:val="-5"/>
          <w:sz w:val="16"/>
          <w:szCs w:val="16"/>
        </w:rPr>
      </w:pPr>
      <w:r w:rsidRPr="007149DF">
        <w:rPr>
          <w:rFonts w:ascii="Museo 300" w:eastAsia="SimSun" w:hAnsi="Museo 300"/>
          <w:spacing w:val="-5"/>
          <w:sz w:val="16"/>
          <w:szCs w:val="16"/>
        </w:rPr>
        <w:t>La corriente máxima medida por el personal técnico del CAU por un valor de 13.46 amperios, es la demandada en el suministro cuando estaban en funcionamiento todas las cargas detalladas en el censo de carga con base en los equipos eléctricos encontrados durante la inspección de fecha 2 de febrero de 2022</w:t>
      </w:r>
      <w:r>
        <w:rPr>
          <w:rFonts w:ascii="Museo 300" w:eastAsia="SimSun" w:hAnsi="Museo 300"/>
          <w:spacing w:val="-5"/>
          <w:sz w:val="16"/>
          <w:szCs w:val="16"/>
        </w:rPr>
        <w:t>. (…)</w:t>
      </w:r>
    </w:p>
    <w:p w14:paraId="3D81D67E" w14:textId="52E82FA7" w:rsidR="00A25F25" w:rsidRDefault="00A25F25" w:rsidP="009E08BC">
      <w:pPr>
        <w:pStyle w:val="Prrafodelista"/>
        <w:widowControl w:val="0"/>
        <w:numPr>
          <w:ilvl w:val="0"/>
          <w:numId w:val="9"/>
        </w:numPr>
        <w:tabs>
          <w:tab w:val="left" w:pos="1315"/>
        </w:tabs>
        <w:autoSpaceDE w:val="0"/>
        <w:autoSpaceDN w:val="0"/>
        <w:spacing w:after="0" w:line="254" w:lineRule="auto"/>
        <w:ind w:right="425" w:hanging="361"/>
        <w:contextualSpacing w:val="0"/>
        <w:jc w:val="both"/>
        <w:rPr>
          <w:rFonts w:ascii="Museo 300" w:eastAsia="SimSun" w:hAnsi="Museo 300"/>
          <w:spacing w:val="-5"/>
          <w:sz w:val="16"/>
          <w:szCs w:val="16"/>
        </w:rPr>
      </w:pPr>
      <w:r w:rsidRPr="00A25F25">
        <w:rPr>
          <w:rFonts w:ascii="Museo 300" w:eastAsia="SimSun" w:hAnsi="Museo 300"/>
          <w:spacing w:val="-5"/>
          <w:sz w:val="16"/>
          <w:szCs w:val="16"/>
        </w:rPr>
        <w:t xml:space="preserve">Por otra parte, cuando el CAU manifiesta en el informe técnico </w:t>
      </w:r>
      <w:r w:rsidR="008A778B">
        <w:rPr>
          <w:rFonts w:ascii="Museo 300" w:eastAsia="SimSun" w:hAnsi="Museo 300"/>
          <w:spacing w:val="-5"/>
          <w:sz w:val="16"/>
          <w:szCs w:val="16"/>
        </w:rPr>
        <w:t>XXX</w:t>
      </w:r>
      <w:r w:rsidRPr="00A25F25">
        <w:rPr>
          <w:rFonts w:ascii="Museo 300" w:eastAsia="SimSun" w:hAnsi="Museo 300"/>
          <w:spacing w:val="-5"/>
          <w:sz w:val="16"/>
          <w:szCs w:val="16"/>
        </w:rPr>
        <w:t xml:space="preserve"> que la corriente utilizada por EEO para el cálculo de la ENR no es congruente con la corriente máxima verificada por el CAU, lo plantea considerando lo siguiente:</w:t>
      </w:r>
    </w:p>
    <w:p w14:paraId="0AF90CBD" w14:textId="0F6A76D2" w:rsidR="00C5423E" w:rsidRDefault="00C5423E" w:rsidP="00C5423E">
      <w:pPr>
        <w:pStyle w:val="Prrafodelista"/>
        <w:widowControl w:val="0"/>
        <w:tabs>
          <w:tab w:val="left" w:pos="1315"/>
        </w:tabs>
        <w:autoSpaceDE w:val="0"/>
        <w:autoSpaceDN w:val="0"/>
        <w:spacing w:after="0" w:line="254" w:lineRule="auto"/>
        <w:ind w:left="1676" w:right="425"/>
        <w:contextualSpacing w:val="0"/>
        <w:jc w:val="both"/>
        <w:rPr>
          <w:rFonts w:ascii="Museo 300" w:eastAsia="SimSun" w:hAnsi="Museo 300"/>
          <w:spacing w:val="-5"/>
          <w:sz w:val="16"/>
          <w:szCs w:val="16"/>
        </w:rPr>
      </w:pPr>
    </w:p>
    <w:p w14:paraId="45D69B2D" w14:textId="77777777" w:rsidR="00C5423E" w:rsidRPr="00C5423E" w:rsidRDefault="00C5423E" w:rsidP="009E08BC">
      <w:pPr>
        <w:pStyle w:val="paragraph"/>
        <w:numPr>
          <w:ilvl w:val="0"/>
          <w:numId w:val="11"/>
        </w:numPr>
        <w:spacing w:before="0" w:beforeAutospacing="0" w:after="0" w:afterAutospacing="0"/>
        <w:ind w:right="567"/>
        <w:jc w:val="both"/>
        <w:textAlignment w:val="baseline"/>
        <w:rPr>
          <w:rFonts w:ascii="Museo 300" w:eastAsia="SimSun" w:hAnsi="Museo 300"/>
          <w:color w:val="000000" w:themeColor="text1"/>
          <w:spacing w:val="-5"/>
          <w:sz w:val="16"/>
          <w:szCs w:val="16"/>
          <w:lang w:val="es-ES"/>
        </w:rPr>
      </w:pPr>
      <w:r w:rsidRPr="00C5423E">
        <w:rPr>
          <w:rFonts w:ascii="Museo 300" w:eastAsia="SimSun" w:hAnsi="Museo 300"/>
          <w:color w:val="000000" w:themeColor="text1"/>
          <w:spacing w:val="-5"/>
          <w:sz w:val="16"/>
          <w:szCs w:val="16"/>
          <w:lang w:val="es-ES"/>
        </w:rPr>
        <w:t>La distribuidora presentó a esta superintendencia dos fotográficas de la medición de intensidad de corriente (de la misma línea directa) una con un valor de 13.24 amperios y la otra con 21.44 amperios. Tal como se muestra en la fotografía n.°1.</w:t>
      </w:r>
    </w:p>
    <w:p w14:paraId="025D06B2" w14:textId="77777777" w:rsidR="00C5423E" w:rsidRPr="00A25F25" w:rsidRDefault="00C5423E" w:rsidP="00C5423E">
      <w:pPr>
        <w:pStyle w:val="Prrafodelista"/>
        <w:widowControl w:val="0"/>
        <w:tabs>
          <w:tab w:val="left" w:pos="1315"/>
        </w:tabs>
        <w:autoSpaceDE w:val="0"/>
        <w:autoSpaceDN w:val="0"/>
        <w:spacing w:after="0" w:line="254" w:lineRule="auto"/>
        <w:ind w:left="1676" w:right="425"/>
        <w:contextualSpacing w:val="0"/>
        <w:jc w:val="both"/>
        <w:rPr>
          <w:rFonts w:ascii="Museo 300" w:eastAsia="SimSun" w:hAnsi="Museo 300"/>
          <w:spacing w:val="-5"/>
          <w:sz w:val="16"/>
          <w:szCs w:val="16"/>
        </w:rPr>
      </w:pPr>
    </w:p>
    <w:p w14:paraId="7D095612" w14:textId="433A892C" w:rsidR="00326AB5" w:rsidRPr="00326AB5" w:rsidRDefault="00326AB5" w:rsidP="009E08BC">
      <w:pPr>
        <w:pStyle w:val="paragraph"/>
        <w:numPr>
          <w:ilvl w:val="0"/>
          <w:numId w:val="11"/>
        </w:numPr>
        <w:spacing w:before="0" w:beforeAutospacing="0" w:after="0" w:afterAutospacing="0"/>
        <w:ind w:right="567"/>
        <w:jc w:val="both"/>
        <w:textAlignment w:val="baseline"/>
        <w:rPr>
          <w:rFonts w:ascii="Museo 300" w:eastAsia="SimSun" w:hAnsi="Museo 300"/>
          <w:color w:val="000000" w:themeColor="text1"/>
          <w:spacing w:val="-5"/>
          <w:sz w:val="16"/>
          <w:szCs w:val="16"/>
          <w:lang w:val="es-ES"/>
        </w:rPr>
      </w:pPr>
      <w:r w:rsidRPr="00326AB5">
        <w:rPr>
          <w:rFonts w:ascii="Museo 300" w:eastAsia="SimSun" w:hAnsi="Museo 300"/>
          <w:color w:val="000000" w:themeColor="text1"/>
          <w:spacing w:val="-5"/>
          <w:sz w:val="16"/>
          <w:szCs w:val="16"/>
          <w:lang w:val="es-ES"/>
        </w:rPr>
        <w:t>L</w:t>
      </w:r>
      <w:r w:rsidRPr="00326AB5">
        <w:rPr>
          <w:rFonts w:ascii="Museo 300" w:eastAsia="SimSun" w:hAnsi="Museo 300" w:cs="Arial"/>
          <w:spacing w:val="-5"/>
          <w:sz w:val="16"/>
          <w:szCs w:val="16"/>
          <w:lang w:val="es-ES"/>
        </w:rPr>
        <w:t xml:space="preserve">a corriente de 13.24 amperios mostradas en la fotografía </w:t>
      </w:r>
      <w:proofErr w:type="spellStart"/>
      <w:r w:rsidRPr="00326AB5">
        <w:rPr>
          <w:rFonts w:ascii="Museo 300" w:eastAsia="SimSun" w:hAnsi="Museo 300" w:cs="Arial"/>
          <w:spacing w:val="-5"/>
          <w:sz w:val="16"/>
          <w:szCs w:val="16"/>
          <w:lang w:val="es-ES"/>
        </w:rPr>
        <w:t>n.°</w:t>
      </w:r>
      <w:proofErr w:type="spellEnd"/>
      <w:r w:rsidRPr="00326AB5">
        <w:rPr>
          <w:rFonts w:ascii="Museo 300" w:eastAsia="SimSun" w:hAnsi="Museo 300" w:cs="Arial"/>
          <w:spacing w:val="-5"/>
          <w:sz w:val="16"/>
          <w:szCs w:val="16"/>
          <w:lang w:val="es-ES"/>
        </w:rPr>
        <w:t xml:space="preserve"> 1, es similar al valor obtenido por el personal técnico del CAU al momento de verificar la totalidad de la carga en dicho inmueble (13.46 amperios); es decir ambas son congruentes con las cargas detalladas en el censo de carga </w:t>
      </w:r>
      <w:r>
        <w:rPr>
          <w:rFonts w:ascii="Museo 300" w:eastAsia="SimSun" w:hAnsi="Museo 300" w:cs="Arial"/>
          <w:spacing w:val="-5"/>
          <w:sz w:val="16"/>
          <w:szCs w:val="16"/>
          <w:lang w:val="es-ES"/>
        </w:rPr>
        <w:t>(…)</w:t>
      </w:r>
    </w:p>
    <w:p w14:paraId="2A61C72F" w14:textId="77777777" w:rsidR="00326AB5" w:rsidRDefault="00326AB5" w:rsidP="00326AB5">
      <w:pPr>
        <w:pStyle w:val="paragraph"/>
        <w:spacing w:before="0" w:beforeAutospacing="0" w:after="0" w:afterAutospacing="0"/>
        <w:ind w:left="2070" w:right="567"/>
        <w:jc w:val="both"/>
        <w:textAlignment w:val="baseline"/>
        <w:rPr>
          <w:rFonts w:ascii="Museo Sans 300" w:eastAsia="SimSun" w:hAnsi="Museo Sans 300"/>
          <w:color w:val="000000" w:themeColor="text1"/>
          <w:spacing w:val="-5"/>
          <w:sz w:val="20"/>
          <w:szCs w:val="20"/>
          <w:lang w:val="es-ES"/>
        </w:rPr>
      </w:pPr>
    </w:p>
    <w:p w14:paraId="007A2AFF" w14:textId="7DE3E1FE" w:rsidR="00326AB5" w:rsidRPr="00326AB5" w:rsidRDefault="00326AB5" w:rsidP="00326AB5">
      <w:pPr>
        <w:pStyle w:val="paragraph"/>
        <w:spacing w:before="0" w:beforeAutospacing="0" w:after="0" w:afterAutospacing="0"/>
        <w:ind w:left="2070" w:right="567"/>
        <w:jc w:val="both"/>
        <w:textAlignment w:val="baseline"/>
        <w:rPr>
          <w:rFonts w:ascii="Museo 300" w:eastAsia="SimSun" w:hAnsi="Museo 300"/>
          <w:color w:val="000000" w:themeColor="text1"/>
          <w:spacing w:val="-5"/>
          <w:sz w:val="16"/>
          <w:szCs w:val="16"/>
          <w:lang w:val="es-ES"/>
        </w:rPr>
      </w:pPr>
      <w:r w:rsidRPr="00326AB5">
        <w:rPr>
          <w:rFonts w:ascii="Museo 300" w:eastAsia="SimSun" w:hAnsi="Museo 300"/>
          <w:color w:val="000000" w:themeColor="text1"/>
          <w:spacing w:val="-5"/>
          <w:sz w:val="16"/>
          <w:szCs w:val="16"/>
          <w:lang w:val="es-ES"/>
        </w:rPr>
        <w:t xml:space="preserve">En ese orden y con base en el tipo de carga de uso común en una vivienda (de tipo inductivo), las cuales </w:t>
      </w:r>
      <w:r w:rsidRPr="00326AB5">
        <w:rPr>
          <w:rFonts w:ascii="Museo 300" w:eastAsia="SimSun" w:hAnsi="Museo 300"/>
          <w:spacing w:val="-5"/>
          <w:sz w:val="16"/>
          <w:szCs w:val="16"/>
          <w:lang w:val="es-ES"/>
        </w:rPr>
        <w:t xml:space="preserve">durante el proceso de arranque se caracterizan de un pico momentáneo de corriente, el cual posteriormente se va estabilizando; podemos concluir que las cargas detalladas en el censo de carga determinado por el CAU pueden llegar a presentar una corriente momentánea como la medida por EEO por un valor de 21.44 amperios. Por lo tanto, el censo de carga es representativo de las cargas que pudieron estar conectadas mediante la línea directa al momento de la inspección realizada por la distribuidora. </w:t>
      </w:r>
    </w:p>
    <w:p w14:paraId="05DC8738" w14:textId="77777777" w:rsidR="00326AB5" w:rsidRDefault="00326AB5" w:rsidP="00326AB5">
      <w:pPr>
        <w:pStyle w:val="paragraph"/>
        <w:spacing w:before="0" w:beforeAutospacing="0" w:after="0" w:afterAutospacing="0"/>
        <w:ind w:left="2070" w:right="567"/>
        <w:jc w:val="both"/>
        <w:textAlignment w:val="baseline"/>
        <w:rPr>
          <w:rFonts w:ascii="Museo Sans 300" w:eastAsia="SimSun" w:hAnsi="Museo Sans 300"/>
          <w:color w:val="000000" w:themeColor="text1"/>
          <w:spacing w:val="-5"/>
          <w:sz w:val="20"/>
          <w:szCs w:val="20"/>
          <w:lang w:val="es-ES"/>
        </w:rPr>
      </w:pPr>
    </w:p>
    <w:p w14:paraId="4FD3ABD5" w14:textId="490B247A" w:rsidR="00725F67" w:rsidRPr="00D17654" w:rsidRDefault="00326AB5" w:rsidP="009E08BC">
      <w:pPr>
        <w:pStyle w:val="paragraph"/>
        <w:numPr>
          <w:ilvl w:val="0"/>
          <w:numId w:val="11"/>
        </w:numPr>
        <w:spacing w:before="0" w:beforeAutospacing="0" w:after="0" w:afterAutospacing="0"/>
        <w:ind w:right="567"/>
        <w:jc w:val="both"/>
        <w:textAlignment w:val="baseline"/>
        <w:rPr>
          <w:rFonts w:ascii="Museo 300" w:eastAsia="SimSun" w:hAnsi="Museo 300"/>
          <w:color w:val="000000" w:themeColor="text1"/>
          <w:spacing w:val="-5"/>
          <w:sz w:val="16"/>
          <w:szCs w:val="16"/>
          <w:lang w:val="es-ES"/>
        </w:rPr>
      </w:pPr>
      <w:r w:rsidRPr="00326AB5">
        <w:rPr>
          <w:rFonts w:ascii="Museo 300" w:eastAsia="SimSun" w:hAnsi="Museo 300"/>
          <w:color w:val="000000" w:themeColor="text1"/>
          <w:spacing w:val="-5"/>
          <w:sz w:val="16"/>
          <w:szCs w:val="16"/>
          <w:lang w:val="es-ES"/>
        </w:rPr>
        <w:t>Bajo el contexto anterior,</w:t>
      </w:r>
      <w:r w:rsidRPr="00326AB5">
        <w:rPr>
          <w:rFonts w:ascii="Museo 300" w:eastAsia="SimSun" w:hAnsi="Museo 300"/>
          <w:spacing w:val="-5"/>
          <w:sz w:val="16"/>
          <w:szCs w:val="16"/>
          <w:lang w:val="es-ES"/>
        </w:rPr>
        <w:t xml:space="preserve"> EEO no presentó ninguna evidencia con la cual pueda fundamentar que los equipos eléctricos que eran alimentados por la línea directa bajo análisis se dejaron de utilizar o retiraron de la vivienda posterior al hallazgo de la condición irregular., </w:t>
      </w:r>
    </w:p>
    <w:p w14:paraId="4B834AFD" w14:textId="77777777" w:rsidR="00D17654" w:rsidRPr="00D17654" w:rsidRDefault="00D17654" w:rsidP="00D17654">
      <w:pPr>
        <w:pStyle w:val="paragraph"/>
        <w:spacing w:before="0" w:beforeAutospacing="0" w:after="0" w:afterAutospacing="0"/>
        <w:ind w:left="2070" w:right="567"/>
        <w:jc w:val="both"/>
        <w:textAlignment w:val="baseline"/>
        <w:rPr>
          <w:rFonts w:ascii="Museo 300" w:eastAsia="SimSun" w:hAnsi="Museo 300"/>
          <w:color w:val="000000" w:themeColor="text1"/>
          <w:spacing w:val="-5"/>
          <w:sz w:val="16"/>
          <w:szCs w:val="16"/>
          <w:lang w:val="es-ES"/>
        </w:rPr>
      </w:pPr>
    </w:p>
    <w:p w14:paraId="5947EE5C" w14:textId="2A733BCA" w:rsidR="003627A8" w:rsidRPr="003627A8" w:rsidRDefault="00DE35AC" w:rsidP="009E08BC">
      <w:pPr>
        <w:pStyle w:val="Textoindependiente"/>
        <w:numPr>
          <w:ilvl w:val="0"/>
          <w:numId w:val="13"/>
        </w:numPr>
        <w:spacing w:after="220" w:line="180" w:lineRule="atLeast"/>
        <w:ind w:left="1080"/>
        <w:jc w:val="both"/>
        <w:rPr>
          <w:rFonts w:ascii="Museo 300" w:hAnsi="Museo 300" w:cs="Arial"/>
          <w:sz w:val="16"/>
          <w:szCs w:val="16"/>
        </w:rPr>
      </w:pPr>
      <w:r w:rsidRPr="00DE35AC">
        <w:rPr>
          <w:rFonts w:ascii="Museo 300" w:hAnsi="Museo 300" w:cs="Arial"/>
          <w:b/>
          <w:bCs/>
          <w:sz w:val="16"/>
          <w:szCs w:val="16"/>
        </w:rPr>
        <w:t>Comentario</w:t>
      </w:r>
      <w:r w:rsidR="00D12D02">
        <w:rPr>
          <w:rFonts w:ascii="Museo 300" w:hAnsi="Museo 300" w:cs="Arial"/>
          <w:b/>
          <w:bCs/>
          <w:sz w:val="16"/>
          <w:szCs w:val="16"/>
        </w:rPr>
        <w:t xml:space="preserve"> del informe técnico </w:t>
      </w:r>
      <w:r w:rsidR="008A778B">
        <w:rPr>
          <w:rFonts w:ascii="Museo 300" w:hAnsi="Museo 300" w:cs="Arial"/>
          <w:b/>
          <w:bCs/>
          <w:sz w:val="16"/>
          <w:szCs w:val="16"/>
        </w:rPr>
        <w:t>XXX</w:t>
      </w:r>
      <w:r w:rsidRPr="00DE35AC">
        <w:rPr>
          <w:rFonts w:ascii="Museo 300" w:hAnsi="Museo 300" w:cs="Arial"/>
          <w:b/>
          <w:bCs/>
          <w:sz w:val="16"/>
          <w:szCs w:val="16"/>
        </w:rPr>
        <w:t xml:space="preserve">: </w:t>
      </w:r>
    </w:p>
    <w:p w14:paraId="52CA8A84" w14:textId="1D0ED3E5" w:rsidR="00D17654" w:rsidRPr="00D17654" w:rsidRDefault="00DE35AC" w:rsidP="00D17654">
      <w:pPr>
        <w:pStyle w:val="Prrafodelista"/>
        <w:ind w:left="1211" w:right="425"/>
        <w:jc w:val="both"/>
        <w:rPr>
          <w:rFonts w:ascii="Museo 300" w:eastAsia="SimSun" w:hAnsi="Museo 300" w:cs="Segoe UI"/>
          <w:i/>
          <w:iCs/>
          <w:spacing w:val="-5"/>
          <w:sz w:val="16"/>
          <w:szCs w:val="16"/>
          <w:lang w:val="es-ES"/>
        </w:rPr>
      </w:pPr>
      <w:r w:rsidRPr="00DE35AC">
        <w:rPr>
          <w:rStyle w:val="normaltextrun"/>
          <w:rFonts w:ascii="Museo 300" w:hAnsi="Museo 300" w:cs="Segoe UI"/>
          <w:i/>
          <w:iCs/>
          <w:sz w:val="16"/>
          <w:szCs w:val="16"/>
        </w:rPr>
        <w:lastRenderedPageBreak/>
        <w:t xml:space="preserve">(…) </w:t>
      </w:r>
      <w:r w:rsidR="009A3AFB">
        <w:rPr>
          <w:rStyle w:val="normaltextrun"/>
          <w:rFonts w:ascii="Museo 300" w:hAnsi="Museo 300" w:cs="Segoe UI"/>
          <w:i/>
          <w:iCs/>
          <w:sz w:val="16"/>
          <w:szCs w:val="16"/>
        </w:rPr>
        <w:t>D</w:t>
      </w:r>
      <w:proofErr w:type="spellStart"/>
      <w:r w:rsidR="00D17654" w:rsidRPr="00D17654">
        <w:rPr>
          <w:rFonts w:ascii="Museo 300" w:eastAsia="SimSun" w:hAnsi="Museo 300" w:cs="Segoe UI"/>
          <w:i/>
          <w:iCs/>
          <w:spacing w:val="-5"/>
          <w:sz w:val="16"/>
          <w:szCs w:val="16"/>
          <w:lang w:val="es-ES"/>
        </w:rPr>
        <w:t>e</w:t>
      </w:r>
      <w:proofErr w:type="spellEnd"/>
      <w:r w:rsidR="00D17654" w:rsidRPr="00D17654">
        <w:rPr>
          <w:rFonts w:ascii="Museo 300" w:eastAsia="SimSun" w:hAnsi="Museo 300" w:cs="Segoe UI"/>
          <w:i/>
          <w:iCs/>
          <w:spacing w:val="-5"/>
          <w:sz w:val="16"/>
          <w:szCs w:val="16"/>
          <w:lang w:val="es-ES"/>
        </w:rPr>
        <w:t xml:space="preserve"> las pruebas presentadas relacionadas a la condición detectada por EEO en fecha 21 de agosto de 2021, se puede determinar lo siguiente:</w:t>
      </w:r>
    </w:p>
    <w:p w14:paraId="42A96B91" w14:textId="77777777" w:rsidR="00D17654" w:rsidRPr="00D17654" w:rsidRDefault="00D17654" w:rsidP="00D17654">
      <w:pPr>
        <w:pStyle w:val="Prrafodelista"/>
        <w:ind w:left="1211" w:right="425"/>
        <w:jc w:val="both"/>
        <w:rPr>
          <w:rFonts w:ascii="Museo 300" w:eastAsia="SimSun" w:hAnsi="Museo 300" w:cs="Segoe UI"/>
          <w:i/>
          <w:iCs/>
          <w:spacing w:val="-5"/>
          <w:sz w:val="18"/>
          <w:szCs w:val="18"/>
          <w:lang w:val="es-ES"/>
        </w:rPr>
      </w:pPr>
    </w:p>
    <w:p w14:paraId="7C0A00EA" w14:textId="2A7E51BE" w:rsidR="00D17654" w:rsidRDefault="00D17654" w:rsidP="009E08BC">
      <w:pPr>
        <w:pStyle w:val="Prrafodelista"/>
        <w:numPr>
          <w:ilvl w:val="0"/>
          <w:numId w:val="12"/>
        </w:numPr>
        <w:ind w:right="425"/>
        <w:jc w:val="both"/>
        <w:rPr>
          <w:rFonts w:ascii="Museo 300" w:eastAsia="SimSun" w:hAnsi="Museo 300" w:cs="Segoe UI"/>
          <w:i/>
          <w:iCs/>
          <w:spacing w:val="-5"/>
          <w:sz w:val="16"/>
          <w:szCs w:val="16"/>
          <w:lang w:val="es-ES"/>
        </w:rPr>
      </w:pPr>
      <w:r w:rsidRPr="00D17654">
        <w:rPr>
          <w:rFonts w:ascii="Museo 300" w:eastAsia="SimSun" w:hAnsi="Museo 300" w:cs="Segoe UI"/>
          <w:i/>
          <w:iCs/>
          <w:spacing w:val="-5"/>
          <w:sz w:val="16"/>
          <w:szCs w:val="16"/>
          <w:lang w:val="es-ES"/>
        </w:rPr>
        <w:t>La Distribuidora ha mostrado fotografías con las que se demuestra que existió una conexión irregular, consistente en una línea directa a 120 voltios conectada en la acometida del suministro antes de medición, con la finalidad de impedir el correcto registro de la energía consumida en el servicio en análisis.</w:t>
      </w:r>
    </w:p>
    <w:p w14:paraId="4B12BD04" w14:textId="77777777" w:rsidR="00D17654" w:rsidRPr="00D17654" w:rsidRDefault="00D17654" w:rsidP="00D17654">
      <w:pPr>
        <w:pStyle w:val="Prrafodelista"/>
        <w:ind w:left="1931" w:right="425"/>
        <w:jc w:val="both"/>
        <w:rPr>
          <w:rStyle w:val="normaltextrun"/>
          <w:rFonts w:ascii="Museo 300" w:eastAsia="SimSun" w:hAnsi="Museo 300" w:cs="Segoe UI"/>
          <w:i/>
          <w:iCs/>
          <w:spacing w:val="-5"/>
          <w:sz w:val="16"/>
          <w:szCs w:val="16"/>
          <w:lang w:val="es-ES"/>
        </w:rPr>
      </w:pPr>
    </w:p>
    <w:p w14:paraId="603C40C8" w14:textId="13B4CEC0" w:rsidR="00D17654" w:rsidRPr="00081CEC" w:rsidRDefault="00D17654" w:rsidP="009E08BC">
      <w:pPr>
        <w:pStyle w:val="Prrafodelista"/>
        <w:numPr>
          <w:ilvl w:val="0"/>
          <w:numId w:val="12"/>
        </w:numPr>
        <w:ind w:right="425"/>
        <w:jc w:val="both"/>
        <w:rPr>
          <w:rStyle w:val="normaltextrun"/>
          <w:rFonts w:ascii="Museo 300" w:eastAsia="SimSun" w:hAnsi="Museo 300" w:cs="Segoe UI"/>
          <w:i/>
          <w:iCs/>
          <w:spacing w:val="-5"/>
          <w:sz w:val="16"/>
          <w:szCs w:val="16"/>
          <w:lang w:val="es-ES"/>
        </w:rPr>
      </w:pPr>
      <w:r w:rsidRPr="00D17654">
        <w:rPr>
          <w:rFonts w:ascii="Museo 300" w:eastAsia="SimSun" w:hAnsi="Museo 300" w:cs="Segoe UI"/>
          <w:i/>
          <w:iCs/>
          <w:spacing w:val="-5"/>
          <w:sz w:val="16"/>
          <w:szCs w:val="16"/>
          <w:lang w:val="es-ES"/>
        </w:rPr>
        <w:t>La Distribuidora EEO no detalló las cargas conectadas en la línea directa bajo análisis. Sin embargo, no fue debido a que la señora de Chacón les impidió verificar los equipos eléctricos conectados en la línea directa encontrada; el personal de EEO tuvo la oportunidad de verificar los equipos eléctricos que era alimentadas por la línea directa, y así poder proporcionar a SIGET más elementos para ser considerados en el análisis.</w:t>
      </w:r>
      <w:r w:rsidR="00081CEC">
        <w:rPr>
          <w:rFonts w:ascii="Museo 300" w:eastAsia="SimSun" w:hAnsi="Museo 300" w:cs="Segoe UI"/>
          <w:i/>
          <w:iCs/>
          <w:spacing w:val="-5"/>
          <w:sz w:val="16"/>
          <w:szCs w:val="16"/>
          <w:lang w:val="es-ES"/>
        </w:rPr>
        <w:t xml:space="preserve"> </w:t>
      </w:r>
      <w:r w:rsidRPr="00081CEC">
        <w:rPr>
          <w:rFonts w:ascii="Museo 300" w:eastAsia="SimSun" w:hAnsi="Museo 300" w:cs="Segoe UI"/>
          <w:i/>
          <w:iCs/>
          <w:spacing w:val="-5"/>
          <w:sz w:val="18"/>
          <w:szCs w:val="18"/>
          <w:lang w:val="es-ES"/>
        </w:rPr>
        <w:t>(…)</w:t>
      </w:r>
    </w:p>
    <w:p w14:paraId="3D80AA3A"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361B0098" w14:textId="77777777" w:rsidR="009A3AFB" w:rsidRPr="009A3AFB" w:rsidRDefault="009A3AFB" w:rsidP="009A3AFB">
      <w:pPr>
        <w:pStyle w:val="Prrafodelista"/>
        <w:ind w:left="1211" w:right="425"/>
        <w:jc w:val="both"/>
        <w:rPr>
          <w:rFonts w:ascii="Museo 300" w:eastAsia="SimSun" w:hAnsi="Museo 300" w:cs="Segoe UI"/>
          <w:spacing w:val="-5"/>
          <w:sz w:val="16"/>
          <w:szCs w:val="16"/>
          <w:lang w:val="es-ES"/>
        </w:rPr>
      </w:pPr>
      <w:r w:rsidRPr="009A3AFB">
        <w:rPr>
          <w:rFonts w:ascii="Museo 300" w:eastAsia="SimSun" w:hAnsi="Museo 300" w:cs="Segoe UI"/>
          <w:spacing w:val="-5"/>
          <w:sz w:val="16"/>
          <w:szCs w:val="16"/>
          <w:lang w:val="es-ES"/>
        </w:rPr>
        <w:t>El análisis efectuado por el CAU detallado en el texto anterior, específicamente en el segundo punto, la Distribuidora lo considera erróneo en cuanto a “</w:t>
      </w:r>
      <w:r w:rsidRPr="009A3AFB">
        <w:rPr>
          <w:rFonts w:ascii="Museo 300" w:eastAsia="SimSun" w:hAnsi="Museo 300" w:cs="Segoe UI"/>
          <w:b/>
          <w:bCs/>
          <w:spacing w:val="-5"/>
          <w:sz w:val="16"/>
          <w:szCs w:val="16"/>
          <w:lang w:val="es-ES"/>
        </w:rPr>
        <w:t>la distribuidora EEO no detalló las cargas conectadas en la línea directa</w:t>
      </w:r>
      <w:r w:rsidRPr="009A3AFB">
        <w:rPr>
          <w:rFonts w:ascii="Museo 300" w:eastAsia="SimSun" w:hAnsi="Museo 300" w:cs="Segoe UI"/>
          <w:spacing w:val="-5"/>
          <w:sz w:val="16"/>
          <w:szCs w:val="16"/>
          <w:lang w:val="es-ES"/>
        </w:rPr>
        <w:t>”, ya que como el mismo CAU menciona en uno de los puntos del numeral 5.2.3 del informe técnico, la Distribuidora mostró al CAU dos fotografías con la intensidad de la corriente que fluía por la línea directa a 120 voltios conectada fuera de medición lo cual es una con 13.24 amperios y otra con 21.44 amperios, demostrando con ello que la Distribuidora presentó una medición de carga que estaba demandando energía por medio de la línea directa. En relación con los equipos eléctricos que estaban demandando la corriente medida en la línea directa, no es necesario mostrarlos siempre y cuando se muestre la corriente que fluye por la línea fuera de medición. Cuando el procedimiento establecido en el Acuerdo 283- E-2011 menciona en el literal “c” del numeral 5.2 que uno de los métodos de cálculo de la ENR es la “Carga no medida o registrada”, esto claramente se puede demostrar con la energía que fluye por la línea directa tal como la Distribuidora la ha mostrado en las fotografías proporcionadas al CAU.</w:t>
      </w:r>
    </w:p>
    <w:p w14:paraId="43874508" w14:textId="77777777" w:rsidR="009A3AFB" w:rsidRDefault="009A3AFB" w:rsidP="009A3AFB">
      <w:pPr>
        <w:pStyle w:val="Prrafodelista"/>
        <w:ind w:left="1211" w:right="425"/>
        <w:jc w:val="both"/>
        <w:rPr>
          <w:rFonts w:ascii="Museo 300" w:eastAsia="SimSun" w:hAnsi="Museo 300" w:cs="Segoe UI"/>
          <w:spacing w:val="-5"/>
          <w:sz w:val="16"/>
          <w:szCs w:val="16"/>
          <w:lang w:val="es-ES"/>
        </w:rPr>
      </w:pPr>
    </w:p>
    <w:p w14:paraId="2C2D81B5" w14:textId="5EB43CA4" w:rsidR="009A3AFB" w:rsidRPr="009A3AFB" w:rsidRDefault="009A3AFB" w:rsidP="009A3AFB">
      <w:pPr>
        <w:pStyle w:val="Prrafodelista"/>
        <w:ind w:left="1211" w:right="425"/>
        <w:jc w:val="both"/>
        <w:rPr>
          <w:rFonts w:ascii="Museo 300" w:eastAsia="SimSun" w:hAnsi="Museo 300" w:cs="Segoe UI"/>
          <w:i/>
          <w:iCs/>
          <w:spacing w:val="-5"/>
          <w:sz w:val="16"/>
          <w:szCs w:val="16"/>
          <w:lang w:val="es-ES"/>
        </w:rPr>
      </w:pPr>
      <w:r w:rsidRPr="009A3AFB">
        <w:rPr>
          <w:rFonts w:ascii="Museo 300" w:eastAsia="SimSun" w:hAnsi="Museo 300" w:cs="Segoe UI"/>
          <w:spacing w:val="-5"/>
          <w:sz w:val="16"/>
          <w:szCs w:val="16"/>
          <w:lang w:val="es-ES"/>
        </w:rPr>
        <w:t xml:space="preserve">En relación con el comentario de que </w:t>
      </w:r>
      <w:r w:rsidRPr="009A3AFB">
        <w:rPr>
          <w:rFonts w:ascii="Museo 300" w:eastAsia="SimSun" w:hAnsi="Museo 300" w:cs="Segoe UI"/>
          <w:b/>
          <w:bCs/>
          <w:spacing w:val="-5"/>
          <w:sz w:val="16"/>
          <w:szCs w:val="16"/>
          <w:lang w:val="es-ES"/>
        </w:rPr>
        <w:t>“no fue debido a que la señora de Chacón les impidió verificar los equipos eléctricos conectados en la línea directa encontrada; el personal de EEO tuvo la oportunidad de verificar los equipos eléctricos que era alimentadas por la línea directa”</w:t>
      </w:r>
      <w:r w:rsidRPr="009A3AFB">
        <w:rPr>
          <w:rFonts w:ascii="Museo 300" w:eastAsia="SimSun" w:hAnsi="Museo 300" w:cs="Segoe UI"/>
          <w:spacing w:val="-5"/>
          <w:sz w:val="16"/>
          <w:szCs w:val="16"/>
          <w:lang w:val="es-ES"/>
        </w:rPr>
        <w:t>, es una afirmación infundada realizada por el CAU, ya que esto solo lo puede demostrar si el analista del CAU estaba presente cuando el personal de la Distribuidora encontró y documentó la condición irregular, lo cual no fue así. En este caso en particular, cuando el personal de la distribuidora realizó la visita al suministro y encontró la línea directa, la vivienda se encontró cerrada, y fue por la parte externa donde se observa la línea directa (fotografías proporcionadas al CAU), que el personal de la Distribuidora obtuvo la evidencia que se ha enviado al CAU y se realizaron las mediciones de corriente correspondientes.</w:t>
      </w:r>
      <w:r w:rsidRPr="009A3AFB">
        <w:rPr>
          <w:rFonts w:ascii="Museo 300" w:eastAsia="SimSun" w:hAnsi="Museo 300" w:cs="Segoe UI"/>
          <w:i/>
          <w:iCs/>
          <w:spacing w:val="-5"/>
          <w:sz w:val="16"/>
          <w:szCs w:val="16"/>
          <w:lang w:val="es-ES"/>
        </w:rPr>
        <w:t xml:space="preserve"> […]”</w:t>
      </w:r>
    </w:p>
    <w:p w14:paraId="5A5EBBC0" w14:textId="2312821F"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6D6406D3" w14:textId="77777777" w:rsidR="000840EC" w:rsidRPr="000840EC" w:rsidRDefault="000840EC" w:rsidP="000840EC">
      <w:pPr>
        <w:pStyle w:val="Textoindependiente"/>
        <w:spacing w:after="220" w:line="180" w:lineRule="atLeast"/>
        <w:ind w:left="720"/>
        <w:jc w:val="both"/>
        <w:rPr>
          <w:rFonts w:ascii="Museo 300" w:eastAsia="SimSun" w:hAnsi="Museo 300"/>
          <w:spacing w:val="-5"/>
          <w:sz w:val="16"/>
          <w:szCs w:val="16"/>
          <w:lang w:val="es-ES"/>
        </w:rPr>
      </w:pPr>
      <w:r w:rsidRPr="000840EC">
        <w:rPr>
          <w:rFonts w:ascii="Museo 300" w:eastAsia="SimSun" w:hAnsi="Museo 300" w:cs="Arial"/>
          <w:spacing w:val="-5"/>
          <w:sz w:val="16"/>
          <w:szCs w:val="16"/>
          <w:lang w:val="es-ES"/>
        </w:rPr>
        <w:t xml:space="preserve">Debe indicarse que, </w:t>
      </w:r>
      <w:r w:rsidRPr="000840EC">
        <w:rPr>
          <w:rFonts w:ascii="Museo 300" w:eastAsia="SimSun" w:hAnsi="Museo 300"/>
          <w:spacing w:val="-5"/>
          <w:sz w:val="16"/>
          <w:szCs w:val="16"/>
          <w:lang w:val="es-ES"/>
        </w:rPr>
        <w:t>la utilización de la corriente instantánea medida por EEO, y estimar que esta es constante durante 12 horas tal y como lo establecieron, carece de sustento técnico y se vuelve un método subjetivo para determinar el consumo de energía eléctrica; específicamente cuando no se determina que equipos han estado conectados y consumiendo dicha corriente.</w:t>
      </w:r>
    </w:p>
    <w:p w14:paraId="3166C703" w14:textId="77777777" w:rsidR="000840EC" w:rsidRPr="000840EC" w:rsidRDefault="000840EC" w:rsidP="000840EC">
      <w:pPr>
        <w:pStyle w:val="Textoindependiente"/>
        <w:spacing w:after="220" w:line="180" w:lineRule="atLeast"/>
        <w:ind w:left="720"/>
        <w:jc w:val="both"/>
        <w:rPr>
          <w:rFonts w:ascii="Museo 300" w:eastAsia="SimSun" w:hAnsi="Museo 300"/>
          <w:spacing w:val="-5"/>
          <w:sz w:val="16"/>
          <w:szCs w:val="16"/>
        </w:rPr>
      </w:pPr>
      <w:r w:rsidRPr="000840EC">
        <w:rPr>
          <w:rFonts w:ascii="Museo 300" w:eastAsia="SimSun" w:hAnsi="Museo 300"/>
          <w:spacing w:val="-5"/>
          <w:sz w:val="16"/>
          <w:szCs w:val="16"/>
        </w:rPr>
        <w:t>En ese sentido, EEO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09BCB03A" w14:textId="49BE70C5" w:rsidR="000840EC" w:rsidRPr="000840EC" w:rsidRDefault="000840EC" w:rsidP="000840EC">
      <w:pPr>
        <w:pStyle w:val="Textoindependiente"/>
        <w:spacing w:after="220" w:line="180" w:lineRule="atLeast"/>
        <w:ind w:left="720"/>
        <w:jc w:val="both"/>
        <w:rPr>
          <w:rFonts w:ascii="Museo 300" w:eastAsia="SimSun" w:hAnsi="Museo 300"/>
          <w:spacing w:val="-5"/>
          <w:sz w:val="16"/>
          <w:szCs w:val="16"/>
        </w:rPr>
      </w:pPr>
      <w:r w:rsidRPr="000840EC">
        <w:rPr>
          <w:rFonts w:ascii="Museo 300" w:eastAsia="SimSun" w:hAnsi="Museo 300"/>
          <w:spacing w:val="-5"/>
          <w:sz w:val="16"/>
          <w:szCs w:val="16"/>
        </w:rPr>
        <w:t xml:space="preserve">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 Por todo lo anterior expuesto, se reitera que el método utilizado por la distribuidora para estimar la ENR de la condición irregular analizada en el </w:t>
      </w:r>
      <w:r w:rsidR="008A778B">
        <w:rPr>
          <w:rFonts w:ascii="Museo 300" w:eastAsia="SimSun" w:hAnsi="Museo 300"/>
          <w:spacing w:val="-5"/>
          <w:sz w:val="16"/>
          <w:szCs w:val="16"/>
        </w:rPr>
        <w:t>XXX</w:t>
      </w:r>
      <w:r w:rsidRPr="000840EC">
        <w:rPr>
          <w:rFonts w:ascii="Museo 300" w:eastAsia="SimSun" w:hAnsi="Museo 300"/>
          <w:spacing w:val="-5"/>
          <w:sz w:val="16"/>
          <w:szCs w:val="16"/>
        </w:rPr>
        <w:t>, no fue el más adecuado.</w:t>
      </w:r>
    </w:p>
    <w:p w14:paraId="60D85BE9" w14:textId="77777777" w:rsidR="000840EC" w:rsidRPr="000840EC" w:rsidRDefault="000840EC" w:rsidP="000840EC">
      <w:pPr>
        <w:pStyle w:val="Textoindependiente"/>
        <w:spacing w:after="220" w:line="180" w:lineRule="atLeast"/>
        <w:ind w:left="720"/>
        <w:jc w:val="both"/>
        <w:rPr>
          <w:rFonts w:ascii="Museo 300" w:eastAsia="Times New Roman" w:hAnsi="Museo 300"/>
          <w:spacing w:val="-5"/>
          <w:sz w:val="16"/>
          <w:szCs w:val="16"/>
          <w:lang w:val="es-ES" w:eastAsia="es-SV"/>
        </w:rPr>
      </w:pPr>
      <w:r w:rsidRPr="000840EC">
        <w:rPr>
          <w:rFonts w:ascii="Museo 300" w:eastAsia="Times New Roman" w:hAnsi="Museo 300"/>
          <w:spacing w:val="-5"/>
          <w:sz w:val="16"/>
          <w:szCs w:val="16"/>
          <w:lang w:val="es-ES" w:eastAsia="es-SV"/>
        </w:rPr>
        <w:t xml:space="preserve">Por otra parte, en relación con lo planteado por EEO sobre el hecho que la vivienda se encontró cerrada al momento de la inspección, el personal que realizó la inspección técnica; no dejó establecido en el acta de condiciones irregulares </w:t>
      </w:r>
      <w:proofErr w:type="spellStart"/>
      <w:r w:rsidRPr="000840EC">
        <w:rPr>
          <w:rFonts w:ascii="Museo 300" w:eastAsia="Times New Roman" w:hAnsi="Museo 300"/>
          <w:spacing w:val="-5"/>
          <w:sz w:val="16"/>
          <w:szCs w:val="16"/>
          <w:lang w:val="es-ES" w:eastAsia="es-SV"/>
        </w:rPr>
        <w:t>n.°</w:t>
      </w:r>
      <w:proofErr w:type="spellEnd"/>
      <w:r w:rsidRPr="000840EC">
        <w:rPr>
          <w:rFonts w:ascii="Museo 300" w:eastAsia="Times New Roman" w:hAnsi="Museo 300"/>
          <w:spacing w:val="-5"/>
          <w:sz w:val="16"/>
          <w:szCs w:val="16"/>
          <w:lang w:val="es-ES" w:eastAsia="es-SV"/>
        </w:rPr>
        <w:t xml:space="preserve"> 37956 que el usuario les impidió verificar los equipos eléctricos conectados en la línea directa a 120 voltios encontrada. </w:t>
      </w:r>
    </w:p>
    <w:p w14:paraId="3F29B07E" w14:textId="5BE92624" w:rsidR="000840EC" w:rsidRPr="000840EC" w:rsidRDefault="000840EC" w:rsidP="000840EC">
      <w:pPr>
        <w:pStyle w:val="Textoindependiente"/>
        <w:spacing w:after="220" w:line="180" w:lineRule="atLeast"/>
        <w:ind w:left="720"/>
        <w:jc w:val="both"/>
        <w:rPr>
          <w:rFonts w:ascii="Museo 300" w:eastAsia="Times New Roman" w:hAnsi="Museo 300"/>
          <w:spacing w:val="-5"/>
          <w:sz w:val="16"/>
          <w:szCs w:val="16"/>
          <w:lang w:val="es-ES" w:eastAsia="es-SV"/>
        </w:rPr>
      </w:pPr>
      <w:r w:rsidRPr="000840EC">
        <w:rPr>
          <w:rFonts w:ascii="Museo 300" w:eastAsia="Times New Roman" w:hAnsi="Museo 300"/>
          <w:spacing w:val="-5"/>
          <w:sz w:val="16"/>
          <w:szCs w:val="16"/>
          <w:lang w:val="es-ES" w:eastAsia="es-SV"/>
        </w:rPr>
        <w:t xml:space="preserve">Es preciso indicar que en el artículo 4.2 de El </w:t>
      </w:r>
      <w:r w:rsidRPr="000840EC">
        <w:rPr>
          <w:rFonts w:ascii="Museo 300" w:eastAsia="SimSun" w:hAnsi="Museo 300" w:cs="Arial"/>
          <w:spacing w:val="-5"/>
          <w:sz w:val="16"/>
          <w:szCs w:val="16"/>
          <w:lang w:val="es-ES"/>
        </w:rPr>
        <w:t xml:space="preserve">Procedimiento para Investigar la Existencia de Condiciones Irregulares en el Suministro de Energía Eléctrica del Usuario Final, contenido en el Acuerdo N.° 283-E-2011, establece que el acta de condiciones irregulares forma </w:t>
      </w:r>
      <w:r w:rsidRPr="000840EC">
        <w:rPr>
          <w:rFonts w:ascii="Museo 300" w:eastAsia="SimSun" w:hAnsi="Museo 300" w:cs="Arial"/>
          <w:spacing w:val="-5"/>
          <w:sz w:val="16"/>
          <w:szCs w:val="16"/>
          <w:lang w:val="es-ES"/>
        </w:rPr>
        <w:lastRenderedPageBreak/>
        <w:t>parte integral de la evidencia</w:t>
      </w:r>
      <w:r w:rsidR="00CC0127">
        <w:rPr>
          <w:rFonts w:ascii="Museo 300" w:eastAsia="SimSun" w:hAnsi="Museo 300" w:cs="Arial"/>
          <w:spacing w:val="-5"/>
          <w:sz w:val="16"/>
          <w:szCs w:val="16"/>
          <w:lang w:val="es-ES"/>
        </w:rPr>
        <w:t xml:space="preserve"> (…)</w:t>
      </w:r>
      <w:r w:rsidRPr="000840EC">
        <w:rPr>
          <w:rFonts w:ascii="Museo 300" w:eastAsia="SimSun" w:hAnsi="Museo 300" w:cs="Arial"/>
          <w:spacing w:val="-5"/>
          <w:sz w:val="16"/>
          <w:szCs w:val="16"/>
          <w:lang w:val="es-ES"/>
        </w:rPr>
        <w:t xml:space="preserve"> para sustentar una condición irregular, y que en esta la distribuidora debe describir todas las condiciones encontradas, inclusive el hecho que la vivienda se encontraba cerrada al momento de la inspección lo cual impidió el acceso al inmueble, y para el presente caso EEO no dejo indicado en el acta de condiciones irregulares ninguna situación que les impidiera recabar más información con la cual se pueda sustentar el cobro efectuado inicialmente al suministro de la denunciante. </w:t>
      </w:r>
    </w:p>
    <w:p w14:paraId="095B734D" w14:textId="077525FE" w:rsidR="00DE35AC" w:rsidRPr="0065137E" w:rsidRDefault="00DE35AC" w:rsidP="009E08BC">
      <w:pPr>
        <w:pStyle w:val="Textoindependiente"/>
        <w:numPr>
          <w:ilvl w:val="0"/>
          <w:numId w:val="13"/>
        </w:numPr>
        <w:spacing w:after="220" w:line="180" w:lineRule="atLeast"/>
        <w:ind w:left="1080"/>
        <w:jc w:val="both"/>
        <w:rPr>
          <w:rFonts w:ascii="Museo 300" w:hAnsi="Museo 300" w:cs="Arial"/>
          <w:sz w:val="16"/>
          <w:szCs w:val="16"/>
        </w:rPr>
      </w:pPr>
      <w:r w:rsidRPr="00DE35AC">
        <w:rPr>
          <w:rFonts w:ascii="Museo 300" w:hAnsi="Museo 300" w:cs="Arial"/>
          <w:b/>
          <w:bCs/>
          <w:sz w:val="16"/>
          <w:szCs w:val="16"/>
        </w:rPr>
        <w:t>Comentario del</w:t>
      </w:r>
      <w:r w:rsidR="0065137E">
        <w:rPr>
          <w:rFonts w:ascii="Museo 300" w:hAnsi="Museo 300" w:cs="Arial"/>
          <w:b/>
          <w:bCs/>
          <w:sz w:val="16"/>
          <w:szCs w:val="16"/>
        </w:rPr>
        <w:t xml:space="preserve"> informe</w:t>
      </w:r>
      <w:r w:rsidR="00EF5700">
        <w:rPr>
          <w:rFonts w:ascii="Museo 300" w:hAnsi="Museo 300" w:cs="Arial"/>
          <w:b/>
          <w:bCs/>
          <w:sz w:val="16"/>
          <w:szCs w:val="16"/>
        </w:rPr>
        <w:t xml:space="preserve"> </w:t>
      </w:r>
      <w:r w:rsidR="00081CEC">
        <w:rPr>
          <w:rFonts w:ascii="Museo 300" w:hAnsi="Museo 300" w:cs="Arial"/>
          <w:b/>
          <w:bCs/>
          <w:sz w:val="16"/>
          <w:szCs w:val="16"/>
        </w:rPr>
        <w:t>técnico IT-0034-22</w:t>
      </w:r>
      <w:r w:rsidRPr="00DE35AC">
        <w:rPr>
          <w:rFonts w:ascii="Museo 300" w:hAnsi="Museo 300" w:cs="Arial"/>
          <w:b/>
          <w:bCs/>
          <w:sz w:val="16"/>
          <w:szCs w:val="16"/>
        </w:rPr>
        <w:t xml:space="preserve">: </w:t>
      </w:r>
    </w:p>
    <w:p w14:paraId="6CD357BE" w14:textId="3DF70AB9" w:rsidR="00081CEC" w:rsidRPr="00081CEC" w:rsidRDefault="0065137E" w:rsidP="00081CEC">
      <w:pPr>
        <w:pStyle w:val="Prrafodelista"/>
        <w:ind w:left="1211" w:right="425"/>
        <w:jc w:val="both"/>
        <w:rPr>
          <w:rFonts w:ascii="Museo 300" w:hAnsi="Museo 300" w:cs="Arial"/>
          <w:sz w:val="16"/>
          <w:szCs w:val="16"/>
        </w:rPr>
      </w:pPr>
      <w:r w:rsidRPr="0065137E">
        <w:rPr>
          <w:rFonts w:ascii="Museo 300" w:hAnsi="Museo 300" w:cs="Arial"/>
          <w:i/>
          <w:iCs/>
          <w:sz w:val="16"/>
          <w:szCs w:val="16"/>
        </w:rPr>
        <w:t>(…)</w:t>
      </w:r>
      <w:r>
        <w:rPr>
          <w:rFonts w:ascii="Museo 300" w:hAnsi="Museo 300" w:cs="Arial"/>
          <w:sz w:val="16"/>
          <w:szCs w:val="16"/>
        </w:rPr>
        <w:t xml:space="preserve"> </w:t>
      </w:r>
      <w:r w:rsidR="00081CEC">
        <w:rPr>
          <w:rFonts w:ascii="Museo 300" w:hAnsi="Museo 300" w:cs="Arial"/>
          <w:sz w:val="16"/>
          <w:szCs w:val="16"/>
        </w:rPr>
        <w:t xml:space="preserve">El </w:t>
      </w:r>
      <w:r w:rsidR="00081CEC" w:rsidRPr="00081CEC">
        <w:rPr>
          <w:rFonts w:ascii="Museo 300" w:eastAsia="SimSun" w:hAnsi="Museo 300" w:cs="Segoe UI"/>
          <w:i/>
          <w:iCs/>
          <w:spacing w:val="-5"/>
          <w:sz w:val="16"/>
          <w:szCs w:val="16"/>
          <w:lang w:val="es-ES"/>
        </w:rPr>
        <w:t xml:space="preserve">método utilizado por la distribuidora para estimar la energía a recuperar se realizó mediante la lectura de intensidad de corriente en la línea directa a 120 voltios, la cual resultó de 21.44 amperios. Dicho valor fue utilizado para determinar un consumo promedio estimado mensual, por un valor de 926 kWh </w:t>
      </w:r>
      <w:proofErr w:type="gramStart"/>
      <w:r w:rsidR="00081CEC" w:rsidRPr="00081CEC">
        <w:rPr>
          <w:rFonts w:ascii="Museo 300" w:eastAsia="SimSun" w:hAnsi="Museo 300" w:cs="Segoe UI"/>
          <w:i/>
          <w:iCs/>
          <w:spacing w:val="-5"/>
          <w:sz w:val="16"/>
          <w:szCs w:val="16"/>
          <w:lang w:val="es-ES"/>
        </w:rPr>
        <w:t>(….</w:t>
      </w:r>
      <w:proofErr w:type="gramEnd"/>
      <w:r w:rsidR="00081CEC" w:rsidRPr="00081CEC">
        <w:rPr>
          <w:rFonts w:ascii="Museo 300" w:eastAsia="SimSun" w:hAnsi="Museo 300" w:cs="Segoe UI"/>
          <w:i/>
          <w:iCs/>
          <w:spacing w:val="-5"/>
          <w:sz w:val="16"/>
          <w:szCs w:val="16"/>
          <w:lang w:val="es-ES"/>
        </w:rPr>
        <w:t xml:space="preserve">.) Si bien, este método está establecido en el artículo 5.2. literal c) del Procedimiento contenido en el acuerdo N. 283-E-2011; no obstante, con base en el examen que el CAU ha efectuado de los consumos históricos de este suministro se concluye que </w:t>
      </w:r>
      <w:r w:rsidR="00081CEC" w:rsidRPr="00081CEC">
        <w:rPr>
          <w:rFonts w:ascii="Museo 300" w:eastAsia="SimSun" w:hAnsi="Museo 300" w:cs="Segoe UI"/>
          <w:b/>
          <w:bCs/>
          <w:i/>
          <w:iCs/>
          <w:spacing w:val="-5"/>
          <w:sz w:val="16"/>
          <w:szCs w:val="16"/>
          <w:lang w:val="es-ES"/>
        </w:rPr>
        <w:t>el promedio utilizado por la distribuidora es muy superior al consumo real;</w:t>
      </w:r>
      <w:r w:rsidR="00081CEC" w:rsidRPr="00081CEC">
        <w:rPr>
          <w:rFonts w:ascii="Museo 300" w:eastAsia="SimSun" w:hAnsi="Museo 300" w:cs="Segoe UI"/>
          <w:i/>
          <w:iCs/>
          <w:spacing w:val="-5"/>
          <w:sz w:val="16"/>
          <w:szCs w:val="16"/>
          <w:lang w:val="es-ES"/>
        </w:rPr>
        <w:t xml:space="preserve"> es decir, no guarda relación con ningún consumo en el suministro a lo largo del periodo comprendido entre el mes de septiembre del año 2019 hasta el mes de enero de 2022, ni es congruente con el censo de carga efectuado por el CAU.</w:t>
      </w:r>
      <w:r w:rsidR="00081CEC">
        <w:rPr>
          <w:rFonts w:ascii="Museo 300" w:eastAsia="SimSun" w:hAnsi="Museo 300" w:cs="Segoe UI"/>
          <w:i/>
          <w:iCs/>
          <w:spacing w:val="-5"/>
          <w:sz w:val="16"/>
          <w:szCs w:val="16"/>
          <w:lang w:val="es-ES"/>
        </w:rPr>
        <w:t xml:space="preserve"> </w:t>
      </w:r>
      <w:r w:rsidR="00081CEC" w:rsidRPr="00081CEC">
        <w:rPr>
          <w:rFonts w:ascii="Museo 300" w:eastAsia="SimSun" w:hAnsi="Museo 300" w:cs="Segoe UI"/>
          <w:i/>
          <w:iCs/>
          <w:spacing w:val="-5"/>
          <w:sz w:val="18"/>
          <w:szCs w:val="18"/>
          <w:lang w:val="es-ES"/>
        </w:rPr>
        <w:t>(…)</w:t>
      </w:r>
    </w:p>
    <w:p w14:paraId="5EE5D589" w14:textId="2A79E85D" w:rsidR="0065137E" w:rsidRPr="00DE35AC" w:rsidRDefault="0065137E" w:rsidP="0065137E">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01C7060E" w14:textId="7DCB2E11" w:rsidR="00081CEC" w:rsidRDefault="00081CEC" w:rsidP="0090541E">
      <w:pPr>
        <w:spacing w:after="0" w:line="240" w:lineRule="auto"/>
        <w:ind w:left="1211" w:right="425"/>
        <w:contextualSpacing/>
        <w:jc w:val="both"/>
        <w:rPr>
          <w:rFonts w:ascii="Museo 300" w:eastAsia="SimSun" w:hAnsi="Museo 300" w:cs="Segoe UI"/>
          <w:i/>
          <w:iCs/>
          <w:spacing w:val="-5"/>
          <w:sz w:val="16"/>
          <w:szCs w:val="16"/>
          <w:lang w:val="es-ES"/>
        </w:rPr>
      </w:pPr>
      <w:r w:rsidRPr="00081CEC">
        <w:rPr>
          <w:rFonts w:ascii="Museo 300" w:eastAsia="SimSun" w:hAnsi="Museo 300" w:cs="Segoe UI"/>
          <w:spacing w:val="-5"/>
          <w:sz w:val="16"/>
          <w:szCs w:val="16"/>
          <w:lang w:val="es-ES"/>
        </w:rPr>
        <w:t xml:space="preserve">Sobre lo anterior, traemos a cuenta lo determinado en el numeral 5.2 del Procedimiento para Investigar la Existencia de Condiciones Irregulares en el Suministro de Energía Eléctrica del Usuario Final, “5.2 Los cálculos de estos consumos, deberán basarse en los siguientes </w:t>
      </w:r>
      <w:proofErr w:type="gramStart"/>
      <w:r w:rsidRPr="00081CEC">
        <w:rPr>
          <w:rFonts w:ascii="Museo 300" w:eastAsia="SimSun" w:hAnsi="Museo 300" w:cs="Segoe UI"/>
          <w:spacing w:val="-5"/>
          <w:sz w:val="16"/>
          <w:szCs w:val="16"/>
          <w:lang w:val="es-ES"/>
        </w:rPr>
        <w:t>elementos:…</w:t>
      </w:r>
      <w:proofErr w:type="gramEnd"/>
      <w:r w:rsidRPr="00081CEC">
        <w:rPr>
          <w:rFonts w:ascii="Museo 300" w:eastAsia="SimSun" w:hAnsi="Museo 300" w:cs="Segoe UI"/>
          <w:spacing w:val="-5"/>
          <w:sz w:val="16"/>
          <w:szCs w:val="16"/>
          <w:lang w:val="es-ES"/>
        </w:rPr>
        <w:t>c) Carga no medida o registrada”. En base a lo anterior, la distribuidora EEO ha utilizado un método de cálculo válido y ya determinado dentro del Procedimiento establecido en el Acuerdo 283-E-2011, que es el que define la forma de proceder en caso de Condiciones Irregulares.</w:t>
      </w:r>
      <w:r w:rsidRPr="00081CEC">
        <w:rPr>
          <w:rFonts w:ascii="Museo 300" w:eastAsia="SimSun" w:hAnsi="Museo 300" w:cs="Segoe UI"/>
          <w:i/>
          <w:iCs/>
          <w:spacing w:val="-5"/>
          <w:sz w:val="16"/>
          <w:szCs w:val="16"/>
          <w:lang w:val="es-ES"/>
        </w:rPr>
        <w:t xml:space="preserve"> […]”</w:t>
      </w:r>
    </w:p>
    <w:p w14:paraId="76B32AC6" w14:textId="77777777" w:rsidR="0090541E" w:rsidRPr="0090541E" w:rsidRDefault="0090541E" w:rsidP="0090541E">
      <w:pPr>
        <w:spacing w:after="0" w:line="240" w:lineRule="auto"/>
        <w:ind w:left="1211" w:right="425"/>
        <w:contextualSpacing/>
        <w:jc w:val="both"/>
        <w:rPr>
          <w:rStyle w:val="normaltextrun"/>
          <w:rFonts w:ascii="Museo 300" w:eastAsia="SimSun" w:hAnsi="Museo 300" w:cs="Segoe UI"/>
          <w:i/>
          <w:iCs/>
          <w:spacing w:val="-5"/>
          <w:sz w:val="16"/>
          <w:szCs w:val="16"/>
          <w:lang w:val="es-ES"/>
        </w:rPr>
      </w:pPr>
    </w:p>
    <w:p w14:paraId="6DAA6A6B" w14:textId="77777777" w:rsidR="00090692" w:rsidRPr="00DE35AC" w:rsidRDefault="00090692" w:rsidP="00090692">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1B4FFC8D" w14:textId="5426EB10" w:rsidR="0090541E" w:rsidRPr="0090541E" w:rsidRDefault="0090541E" w:rsidP="0090541E">
      <w:pPr>
        <w:pStyle w:val="Textoindependiente"/>
        <w:spacing w:after="220" w:line="180" w:lineRule="atLeast"/>
        <w:ind w:left="720"/>
        <w:jc w:val="both"/>
        <w:rPr>
          <w:rFonts w:ascii="Museo 300" w:eastAsia="SimSun" w:hAnsi="Museo 300" w:cs="Arial"/>
          <w:spacing w:val="-5"/>
          <w:sz w:val="16"/>
          <w:szCs w:val="16"/>
          <w:lang w:val="es-ES"/>
        </w:rPr>
      </w:pPr>
      <w:r w:rsidRPr="0090541E">
        <w:rPr>
          <w:rFonts w:ascii="Museo 300" w:eastAsia="SimSun" w:hAnsi="Museo 300" w:cs="Arial"/>
          <w:spacing w:val="-5"/>
          <w:sz w:val="16"/>
          <w:szCs w:val="16"/>
          <w:lang w:val="es-ES"/>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 ya que tal como se mencionó anteriormente el cálculo de la ENR con</w:t>
      </w:r>
      <w:r w:rsidRPr="0090541E">
        <w:rPr>
          <w:rFonts w:ascii="Museo 300" w:eastAsia="SimSun" w:hAnsi="Museo 300"/>
          <w:spacing w:val="-5"/>
          <w:sz w:val="16"/>
          <w:szCs w:val="16"/>
          <w:lang w:val="es-ES"/>
        </w:rPr>
        <w:t xml:space="preserve"> base en una corriente instantánea medida, sin que esta sea justificada con las características de los equipos eléctricos que la demanda, nos da un resultado erróneo y muy superior de la energía real que se pudo estar demandando por una línea directa como la que se analizó en el informe técnico </w:t>
      </w:r>
      <w:r w:rsidR="008A778B">
        <w:rPr>
          <w:rFonts w:ascii="Museo 300" w:eastAsia="SimSun" w:hAnsi="Museo 300"/>
          <w:spacing w:val="-5"/>
          <w:sz w:val="16"/>
          <w:szCs w:val="16"/>
          <w:lang w:val="es-ES"/>
        </w:rPr>
        <w:t>XXX</w:t>
      </w:r>
      <w:r w:rsidRPr="0090541E">
        <w:rPr>
          <w:rFonts w:ascii="Museo 300" w:eastAsia="SimSun" w:hAnsi="Museo 300"/>
          <w:spacing w:val="-5"/>
          <w:sz w:val="16"/>
          <w:szCs w:val="16"/>
          <w:lang w:val="es-ES"/>
        </w:rPr>
        <w:t>.</w:t>
      </w:r>
    </w:p>
    <w:p w14:paraId="5F827A8E" w14:textId="574510C2" w:rsidR="0065137E" w:rsidRPr="00090692" w:rsidRDefault="00090692" w:rsidP="009E08BC">
      <w:pPr>
        <w:pStyle w:val="Textoindependiente"/>
        <w:numPr>
          <w:ilvl w:val="0"/>
          <w:numId w:val="13"/>
        </w:numPr>
        <w:spacing w:after="220" w:line="180" w:lineRule="atLeast"/>
        <w:ind w:left="1080"/>
        <w:jc w:val="both"/>
        <w:rPr>
          <w:rStyle w:val="normaltextrun"/>
          <w:rFonts w:ascii="Museo 300" w:hAnsi="Museo 300" w:cs="Arial"/>
          <w:sz w:val="16"/>
          <w:szCs w:val="16"/>
        </w:rPr>
      </w:pPr>
      <w:r w:rsidRPr="00DE35AC">
        <w:rPr>
          <w:rFonts w:ascii="Museo 300" w:hAnsi="Museo 300" w:cs="Arial"/>
          <w:b/>
          <w:bCs/>
          <w:sz w:val="16"/>
          <w:szCs w:val="16"/>
        </w:rPr>
        <w:t>Comentario del</w:t>
      </w:r>
      <w:r>
        <w:rPr>
          <w:rFonts w:ascii="Museo 300" w:hAnsi="Museo 300" w:cs="Arial"/>
          <w:b/>
          <w:bCs/>
          <w:sz w:val="16"/>
          <w:szCs w:val="16"/>
        </w:rPr>
        <w:t xml:space="preserve"> informe téc</w:t>
      </w:r>
      <w:r w:rsidR="009B5BEA">
        <w:rPr>
          <w:rFonts w:ascii="Museo 300" w:hAnsi="Museo 300" w:cs="Arial"/>
          <w:b/>
          <w:bCs/>
          <w:sz w:val="16"/>
          <w:szCs w:val="16"/>
        </w:rPr>
        <w:t xml:space="preserve">nico </w:t>
      </w:r>
      <w:r w:rsidR="008A778B">
        <w:rPr>
          <w:rFonts w:ascii="Museo 300" w:hAnsi="Museo 300" w:cs="Arial"/>
          <w:b/>
          <w:bCs/>
          <w:sz w:val="16"/>
          <w:szCs w:val="16"/>
        </w:rPr>
        <w:t>XXX</w:t>
      </w:r>
      <w:r w:rsidRPr="00DE35AC">
        <w:rPr>
          <w:rFonts w:ascii="Museo 300" w:hAnsi="Museo 300" w:cs="Arial"/>
          <w:b/>
          <w:bCs/>
          <w:sz w:val="16"/>
          <w:szCs w:val="16"/>
        </w:rPr>
        <w:t xml:space="preserve">: </w:t>
      </w:r>
    </w:p>
    <w:p w14:paraId="02B4F0F3" w14:textId="73F5813C" w:rsidR="00941631" w:rsidRPr="00941631" w:rsidRDefault="00DE35AC" w:rsidP="00941631">
      <w:pPr>
        <w:pStyle w:val="Prrafodelista"/>
        <w:ind w:left="1211" w:right="425"/>
        <w:jc w:val="both"/>
        <w:rPr>
          <w:rFonts w:ascii="Museo 300" w:hAnsi="Museo 300" w:cs="Segoe UI"/>
          <w:i/>
          <w:sz w:val="16"/>
          <w:szCs w:val="16"/>
        </w:rPr>
      </w:pPr>
      <w:r w:rsidRPr="00DE35AC">
        <w:rPr>
          <w:rStyle w:val="normaltextrun"/>
          <w:rFonts w:ascii="Museo 300" w:hAnsi="Museo 300" w:cs="Segoe UI"/>
          <w:i/>
          <w:iCs/>
          <w:sz w:val="16"/>
          <w:szCs w:val="16"/>
        </w:rPr>
        <w:t xml:space="preserve">(…) </w:t>
      </w:r>
      <w:r w:rsidR="00F31A69">
        <w:rPr>
          <w:rStyle w:val="normaltextrun"/>
          <w:rFonts w:ascii="Museo 300" w:hAnsi="Museo 300" w:cs="Segoe UI"/>
          <w:i/>
          <w:sz w:val="16"/>
          <w:szCs w:val="16"/>
        </w:rPr>
        <w:t>C</w:t>
      </w:r>
      <w:r w:rsidRPr="00DE35AC">
        <w:rPr>
          <w:rStyle w:val="normaltextrun"/>
          <w:rFonts w:ascii="Museo 300" w:hAnsi="Museo 300" w:cs="Segoe UI"/>
          <w:i/>
          <w:sz w:val="16"/>
          <w:szCs w:val="16"/>
        </w:rPr>
        <w:t>on la</w:t>
      </w:r>
      <w:r w:rsidR="009B5BEA">
        <w:rPr>
          <w:rStyle w:val="normaltextrun"/>
          <w:rFonts w:ascii="Museo 300" w:hAnsi="Museo 300" w:cs="Segoe UI"/>
          <w:i/>
          <w:sz w:val="16"/>
          <w:szCs w:val="16"/>
        </w:rPr>
        <w:t xml:space="preserve"> </w:t>
      </w:r>
      <w:r w:rsidR="00056AE4">
        <w:rPr>
          <w:rStyle w:val="normaltextrun"/>
          <w:rFonts w:ascii="Museo 300" w:hAnsi="Museo 300" w:cs="Segoe UI"/>
          <w:i/>
          <w:sz w:val="16"/>
          <w:szCs w:val="16"/>
        </w:rPr>
        <w:t>finalidad</w:t>
      </w:r>
      <w:r w:rsidR="009B5BEA">
        <w:rPr>
          <w:rStyle w:val="normaltextrun"/>
          <w:rFonts w:ascii="Museo 300" w:hAnsi="Museo 300" w:cs="Segoe UI"/>
          <w:i/>
          <w:sz w:val="16"/>
          <w:szCs w:val="16"/>
        </w:rPr>
        <w:t xml:space="preserve"> </w:t>
      </w:r>
      <w:r w:rsidR="00941631" w:rsidRPr="00941631">
        <w:rPr>
          <w:rFonts w:ascii="Museo 300" w:eastAsia="SimSun" w:hAnsi="Museo 300" w:cs="Segoe UI"/>
          <w:i/>
          <w:spacing w:val="-5"/>
          <w:sz w:val="16"/>
          <w:szCs w:val="16"/>
          <w:lang w:val="es-ES"/>
        </w:rPr>
        <w:t xml:space="preserve">de mejorar la representatividad del consumo mensual promedio, </w:t>
      </w:r>
      <w:r w:rsidR="0090541E">
        <w:rPr>
          <w:rFonts w:ascii="Museo 300" w:eastAsia="SimSun" w:hAnsi="Museo 300" w:cs="Segoe UI"/>
          <w:i/>
          <w:spacing w:val="-5"/>
          <w:sz w:val="16"/>
          <w:szCs w:val="16"/>
          <w:lang w:val="es-ES"/>
        </w:rPr>
        <w:t>la Su</w:t>
      </w:r>
      <w:r w:rsidR="00941631" w:rsidRPr="00941631">
        <w:rPr>
          <w:rFonts w:ascii="Museo 300" w:eastAsia="SimSun" w:hAnsi="Museo 300" w:cs="Segoe UI"/>
          <w:i/>
          <w:spacing w:val="-5"/>
          <w:sz w:val="16"/>
          <w:szCs w:val="16"/>
          <w:lang w:val="es-ES"/>
        </w:rPr>
        <w:t xml:space="preserve">perintendencia define que, </w:t>
      </w:r>
      <w:r w:rsidR="00941631" w:rsidRPr="00941631">
        <w:rPr>
          <w:rFonts w:ascii="Museo 300" w:eastAsia="SimSun" w:hAnsi="Museo 300" w:cs="Segoe UI"/>
          <w:b/>
          <w:bCs/>
          <w:i/>
          <w:spacing w:val="-5"/>
          <w:sz w:val="16"/>
          <w:szCs w:val="16"/>
          <w:u w:val="single"/>
          <w:lang w:val="es-ES"/>
        </w:rPr>
        <w:t>para casos como este, donde no se tiene certeza de cuál era la carga no registrada en el suministro</w:t>
      </w:r>
      <w:r w:rsidR="00941631" w:rsidRPr="00941631">
        <w:rPr>
          <w:rFonts w:ascii="Museo 300" w:eastAsia="SimSun" w:hAnsi="Museo 300" w:cs="Segoe UI"/>
          <w:i/>
          <w:spacing w:val="-5"/>
          <w:sz w:val="16"/>
          <w:szCs w:val="16"/>
          <w:lang w:val="es-ES"/>
        </w:rPr>
        <w:t xml:space="preserve">, y </w:t>
      </w:r>
      <w:r w:rsidR="0090541E">
        <w:rPr>
          <w:rFonts w:ascii="Museo 300" w:eastAsia="SimSun" w:hAnsi="Museo 300" w:cs="Segoe UI"/>
          <w:i/>
          <w:spacing w:val="-5"/>
          <w:sz w:val="16"/>
          <w:szCs w:val="16"/>
          <w:lang w:val="es-ES"/>
        </w:rPr>
        <w:t xml:space="preserve">no </w:t>
      </w:r>
      <w:r w:rsidR="00941631" w:rsidRPr="00941631">
        <w:rPr>
          <w:rFonts w:ascii="Museo 300" w:eastAsia="SimSun" w:hAnsi="Museo 300" w:cs="Segoe UI"/>
          <w:i/>
          <w:spacing w:val="-5"/>
          <w:sz w:val="16"/>
          <w:szCs w:val="16"/>
          <w:lang w:val="es-ES"/>
        </w:rPr>
        <w:t xml:space="preserve">se observa un </w:t>
      </w:r>
      <w:r w:rsidR="0090541E">
        <w:rPr>
          <w:rFonts w:ascii="Museo 300" w:eastAsia="SimSun" w:hAnsi="Museo 300" w:cs="Segoe UI"/>
          <w:i/>
          <w:spacing w:val="-5"/>
          <w:sz w:val="16"/>
          <w:szCs w:val="16"/>
          <w:lang w:val="es-ES"/>
        </w:rPr>
        <w:t>incremento</w:t>
      </w:r>
      <w:r w:rsidR="00941631" w:rsidRPr="00941631">
        <w:rPr>
          <w:rFonts w:ascii="Museo 300" w:eastAsia="SimSun" w:hAnsi="Museo 300" w:cs="Segoe UI"/>
          <w:i/>
          <w:spacing w:val="-5"/>
          <w:sz w:val="16"/>
          <w:szCs w:val="16"/>
          <w:lang w:val="es-ES"/>
        </w:rPr>
        <w:t xml:space="preserve"> en el patrón de consumo por parte del usuario final posterior a la normalización, es recomendable emplear el método </w:t>
      </w:r>
      <w:r w:rsidR="0090541E">
        <w:rPr>
          <w:rFonts w:ascii="Museo 300" w:eastAsia="SimSun" w:hAnsi="Museo 300" w:cs="Segoe UI"/>
          <w:i/>
          <w:spacing w:val="-5"/>
          <w:sz w:val="16"/>
          <w:szCs w:val="16"/>
          <w:lang w:val="es-ES"/>
        </w:rPr>
        <w:t xml:space="preserve">de censo de cargas </w:t>
      </w:r>
      <w:r w:rsidR="00941631" w:rsidRPr="00941631">
        <w:rPr>
          <w:rFonts w:ascii="Museo 300" w:eastAsia="SimSun" w:hAnsi="Museo 300" w:cs="Segoe UI"/>
          <w:i/>
          <w:spacing w:val="-5"/>
          <w:sz w:val="16"/>
          <w:szCs w:val="16"/>
          <w:lang w:val="es-ES"/>
        </w:rPr>
        <w:t xml:space="preserve">establecido en el literal </w:t>
      </w:r>
      <w:r w:rsidR="002B55BA">
        <w:rPr>
          <w:rFonts w:ascii="Museo 300" w:eastAsia="SimSun" w:hAnsi="Museo 300" w:cs="Segoe UI"/>
          <w:i/>
          <w:spacing w:val="-5"/>
          <w:sz w:val="16"/>
          <w:szCs w:val="16"/>
          <w:lang w:val="es-ES"/>
        </w:rPr>
        <w:t>i</w:t>
      </w:r>
      <w:r w:rsidR="00941631" w:rsidRPr="00941631">
        <w:rPr>
          <w:rFonts w:ascii="Museo 300" w:eastAsia="SimSun" w:hAnsi="Museo 300" w:cs="Segoe UI"/>
          <w:i/>
          <w:spacing w:val="-5"/>
          <w:sz w:val="16"/>
          <w:szCs w:val="16"/>
          <w:lang w:val="es-ES"/>
        </w:rPr>
        <w:t>) del artículo 5.2 del Procedimiento contenido en el acuerdo N. 283-E-2011</w:t>
      </w:r>
      <w:r w:rsidR="002B55BA">
        <w:rPr>
          <w:rFonts w:ascii="Museo 300" w:eastAsia="SimSun" w:hAnsi="Museo 300" w:cs="Segoe UI"/>
          <w:i/>
          <w:spacing w:val="-5"/>
          <w:sz w:val="16"/>
          <w:szCs w:val="16"/>
          <w:lang w:val="es-ES"/>
        </w:rPr>
        <w:t>”</w:t>
      </w:r>
      <w:r w:rsidR="00941631" w:rsidRPr="00941631">
        <w:rPr>
          <w:rFonts w:ascii="Museo 300" w:eastAsia="SimSun" w:hAnsi="Museo 300" w:cs="Segoe UI"/>
          <w:i/>
          <w:spacing w:val="-5"/>
          <w:sz w:val="16"/>
          <w:szCs w:val="16"/>
          <w:lang w:val="es-ES"/>
        </w:rPr>
        <w:t xml:space="preserve">, </w:t>
      </w:r>
      <w:r w:rsidR="002B55BA">
        <w:rPr>
          <w:rFonts w:ascii="Museo 300" w:eastAsia="SimSun" w:hAnsi="Museo 300" w:cs="Segoe UI"/>
          <w:i/>
          <w:spacing w:val="-5"/>
          <w:sz w:val="16"/>
          <w:szCs w:val="16"/>
          <w:lang w:val="es-ES"/>
        </w:rPr>
        <w:t>En consecuencia el censo establecido por el CAU, por un valor de 113 kWh/mensuales nos da un valor aceptable sobre el consumo real de energía consumida en la vivienda de la señora Chacón</w:t>
      </w:r>
      <w:r w:rsidR="00941631" w:rsidRPr="00941631">
        <w:rPr>
          <w:rFonts w:ascii="Museo 300" w:eastAsia="SimSun" w:hAnsi="Museo 300" w:cs="Segoe UI"/>
          <w:i/>
          <w:iCs/>
          <w:spacing w:val="-5"/>
          <w:sz w:val="16"/>
          <w:szCs w:val="16"/>
          <w:lang w:val="es-ES"/>
        </w:rPr>
        <w:t>.</w:t>
      </w:r>
      <w:r w:rsidR="002B55BA">
        <w:rPr>
          <w:rFonts w:ascii="Museo 300" w:eastAsia="SimSun" w:hAnsi="Museo 300" w:cs="Segoe UI"/>
          <w:i/>
          <w:iCs/>
          <w:spacing w:val="-5"/>
          <w:sz w:val="16"/>
          <w:szCs w:val="16"/>
          <w:lang w:val="es-ES"/>
        </w:rPr>
        <w:t xml:space="preserve"> </w:t>
      </w:r>
      <w:r w:rsidR="00941631">
        <w:rPr>
          <w:rFonts w:ascii="Museo 300" w:eastAsia="SimSun" w:hAnsi="Museo 300" w:cs="Segoe UI"/>
          <w:i/>
          <w:iCs/>
          <w:spacing w:val="-5"/>
          <w:sz w:val="16"/>
          <w:szCs w:val="16"/>
          <w:lang w:val="es-ES"/>
        </w:rPr>
        <w:t>(…)</w:t>
      </w:r>
    </w:p>
    <w:p w14:paraId="6CEF3229" w14:textId="77777777"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C2C0A14" w14:textId="77777777" w:rsidR="002B55BA" w:rsidRPr="002B55BA" w:rsidRDefault="002B55BA" w:rsidP="002B55BA">
      <w:pPr>
        <w:spacing w:after="0" w:line="240" w:lineRule="auto"/>
        <w:ind w:left="1211" w:right="425"/>
        <w:contextualSpacing/>
        <w:jc w:val="both"/>
        <w:rPr>
          <w:rFonts w:ascii="Museo 300" w:eastAsia="SimSun" w:hAnsi="Museo 300" w:cs="Segoe UI"/>
          <w:spacing w:val="-5"/>
          <w:sz w:val="16"/>
          <w:szCs w:val="16"/>
          <w:lang w:val="es-ES"/>
        </w:rPr>
      </w:pPr>
      <w:r w:rsidRPr="002B55BA">
        <w:rPr>
          <w:rFonts w:ascii="Museo 300" w:eastAsia="SimSun" w:hAnsi="Museo 300" w:cs="Segoe UI"/>
          <w:spacing w:val="-5"/>
          <w:sz w:val="16"/>
          <w:szCs w:val="16"/>
          <w:lang w:val="es-ES"/>
        </w:rPr>
        <w:t>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las fotografías de la corriente medida en la línea directa a 120 voltios fuera de medición, que corresponde a la carga no registrada en el suministro.</w:t>
      </w:r>
    </w:p>
    <w:p w14:paraId="208B7962" w14:textId="77777777" w:rsidR="002B55BA" w:rsidRPr="002B55BA" w:rsidRDefault="002B55BA" w:rsidP="002B55BA">
      <w:pPr>
        <w:spacing w:after="0" w:line="240" w:lineRule="auto"/>
        <w:ind w:left="1211" w:right="425"/>
        <w:contextualSpacing/>
        <w:jc w:val="both"/>
        <w:rPr>
          <w:rFonts w:ascii="Museo 300" w:eastAsia="SimSun" w:hAnsi="Museo 300" w:cs="Segoe UI"/>
          <w:spacing w:val="-5"/>
          <w:sz w:val="18"/>
          <w:szCs w:val="18"/>
          <w:lang w:val="es-ES"/>
        </w:rPr>
      </w:pPr>
    </w:p>
    <w:p w14:paraId="21BC6F75" w14:textId="77777777" w:rsidR="002B55BA" w:rsidRPr="002B55BA" w:rsidRDefault="002B55BA" w:rsidP="002B55BA">
      <w:pPr>
        <w:spacing w:after="0" w:line="240" w:lineRule="auto"/>
        <w:ind w:left="1211" w:right="425"/>
        <w:contextualSpacing/>
        <w:jc w:val="both"/>
        <w:rPr>
          <w:rFonts w:ascii="Museo 300" w:eastAsia="SimSun" w:hAnsi="Museo 300" w:cs="Segoe UI"/>
          <w:spacing w:val="-5"/>
          <w:sz w:val="16"/>
          <w:szCs w:val="16"/>
          <w:lang w:val="es-ES"/>
        </w:rPr>
      </w:pPr>
      <w:r w:rsidRPr="002B55BA">
        <w:rPr>
          <w:rFonts w:ascii="Museo 300" w:eastAsia="SimSun" w:hAnsi="Museo 300" w:cs="Segoe UI"/>
          <w:spacing w:val="-5"/>
          <w:sz w:val="16"/>
          <w:szCs w:val="16"/>
          <w:lang w:val="es-ES"/>
        </w:rPr>
        <w:t xml:space="preserve">En cuanto al comentario </w:t>
      </w:r>
      <w:r w:rsidRPr="002B55BA">
        <w:rPr>
          <w:rFonts w:ascii="Museo 300" w:eastAsia="SimSun" w:hAnsi="Museo 300" w:cs="Segoe UI"/>
          <w:b/>
          <w:bCs/>
          <w:spacing w:val="-5"/>
          <w:sz w:val="16"/>
          <w:szCs w:val="16"/>
          <w:lang w:val="es-ES"/>
        </w:rPr>
        <w:t>“el censo establecido por el CAU, por un valor de 113 kWh/mensuales nos da un valor aceptable sobre el consumo real de energía consumida en la vivienda“</w:t>
      </w:r>
      <w:r w:rsidRPr="002B55BA">
        <w:rPr>
          <w:rFonts w:ascii="Museo 300" w:eastAsia="SimSun" w:hAnsi="Museo 300" w:cs="Segoe UI"/>
          <w:spacing w:val="-5"/>
          <w:sz w:val="16"/>
          <w:szCs w:val="16"/>
          <w:lang w:val="es-ES"/>
        </w:rPr>
        <w:t xml:space="preserve"> La decisión del CAU, de utilizar el censo de carga instalada en la vivienda como método de cálculo en el presente caso, es contrario a lo establecido en el mismo literal i) del numeral 5.2 del Procedimiento del Acuerdo 283-E-2011, ya que este menciona </w:t>
      </w:r>
      <w:r w:rsidRPr="002B55BA">
        <w:rPr>
          <w:rFonts w:ascii="Museo 300" w:eastAsia="SimSun" w:hAnsi="Museo 300" w:cs="Segoe UI"/>
          <w:b/>
          <w:bCs/>
          <w:spacing w:val="-5"/>
          <w:sz w:val="16"/>
          <w:szCs w:val="16"/>
          <w:lang w:val="es-ES"/>
        </w:rPr>
        <w:t>“En caso de no contar con los elementos descritos</w:t>
      </w:r>
      <w:r w:rsidRPr="002B55BA">
        <w:rPr>
          <w:rFonts w:ascii="Museo 300" w:eastAsia="SimSun" w:hAnsi="Museo 300" w:cs="Segoe UI"/>
          <w:spacing w:val="-5"/>
          <w:sz w:val="16"/>
          <w:szCs w:val="16"/>
          <w:lang w:val="es-ES"/>
        </w:rPr>
        <w:t xml:space="preserve">, utilizar censo de carga instalada”.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y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“posterior” a encontrar la </w:t>
      </w:r>
      <w:r w:rsidRPr="002B55BA">
        <w:rPr>
          <w:rFonts w:ascii="Museo 300" w:eastAsia="SimSun" w:hAnsi="Museo 300" w:cs="Segoe UI"/>
          <w:spacing w:val="-5"/>
          <w:sz w:val="16"/>
          <w:szCs w:val="16"/>
          <w:lang w:val="es-ES"/>
        </w:rPr>
        <w:lastRenderedPageBreak/>
        <w:t>condición irregular, no es más certero que la corriente que fluye por la línea fuera de medición tomada por el personal técnico de la Distribuidora, al momento de la inspección y descubrimiento de la Condición Irregular.</w:t>
      </w:r>
    </w:p>
    <w:p w14:paraId="4AE1F044" w14:textId="15E57E8D" w:rsidR="002B55BA" w:rsidRDefault="002B55BA" w:rsidP="00941631">
      <w:pPr>
        <w:spacing w:after="0" w:line="240" w:lineRule="auto"/>
        <w:ind w:left="1211" w:right="425"/>
        <w:contextualSpacing/>
        <w:jc w:val="both"/>
        <w:rPr>
          <w:rFonts w:ascii="Museo 300" w:eastAsia="SimSun" w:hAnsi="Museo 300" w:cs="Segoe UI"/>
          <w:spacing w:val="-5"/>
          <w:sz w:val="16"/>
          <w:szCs w:val="16"/>
          <w:lang w:val="es-ES"/>
        </w:rPr>
      </w:pPr>
    </w:p>
    <w:p w14:paraId="73B577FC" w14:textId="77777777" w:rsidR="002B55BA" w:rsidRPr="002B55BA" w:rsidRDefault="002B55BA" w:rsidP="002B55BA">
      <w:pPr>
        <w:spacing w:after="0" w:line="240" w:lineRule="auto"/>
        <w:ind w:left="1211" w:right="425"/>
        <w:contextualSpacing/>
        <w:jc w:val="both"/>
        <w:rPr>
          <w:rFonts w:ascii="Museo 300" w:eastAsia="SimSun" w:hAnsi="Museo 300" w:cs="Segoe UI"/>
          <w:spacing w:val="-5"/>
          <w:sz w:val="16"/>
          <w:szCs w:val="16"/>
          <w:lang w:val="es-ES"/>
        </w:rPr>
      </w:pPr>
      <w:r w:rsidRPr="002B55BA">
        <w:rPr>
          <w:rFonts w:ascii="Museo 300" w:eastAsia="SimSun" w:hAnsi="Museo 300" w:cs="Segoe UI"/>
          <w:spacing w:val="-5"/>
          <w:sz w:val="16"/>
          <w:szCs w:val="16"/>
          <w:lang w:val="es-ES"/>
        </w:rPr>
        <w:t xml:space="preserve">Sobre este mismo punto, traemos a cuenta lo determinado por el CAU en informe técnico notificado mediante el acuerdo E-0598-2021-CAU, en el que estableció literalmente lo siguiente: “Al respecto, es preciso determinar que </w:t>
      </w:r>
      <w:r w:rsidRPr="002B55BA">
        <w:rPr>
          <w:rFonts w:ascii="Museo 300" w:eastAsia="SimSun" w:hAnsi="Museo 300" w:cs="Segoe UI"/>
          <w:spacing w:val="-5"/>
          <w:sz w:val="16"/>
          <w:szCs w:val="16"/>
          <w:u w:val="single"/>
          <w:lang w:val="es-ES"/>
        </w:rPr>
        <w:t>dicho método es aceptable</w:t>
      </w:r>
      <w:r w:rsidRPr="002B55BA">
        <w:rPr>
          <w:rFonts w:ascii="Museo 300" w:eastAsia="SimSun" w:hAnsi="Museo 300" w:cs="Segoe UI"/>
          <w:spacing w:val="-5"/>
          <w:sz w:val="16"/>
          <w:szCs w:val="16"/>
          <w:lang w:val="es-ES"/>
        </w:rPr>
        <w:t xml:space="preserve">, debido a que en el artículo 5.2, literal c) del artículo 5.2 del Procedimiento contenido en el acuerdo N. 283-E-2011, define como método a utilizar para calcular la energía no registrada, la carga no medida o registrada. </w:t>
      </w:r>
      <w:r w:rsidRPr="002B55BA">
        <w:rPr>
          <w:rFonts w:ascii="Museo 300" w:eastAsia="SimSun" w:hAnsi="Museo 300" w:cs="Segoe UI"/>
          <w:b/>
          <w:bCs/>
          <w:spacing w:val="-5"/>
          <w:sz w:val="16"/>
          <w:szCs w:val="16"/>
          <w:u w:val="single"/>
          <w:lang w:val="es-ES"/>
        </w:rPr>
        <w:t>Este método, nos proporciona un dato aproximado del consumo que pudo haber demandado el usuario a través de la condición irregular</w:t>
      </w:r>
      <w:r w:rsidRPr="002B55BA">
        <w:rPr>
          <w:rFonts w:ascii="Museo 300" w:eastAsia="SimSun" w:hAnsi="Museo 300" w:cs="Segoe UI"/>
          <w:spacing w:val="-5"/>
          <w:sz w:val="16"/>
          <w:szCs w:val="16"/>
          <w:lang w:val="es-ES"/>
        </w:rPr>
        <w:t xml:space="preserve">, este caso en particular por tratarse de una conexión directa, derivada o intercalada, los históricos de consumo no refleja el empleo de los equipos eléctricos, antes y después de la irregularidad, por lo que el método utilizado </w:t>
      </w:r>
      <w:r w:rsidRPr="002B55BA">
        <w:rPr>
          <w:rFonts w:ascii="Museo 300" w:eastAsia="SimSun" w:hAnsi="Museo 300" w:cs="Segoe UI"/>
          <w:b/>
          <w:bCs/>
          <w:spacing w:val="-5"/>
          <w:sz w:val="16"/>
          <w:szCs w:val="16"/>
          <w:u w:val="single"/>
          <w:lang w:val="es-ES"/>
        </w:rPr>
        <w:t>por la distribuidora EEO se apega con lo establecido en el referido Procedimiento</w:t>
      </w:r>
      <w:r w:rsidRPr="002B55BA">
        <w:rPr>
          <w:rFonts w:ascii="Museo 300" w:eastAsia="SimSun" w:hAnsi="Museo 300" w:cs="Segoe UI"/>
          <w:b/>
          <w:bCs/>
          <w:spacing w:val="-5"/>
          <w:sz w:val="16"/>
          <w:szCs w:val="16"/>
          <w:lang w:val="es-ES"/>
        </w:rPr>
        <w:t xml:space="preserve"> </w:t>
      </w:r>
      <w:r w:rsidRPr="002B55BA">
        <w:rPr>
          <w:rFonts w:ascii="Museo 300" w:eastAsia="SimSun" w:hAnsi="Museo 300" w:cs="Segoe UI"/>
          <w:spacing w:val="-5"/>
          <w:sz w:val="16"/>
          <w:szCs w:val="16"/>
          <w:lang w:val="es-ES"/>
        </w:rPr>
        <w:t>y es aplicable en el presente caso” el subrayado es nuestro.</w:t>
      </w:r>
    </w:p>
    <w:p w14:paraId="13C8E37A" w14:textId="77777777" w:rsidR="002B55BA" w:rsidRPr="002B55BA" w:rsidRDefault="002B55BA" w:rsidP="002B55BA">
      <w:pPr>
        <w:spacing w:after="0" w:line="240" w:lineRule="auto"/>
        <w:ind w:right="425"/>
        <w:jc w:val="both"/>
        <w:rPr>
          <w:rFonts w:ascii="Museo 300" w:eastAsia="SimSun" w:hAnsi="Museo 300" w:cs="Segoe UI"/>
          <w:spacing w:val="-5"/>
          <w:sz w:val="18"/>
          <w:szCs w:val="18"/>
          <w:lang w:val="es-ES"/>
        </w:rPr>
      </w:pPr>
    </w:p>
    <w:p w14:paraId="35E227C4" w14:textId="537409F3" w:rsidR="00DE35AC" w:rsidRPr="00941631" w:rsidRDefault="002B55BA" w:rsidP="002B55BA">
      <w:pPr>
        <w:spacing w:after="0" w:line="240" w:lineRule="auto"/>
        <w:ind w:left="1211" w:right="425"/>
        <w:contextualSpacing/>
        <w:jc w:val="both"/>
        <w:rPr>
          <w:rStyle w:val="normaltextrun"/>
          <w:rFonts w:ascii="Museo 300" w:eastAsia="SimSun" w:hAnsi="Museo 300" w:cs="Segoe UI"/>
          <w:spacing w:val="-5"/>
          <w:sz w:val="16"/>
          <w:szCs w:val="16"/>
          <w:lang w:val="es-ES"/>
        </w:rPr>
      </w:pPr>
      <w:r w:rsidRPr="002B55BA">
        <w:rPr>
          <w:rFonts w:ascii="Museo 300" w:eastAsia="SimSun" w:hAnsi="Museo 300" w:cs="Segoe UI"/>
          <w:spacing w:val="-5"/>
          <w:sz w:val="16"/>
          <w:szCs w:val="16"/>
          <w:lang w:val="es-ES"/>
        </w:rPr>
        <w:t>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Regulador bajo criterios personales y no adaptándose al mismo cuerpo normativ</w:t>
      </w:r>
      <w:r>
        <w:rPr>
          <w:rFonts w:ascii="Museo 300" w:eastAsia="SimSun" w:hAnsi="Museo 300" w:cs="Segoe UI"/>
          <w:spacing w:val="-5"/>
          <w:sz w:val="16"/>
          <w:szCs w:val="16"/>
          <w:lang w:val="es-ES"/>
        </w:rPr>
        <w:t>o</w:t>
      </w:r>
      <w:r w:rsidR="00DE35AC" w:rsidRPr="00090692">
        <w:rPr>
          <w:rStyle w:val="normaltextrun"/>
          <w:rFonts w:ascii="Museo 300" w:hAnsi="Museo 300" w:cs="Segoe UI"/>
          <w:sz w:val="16"/>
          <w:szCs w:val="16"/>
        </w:rPr>
        <w:t xml:space="preserve"> </w:t>
      </w:r>
      <w:r w:rsidR="00DE35AC" w:rsidRPr="00090692">
        <w:rPr>
          <w:rStyle w:val="normaltextrun"/>
          <w:rFonts w:ascii="Museo 300" w:hAnsi="Museo 300" w:cs="Segoe UI"/>
          <w:i/>
          <w:iCs/>
          <w:sz w:val="16"/>
          <w:szCs w:val="16"/>
        </w:rPr>
        <w:t>[…]”</w:t>
      </w:r>
    </w:p>
    <w:p w14:paraId="1787C013" w14:textId="77777777" w:rsidR="00941631" w:rsidRPr="00090692" w:rsidRDefault="00941631" w:rsidP="00090692">
      <w:pPr>
        <w:spacing w:after="0" w:line="240" w:lineRule="auto"/>
        <w:ind w:left="1211" w:right="425"/>
        <w:contextualSpacing/>
        <w:jc w:val="both"/>
        <w:rPr>
          <w:rStyle w:val="normaltextrun"/>
          <w:rFonts w:ascii="Museo 300" w:eastAsia="SimSun" w:hAnsi="Museo 300" w:cs="Segoe UI"/>
          <w:spacing w:val="-5"/>
          <w:sz w:val="16"/>
          <w:szCs w:val="16"/>
          <w:lang w:val="es-ES"/>
        </w:rPr>
      </w:pPr>
    </w:p>
    <w:p w14:paraId="2731DCAC" w14:textId="048429F5" w:rsidR="00DE35AC" w:rsidRPr="00DE35AC" w:rsidRDefault="00DE35AC" w:rsidP="003627A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1ECB0AF7" w14:textId="77777777" w:rsidR="009C393F" w:rsidRPr="009C393F" w:rsidRDefault="009C393F" w:rsidP="009C393F">
      <w:pPr>
        <w:pStyle w:val="Textoindependiente"/>
        <w:shd w:val="clear" w:color="auto" w:fill="FFFFFF" w:themeFill="background1"/>
        <w:ind w:left="720"/>
        <w:rPr>
          <w:rFonts w:ascii="Museo 300" w:eastAsia="SimSun" w:hAnsi="Museo 300" w:cs="Arial"/>
          <w:spacing w:val="-5"/>
          <w:sz w:val="16"/>
          <w:szCs w:val="16"/>
          <w:lang w:val="es-ES"/>
        </w:rPr>
      </w:pPr>
      <w:r w:rsidRPr="009C393F">
        <w:rPr>
          <w:rFonts w:ascii="Museo 300" w:eastAsia="SimSun" w:hAnsi="Museo 300" w:cs="Arial"/>
          <w:spacing w:val="-5"/>
          <w:sz w:val="16"/>
          <w:szCs w:val="16"/>
          <w:lang w:val="es-ES"/>
        </w:rPr>
        <w:t>Respecto al argumento anterior es preciso determinar lo siguiente:</w:t>
      </w:r>
    </w:p>
    <w:p w14:paraId="6E707574" w14:textId="77777777" w:rsidR="009C393F" w:rsidRPr="009C393F" w:rsidRDefault="009C393F" w:rsidP="009E08BC">
      <w:pPr>
        <w:pStyle w:val="Textoindependiente"/>
        <w:numPr>
          <w:ilvl w:val="0"/>
          <w:numId w:val="8"/>
        </w:numPr>
        <w:shd w:val="clear" w:color="auto" w:fill="FFFFFF" w:themeFill="background1"/>
        <w:spacing w:after="220" w:line="180" w:lineRule="atLeast"/>
        <w:ind w:left="1440"/>
        <w:jc w:val="both"/>
        <w:rPr>
          <w:rFonts w:ascii="Museo 300" w:eastAsia="SimSun" w:hAnsi="Museo 300" w:cs="Arial"/>
          <w:b/>
          <w:bCs/>
          <w:spacing w:val="-5"/>
          <w:sz w:val="16"/>
          <w:szCs w:val="16"/>
          <w:lang w:val="es-ES"/>
        </w:rPr>
      </w:pPr>
      <w:r w:rsidRPr="009C393F">
        <w:rPr>
          <w:rFonts w:ascii="Museo 300" w:eastAsia="SimSun" w:hAnsi="Museo 300" w:cs="Arial"/>
          <w:spacing w:val="-5"/>
          <w:sz w:val="16"/>
          <w:szCs w:val="16"/>
          <w:lang w:val="es-ES"/>
        </w:rPr>
        <w:t>El análisis efectuado por el CAU fue realizado tomando como base lo establecido en el acuerdo N.° 283-E-2011, y por tanto este pertenece al marco normativo.</w:t>
      </w:r>
    </w:p>
    <w:p w14:paraId="6B56C72B" w14:textId="77777777" w:rsidR="009C393F" w:rsidRPr="009C393F" w:rsidRDefault="009C393F" w:rsidP="009E08BC">
      <w:pPr>
        <w:pStyle w:val="Textoindependiente"/>
        <w:numPr>
          <w:ilvl w:val="0"/>
          <w:numId w:val="8"/>
        </w:numPr>
        <w:shd w:val="clear" w:color="auto" w:fill="FFFFFF" w:themeFill="background1"/>
        <w:spacing w:after="220" w:line="180" w:lineRule="atLeast"/>
        <w:ind w:left="1440"/>
        <w:jc w:val="both"/>
        <w:rPr>
          <w:rFonts w:ascii="Museo 300" w:eastAsia="SimSun" w:hAnsi="Museo 300" w:cs="Arial"/>
          <w:b/>
          <w:bCs/>
          <w:spacing w:val="-5"/>
          <w:sz w:val="16"/>
          <w:szCs w:val="16"/>
          <w:lang w:val="es-ES"/>
        </w:rPr>
      </w:pPr>
      <w:r w:rsidRPr="009C393F">
        <w:rPr>
          <w:rFonts w:ascii="Museo 300" w:eastAsia="SimSun" w:hAnsi="Museo 300" w:cs="Arial"/>
          <w:spacing w:val="-5"/>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Pr="009C393F">
        <w:rPr>
          <w:rFonts w:ascii="Museo 300" w:eastAsia="SimSun" w:hAnsi="Museo 300"/>
          <w:spacing w:val="-5"/>
          <w:sz w:val="16"/>
          <w:szCs w:val="16"/>
          <w:lang w:val="es-ES"/>
        </w:rPr>
        <w:t xml:space="preserve"> a conocimiento del CAU, la distribuidora EEO ha basado sus cálculos para la recuperación de la ENR en métodos diferente al establecido en el literal “c” del procedimiento antes citado, e inclusive ha utilizado el censo de carga establecido en el literal i) del citado procedimiento.</w:t>
      </w:r>
      <w:r w:rsidRPr="009C393F">
        <w:rPr>
          <w:rFonts w:ascii="Museo 300" w:eastAsia="SimSun" w:hAnsi="Museo 300" w:cs="Arial"/>
          <w:spacing w:val="-5"/>
          <w:sz w:val="16"/>
          <w:szCs w:val="16"/>
          <w:lang w:val="es-ES"/>
        </w:rPr>
        <w:t xml:space="preserve"> </w:t>
      </w:r>
    </w:p>
    <w:p w14:paraId="7B23A957" w14:textId="77777777" w:rsidR="009C393F" w:rsidRPr="009C393F" w:rsidRDefault="009C393F" w:rsidP="009E08BC">
      <w:pPr>
        <w:pStyle w:val="Textoindependiente"/>
        <w:numPr>
          <w:ilvl w:val="0"/>
          <w:numId w:val="8"/>
        </w:numPr>
        <w:shd w:val="clear" w:color="auto" w:fill="FFFFFF" w:themeFill="background1"/>
        <w:spacing w:after="220" w:line="180" w:lineRule="atLeast"/>
        <w:ind w:left="1440"/>
        <w:jc w:val="both"/>
        <w:rPr>
          <w:rFonts w:ascii="Museo 300" w:eastAsia="SimSun" w:hAnsi="Museo 300" w:cs="Arial"/>
          <w:b/>
          <w:bCs/>
          <w:spacing w:val="-5"/>
          <w:sz w:val="16"/>
          <w:szCs w:val="16"/>
          <w:lang w:val="es-ES"/>
        </w:rPr>
      </w:pPr>
      <w:r w:rsidRPr="009C393F">
        <w:rPr>
          <w:rFonts w:ascii="Museo 300" w:eastAsia="SimSun" w:hAnsi="Museo 300" w:cs="Arial"/>
          <w:spacing w:val="-5"/>
          <w:sz w:val="16"/>
          <w:szCs w:val="16"/>
          <w:lang w:val="es-ES"/>
        </w:rPr>
        <w:t xml:space="preserve">El CAU determinó que el promedio mensual utilizado </w:t>
      </w:r>
      <w:r w:rsidRPr="009C393F">
        <w:rPr>
          <w:rFonts w:ascii="Museo 300" w:eastAsia="Times New Roman" w:hAnsi="Museo 300"/>
          <w:spacing w:val="-5"/>
          <w:sz w:val="16"/>
          <w:szCs w:val="16"/>
          <w:lang w:val="es-ES" w:eastAsia="es-SV"/>
        </w:rPr>
        <w:t>por la distribuidora (926 kWh), estimado por medio de la corriente instantánea que registraron al momento del hallazgo (21.44amperios) es muy superior al consumo real, debido a que EEO determino que la citada corriente era constante por 12 horas sin justificar técnicamente dicho criterio. De igual forma EEO no presentó más información para sustentar las cargas que estaban conectadas a la línea directa, y en consecuencia la energía que pudo haberse consumido debido a las horas de uso de estas cargas. Por lo cual dicho promedio no puede considerarse basado en un consumo real.</w:t>
      </w:r>
    </w:p>
    <w:p w14:paraId="22245E07" w14:textId="77777777" w:rsidR="009C393F" w:rsidRPr="009C393F" w:rsidRDefault="009C393F" w:rsidP="00BF7BEF">
      <w:pPr>
        <w:pStyle w:val="Textoindependiente"/>
        <w:spacing w:after="220" w:line="180" w:lineRule="atLeast"/>
        <w:ind w:left="720"/>
        <w:jc w:val="both"/>
        <w:rPr>
          <w:rFonts w:ascii="Museo 300" w:eastAsia="SimSun" w:hAnsi="Museo 300" w:cs="Arial"/>
          <w:spacing w:val="-5"/>
          <w:sz w:val="16"/>
          <w:szCs w:val="16"/>
          <w:lang w:val="es-ES"/>
        </w:rPr>
      </w:pPr>
      <w:r w:rsidRPr="009C393F">
        <w:rPr>
          <w:rFonts w:ascii="Museo 300" w:eastAsia="SimSun" w:hAnsi="Museo 300" w:cs="Arial"/>
          <w:spacing w:val="-5"/>
          <w:sz w:val="16"/>
          <w:szCs w:val="16"/>
          <w:lang w:val="es-ES"/>
        </w:rPr>
        <w:t xml:space="preserve">En ese sentido, el CAU determina que para el presente caso el consumo mensual estimado con base en el censo de carga, por un valor de 113 kWh, es representativo de la energía real que se pudo estar demandando en un suministro debido a una condición irregular. </w:t>
      </w:r>
    </w:p>
    <w:p w14:paraId="695CCCE6" w14:textId="287B9206" w:rsidR="00DE35AC" w:rsidRPr="00DE35AC" w:rsidRDefault="00DE35AC" w:rsidP="009E08BC">
      <w:pPr>
        <w:pStyle w:val="Textoindependiente"/>
        <w:numPr>
          <w:ilvl w:val="0"/>
          <w:numId w:val="13"/>
        </w:numPr>
        <w:spacing w:after="220" w:line="180" w:lineRule="atLeast"/>
        <w:ind w:left="1080"/>
        <w:jc w:val="both"/>
        <w:rPr>
          <w:rStyle w:val="normaltextrun"/>
          <w:rFonts w:ascii="Museo 300" w:hAnsi="Museo 300" w:cs="Arial"/>
          <w:sz w:val="16"/>
          <w:szCs w:val="16"/>
        </w:rPr>
      </w:pPr>
      <w:r w:rsidRPr="00DE35AC">
        <w:rPr>
          <w:rFonts w:ascii="Museo 300" w:hAnsi="Museo 300" w:cs="Arial"/>
          <w:b/>
          <w:bCs/>
          <w:sz w:val="16"/>
          <w:szCs w:val="16"/>
        </w:rPr>
        <w:t>Comentario del informe</w:t>
      </w:r>
      <w:r w:rsidR="00333491">
        <w:rPr>
          <w:rFonts w:ascii="Museo 300" w:hAnsi="Museo 300" w:cs="Arial"/>
          <w:b/>
          <w:bCs/>
          <w:sz w:val="16"/>
          <w:szCs w:val="16"/>
        </w:rPr>
        <w:t xml:space="preserve"> técnico </w:t>
      </w:r>
      <w:r w:rsidR="008A778B">
        <w:rPr>
          <w:rFonts w:ascii="Museo 300" w:hAnsi="Museo 300" w:cs="Arial"/>
          <w:b/>
          <w:bCs/>
          <w:sz w:val="16"/>
          <w:szCs w:val="16"/>
        </w:rPr>
        <w:t>XXX</w:t>
      </w:r>
      <w:r w:rsidRPr="00DE35AC">
        <w:rPr>
          <w:rFonts w:ascii="Museo 300" w:hAnsi="Museo 300" w:cs="Arial"/>
          <w:b/>
          <w:bCs/>
          <w:sz w:val="16"/>
          <w:szCs w:val="16"/>
        </w:rPr>
        <w:t xml:space="preserve">: </w:t>
      </w:r>
    </w:p>
    <w:p w14:paraId="25748417" w14:textId="4A1ECA18" w:rsidR="00BF7BEF" w:rsidRPr="00BF7BEF" w:rsidRDefault="00DE35AC" w:rsidP="00BF7BEF">
      <w:pPr>
        <w:pStyle w:val="Prrafodelista"/>
        <w:ind w:left="1211" w:right="425"/>
        <w:jc w:val="both"/>
        <w:rPr>
          <w:rFonts w:ascii="Museo 300" w:hAnsi="Museo 300" w:cs="Segoe UI"/>
          <w:i/>
          <w:iCs/>
          <w:sz w:val="16"/>
          <w:szCs w:val="16"/>
        </w:rPr>
      </w:pPr>
      <w:r w:rsidRPr="00DE35AC">
        <w:rPr>
          <w:rStyle w:val="normaltextrun"/>
          <w:rFonts w:ascii="Museo 300" w:hAnsi="Museo 300" w:cs="Segoe UI"/>
          <w:i/>
          <w:iCs/>
          <w:sz w:val="16"/>
          <w:szCs w:val="16"/>
        </w:rPr>
        <w:t>(…)</w:t>
      </w:r>
      <w:r w:rsidR="00BF7BEF" w:rsidRPr="00BF7BEF">
        <w:rPr>
          <w:rFonts w:ascii="Museo 300" w:eastAsia="SimSun" w:hAnsi="Museo 300" w:cs="Segoe UI"/>
          <w:b/>
          <w:bCs/>
          <w:i/>
          <w:iCs/>
          <w:spacing w:val="-5"/>
          <w:sz w:val="16"/>
          <w:szCs w:val="16"/>
          <w:lang w:val="es-ES"/>
        </w:rPr>
        <w:t>6. Dictamen…..</w:t>
      </w:r>
      <w:r w:rsidR="00BF7BEF" w:rsidRPr="00BF7BEF">
        <w:rPr>
          <w:rFonts w:ascii="Museo 300" w:eastAsia="SimSun" w:hAnsi="Museo 300" w:cs="Segoe UI"/>
          <w:i/>
          <w:iCs/>
          <w:spacing w:val="-5"/>
          <w:sz w:val="16"/>
          <w:szCs w:val="16"/>
          <w:lang w:val="es-ES"/>
        </w:rPr>
        <w:t xml:space="preserve">En consideración a lo expuesto, y como resultado de la investigación efectuada por el Centro de Atención al Usuario, se establece: a) El CAU determina con base en el análisis efectuado a las pruebas presentadas por las partes involucradas, que existió una condición irregular en el suministro con NIC </w:t>
      </w:r>
      <w:r w:rsidR="008A778B">
        <w:rPr>
          <w:rFonts w:ascii="Museo 300" w:eastAsia="SimSun" w:hAnsi="Museo 300" w:cs="Segoe UI"/>
          <w:i/>
          <w:iCs/>
          <w:spacing w:val="-5"/>
          <w:sz w:val="16"/>
          <w:szCs w:val="16"/>
          <w:lang w:val="es-ES"/>
        </w:rPr>
        <w:t>XXX</w:t>
      </w:r>
      <w:r w:rsidR="00BF7BEF" w:rsidRPr="00BF7BEF">
        <w:rPr>
          <w:rFonts w:ascii="Museo 300" w:eastAsia="SimSun" w:hAnsi="Museo 300" w:cs="Segoe UI"/>
          <w:i/>
          <w:iCs/>
          <w:spacing w:val="-5"/>
          <w:sz w:val="16"/>
          <w:szCs w:val="16"/>
          <w:lang w:val="es-ES"/>
        </w:rPr>
        <w:t xml:space="preserve">, consistente en una línea directa a 120 voltios conectada en la acometida del servicio eléctrico y antes del equipo de medición, con la finalidad de evitar el correcto registro de la energía consumida en el inmueble; por tanto, la sociedad EEO tiene derecho a recuperar la energía consumida y no registrada, </w:t>
      </w:r>
      <w:r w:rsidR="00BF7BEF" w:rsidRPr="00BF7BEF">
        <w:rPr>
          <w:rFonts w:ascii="Museo 300" w:eastAsia="SimSun" w:hAnsi="Museo 300" w:cs="Segoe UI"/>
          <w:b/>
          <w:bCs/>
          <w:i/>
          <w:iCs/>
          <w:spacing w:val="-5"/>
          <w:sz w:val="16"/>
          <w:szCs w:val="16"/>
          <w:lang w:val="es-ES"/>
        </w:rPr>
        <w:t>tal y como está estipulado en el Procedimiento para Investigar la Existencia de Condiciones Irregulares en el suministro de Energía Eléctrica del Usuario Final</w:t>
      </w:r>
      <w:r w:rsidR="00BF7BEF" w:rsidRPr="00BF7BEF">
        <w:rPr>
          <w:rFonts w:ascii="Museo 300" w:eastAsia="SimSun" w:hAnsi="Museo 300" w:cs="Segoe UI"/>
          <w:i/>
          <w:iCs/>
          <w:spacing w:val="-5"/>
          <w:sz w:val="16"/>
          <w:szCs w:val="16"/>
          <w:lang w:val="es-ES"/>
        </w:rPr>
        <w:t xml:space="preserve"> (…)</w:t>
      </w:r>
    </w:p>
    <w:p w14:paraId="3C77D400" w14:textId="28710A98"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C52CF7D" w14:textId="05DA522A" w:rsidR="007F76CA" w:rsidRPr="00DC557E" w:rsidRDefault="00BF7BEF" w:rsidP="00BF7BEF">
      <w:pPr>
        <w:spacing w:after="0" w:line="240" w:lineRule="auto"/>
        <w:ind w:left="1211" w:right="425"/>
        <w:contextualSpacing/>
        <w:jc w:val="both"/>
        <w:rPr>
          <w:rStyle w:val="normaltextrun"/>
          <w:rFonts w:ascii="Museo 300" w:eastAsia="SimSun" w:hAnsi="Museo 300" w:cs="Segoe UI"/>
          <w:spacing w:val="-5"/>
          <w:sz w:val="16"/>
          <w:szCs w:val="16"/>
          <w:lang w:val="es-ES"/>
        </w:rPr>
      </w:pPr>
      <w:r w:rsidRPr="00BF7BEF">
        <w:rPr>
          <w:rFonts w:ascii="Museo 300" w:eastAsia="SimSun" w:hAnsi="Museo 300" w:cs="Segoe UI"/>
          <w:spacing w:val="-5"/>
          <w:sz w:val="16"/>
          <w:szCs w:val="16"/>
          <w:lang w:val="es-ES"/>
        </w:rPr>
        <w:t xml:space="preserve">Tal como se detalla en el texto anterior, el CAU tuvo en su poder toda la evidencia necesaria que mostraba de forma fehaciente la existencia de una condición irregular en el suministro con NIC </w:t>
      </w:r>
      <w:r w:rsidR="008A778B">
        <w:rPr>
          <w:rFonts w:ascii="Museo 300" w:eastAsia="SimSun" w:hAnsi="Museo 300" w:cs="Segoe UI"/>
          <w:spacing w:val="-5"/>
          <w:sz w:val="16"/>
          <w:szCs w:val="16"/>
          <w:lang w:val="es-ES"/>
        </w:rPr>
        <w:t>XXX</w:t>
      </w:r>
      <w:r w:rsidRPr="00BF7BEF">
        <w:rPr>
          <w:rFonts w:ascii="Museo 300" w:eastAsia="SimSun" w:hAnsi="Museo 300" w:cs="Segoe UI"/>
          <w:spacing w:val="-5"/>
          <w:sz w:val="16"/>
          <w:szCs w:val="16"/>
          <w:lang w:val="es-ES"/>
        </w:rPr>
        <w:t xml:space="preserve">, lo que demuestra claramente que nos encontramos ante un caso de un usuario final, que con la intención de que la distribuidora le facturara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 De igual forma, posterior a presentar el reclamo a la SIGET, </w:t>
      </w:r>
      <w:r w:rsidRPr="00BF7BEF">
        <w:rPr>
          <w:rFonts w:ascii="Museo 300" w:eastAsia="SimSun" w:hAnsi="Museo 300" w:cs="Segoe UI"/>
          <w:spacing w:val="-5"/>
          <w:sz w:val="16"/>
          <w:szCs w:val="16"/>
          <w:lang w:val="es-ES"/>
        </w:rPr>
        <w:lastRenderedPageBreak/>
        <w:t>el usuario final pudo haber retirado y ocultado las cargas que eran alimentadas por la línea directa para que al momento de la visita por parte del personal del CAU estas no fueran consideradas en el censo de carga verificado en sitio</w:t>
      </w:r>
      <w:r w:rsidR="00DE35AC" w:rsidRPr="007F76CA">
        <w:rPr>
          <w:rStyle w:val="normaltextrun"/>
          <w:rFonts w:ascii="Museo 300" w:hAnsi="Museo 300" w:cs="Segoe UI"/>
          <w:sz w:val="16"/>
          <w:szCs w:val="16"/>
        </w:rPr>
        <w:t xml:space="preserve">. </w:t>
      </w:r>
      <w:r w:rsidR="00DE35AC" w:rsidRPr="007F76CA">
        <w:rPr>
          <w:rStyle w:val="normaltextrun"/>
          <w:rFonts w:ascii="Museo 300" w:hAnsi="Museo 300" w:cs="Segoe UI"/>
          <w:i/>
          <w:iCs/>
          <w:sz w:val="16"/>
          <w:szCs w:val="16"/>
        </w:rPr>
        <w:t>[…]”</w:t>
      </w:r>
    </w:p>
    <w:p w14:paraId="35CCD416" w14:textId="77777777" w:rsidR="007F76CA" w:rsidRPr="007F76CA" w:rsidRDefault="007F76CA" w:rsidP="007F76CA">
      <w:pPr>
        <w:spacing w:after="0" w:line="240" w:lineRule="auto"/>
        <w:ind w:left="1211" w:right="425"/>
        <w:contextualSpacing/>
        <w:jc w:val="both"/>
        <w:rPr>
          <w:rFonts w:ascii="Museo 300" w:eastAsia="SimSun" w:hAnsi="Museo 300" w:cs="Segoe UI"/>
          <w:spacing w:val="-5"/>
          <w:sz w:val="16"/>
          <w:szCs w:val="16"/>
          <w:lang w:val="es-ES"/>
        </w:rPr>
      </w:pPr>
    </w:p>
    <w:p w14:paraId="02AB3431" w14:textId="0390928D" w:rsidR="00DE35AC" w:rsidRPr="00DE35AC" w:rsidRDefault="00DE35AC" w:rsidP="004F0D94">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 xml:space="preserve">Análisis del CAU: </w:t>
      </w:r>
    </w:p>
    <w:p w14:paraId="7F81C135" w14:textId="77777777" w:rsidR="00BF7BEF" w:rsidRPr="00BF7BEF" w:rsidRDefault="00BF7BEF" w:rsidP="00BF7BEF">
      <w:pPr>
        <w:pStyle w:val="Textoindependiente"/>
        <w:spacing w:after="220" w:line="180" w:lineRule="atLeast"/>
        <w:ind w:left="720"/>
        <w:jc w:val="both"/>
        <w:rPr>
          <w:rFonts w:ascii="Museo 300" w:eastAsia="SimSun" w:hAnsi="Museo 300" w:cs="Arial"/>
          <w:spacing w:val="-5"/>
          <w:sz w:val="16"/>
          <w:szCs w:val="16"/>
          <w:lang w:val="es-ES"/>
        </w:rPr>
      </w:pPr>
      <w:r w:rsidRPr="00BF7BEF">
        <w:rPr>
          <w:rFonts w:ascii="Museo 300" w:eastAsia="SimSun" w:hAnsi="Museo 300" w:cs="Arial"/>
          <w:spacing w:val="-5"/>
          <w:sz w:val="16"/>
          <w:szCs w:val="16"/>
          <w:lang w:val="es-ES"/>
        </w:rPr>
        <w:t xml:space="preserve">Respecto al argumento anterior debe indicarse que, si bien el CAU determinó que existió una condición irregular la cual tenía la finalidad de impedir el registro de la energía total demandada en el inmueble, la aseveración planteada por la distribuidora, referente a que el usuario pudo realizar acciones posteriores a la normalización las cuales estarían encaminadas a evitar que el consumo mensual de energía registrado por el medidor fuera el que realmente es demandado en el suministro; se considera que este argumento no es aceptable ya que es basado en suposiciones. </w:t>
      </w:r>
    </w:p>
    <w:p w14:paraId="2FDDFB0D" w14:textId="77777777" w:rsidR="00BF7BEF" w:rsidRPr="00BF7BEF" w:rsidRDefault="00BF7BEF" w:rsidP="00BF7BEF">
      <w:pPr>
        <w:pStyle w:val="Textoindependiente"/>
        <w:spacing w:after="220" w:line="180" w:lineRule="atLeast"/>
        <w:ind w:left="720"/>
        <w:jc w:val="both"/>
        <w:rPr>
          <w:rFonts w:ascii="Museo 300" w:eastAsia="Times New Roman" w:hAnsi="Museo 300"/>
          <w:spacing w:val="-5"/>
          <w:sz w:val="16"/>
          <w:szCs w:val="16"/>
          <w:lang w:val="es-ES" w:eastAsia="es-SV"/>
        </w:rPr>
      </w:pPr>
      <w:r w:rsidRPr="00BF7BEF">
        <w:rPr>
          <w:rFonts w:ascii="Museo 300" w:eastAsia="SimSun" w:hAnsi="Museo 300"/>
          <w:spacing w:val="-5"/>
          <w:sz w:val="16"/>
          <w:szCs w:val="16"/>
          <w:lang w:val="es-ES"/>
        </w:rPr>
        <w:t xml:space="preserve">Bajo este contexto, es preciso indicar que el análisis que realiza el personal técnico del CAU de SIGET es basándose en las pruebas fehacientes aportadas por ambas partes, no en análisis subjetivos o de conjeturas. De tal manera que, el CAU comprueba la autenticidad de los hechos sometidos a su conocimiento, valorando técnicamente </w:t>
      </w:r>
      <w:r w:rsidRPr="00BF7BEF">
        <w:rPr>
          <w:rFonts w:ascii="Museo 300" w:eastAsia="Times New Roman" w:hAnsi="Museo 300"/>
          <w:spacing w:val="-5"/>
          <w:sz w:val="16"/>
          <w:szCs w:val="16"/>
          <w:lang w:val="es-ES" w:eastAsia="es-SV"/>
        </w:rPr>
        <w:t>la pertinencia y conducencia de tales pruebas.</w:t>
      </w:r>
    </w:p>
    <w:p w14:paraId="71F4F1AB" w14:textId="77777777" w:rsidR="00BF7BEF" w:rsidRPr="00BF7BEF" w:rsidRDefault="00BF7BEF" w:rsidP="00BF7BEF">
      <w:pPr>
        <w:pStyle w:val="Textoindependiente"/>
        <w:spacing w:after="220" w:line="180" w:lineRule="atLeast"/>
        <w:ind w:left="720"/>
        <w:jc w:val="both"/>
        <w:rPr>
          <w:rFonts w:ascii="Museo 300" w:eastAsia="Times New Roman" w:hAnsi="Museo 300"/>
          <w:spacing w:val="-5"/>
          <w:sz w:val="16"/>
          <w:szCs w:val="16"/>
          <w:lang w:val="es-ES" w:eastAsia="es-SV"/>
        </w:rPr>
      </w:pPr>
      <w:r w:rsidRPr="00BF7BEF">
        <w:rPr>
          <w:rFonts w:ascii="Museo 300" w:eastAsia="Times New Roman" w:hAnsi="Museo 300"/>
          <w:spacing w:val="-5"/>
          <w:sz w:val="16"/>
          <w:szCs w:val="16"/>
          <w:lang w:val="es-ES" w:eastAsia="es-SV"/>
        </w:rPr>
        <w:t>En ese orden de ideas, es preciso indicar que EEO no presento ante esta Superintendencia pruebas que sustenten la aseveración antes descrita; por lo que esta carece de fundamento técnico y está basada en supuestos.</w:t>
      </w:r>
    </w:p>
    <w:p w14:paraId="57E4E857" w14:textId="6AB53AFD" w:rsidR="00AC1FBD" w:rsidRPr="00AC1FBD" w:rsidRDefault="00AC1FBD" w:rsidP="00322E7D">
      <w:pPr>
        <w:pStyle w:val="Textoindependiente"/>
        <w:spacing w:after="220" w:line="180" w:lineRule="atLeast"/>
        <w:ind w:left="720"/>
        <w:jc w:val="both"/>
        <w:rPr>
          <w:rFonts w:ascii="Museo 300" w:eastAsia="SimSun" w:hAnsi="Museo 300" w:cs="Arial"/>
          <w:spacing w:val="-5"/>
          <w:sz w:val="16"/>
          <w:szCs w:val="16"/>
          <w:lang w:val="es-ES"/>
        </w:rPr>
      </w:pPr>
      <w:r w:rsidRPr="00AC1FBD">
        <w:rPr>
          <w:rFonts w:ascii="Museo 300" w:eastAsia="SimSun" w:hAnsi="Museo 300" w:cs="Arial"/>
          <w:spacing w:val="-5"/>
          <w:sz w:val="16"/>
          <w:szCs w:val="16"/>
          <w:lang w:val="es-ES"/>
        </w:rPr>
        <w:t xml:space="preserve">Por lo indicado anteriormente en este informe, en lo que respecta a los argumentos presentados por EEO con fecha 25 de abril de 2022, el CAU considera que la empresa distribuidora no aportó mayor evidencia o pruebas técnicas que sirvieran de sustento para que esta superintendencia modifique lo determinado en el informe técnico </w:t>
      </w:r>
      <w:r w:rsidR="008A778B">
        <w:rPr>
          <w:rFonts w:ascii="Museo 300" w:eastAsia="SimSun" w:hAnsi="Museo 300" w:cs="Arial"/>
          <w:spacing w:val="-5"/>
          <w:sz w:val="16"/>
          <w:szCs w:val="16"/>
          <w:lang w:val="es-ES"/>
        </w:rPr>
        <w:t>XXX</w:t>
      </w:r>
      <w:r w:rsidRPr="00AC1FBD">
        <w:rPr>
          <w:rFonts w:ascii="Museo 300" w:eastAsia="SimSun" w:hAnsi="Museo 300" w:cs="Arial"/>
          <w:spacing w:val="-5"/>
          <w:sz w:val="16"/>
          <w:szCs w:val="16"/>
          <w:lang w:val="es-ES"/>
        </w:rPr>
        <w:t>.</w:t>
      </w:r>
    </w:p>
    <w:p w14:paraId="565223E3" w14:textId="77777777" w:rsidR="00322E7D" w:rsidRPr="00322E7D" w:rsidRDefault="00322E7D" w:rsidP="009E08BC">
      <w:pPr>
        <w:pStyle w:val="Textoindependiente"/>
        <w:numPr>
          <w:ilvl w:val="0"/>
          <w:numId w:val="14"/>
        </w:numPr>
        <w:spacing w:after="220" w:line="180" w:lineRule="atLeast"/>
        <w:ind w:left="1080"/>
        <w:jc w:val="both"/>
        <w:rPr>
          <w:rFonts w:ascii="Museo 300" w:eastAsia="SimSun" w:hAnsi="Museo 300" w:cs="Arial"/>
          <w:b/>
          <w:spacing w:val="-5"/>
          <w:sz w:val="16"/>
          <w:szCs w:val="16"/>
          <w:u w:val="single"/>
          <w:lang w:val="es-ES"/>
        </w:rPr>
      </w:pPr>
      <w:bookmarkStart w:id="4" w:name="_Toc105591669"/>
      <w:r w:rsidRPr="00322E7D">
        <w:rPr>
          <w:rFonts w:ascii="Museo 300" w:eastAsia="SimSun" w:hAnsi="Museo 300" w:cs="Arial"/>
          <w:b/>
          <w:spacing w:val="-5"/>
          <w:sz w:val="16"/>
          <w:szCs w:val="16"/>
          <w:u w:val="single"/>
          <w:lang w:val="es-ES"/>
        </w:rPr>
        <w:t>ANÁLISIS DE LOS ARGUMENTOS PRESENTADOS POR LA SEÑORA DE CHACÓN</w:t>
      </w:r>
      <w:bookmarkEnd w:id="4"/>
      <w:r w:rsidRPr="00322E7D">
        <w:rPr>
          <w:rFonts w:ascii="Museo 300" w:eastAsia="SimSun" w:hAnsi="Museo 300" w:cs="Arial"/>
          <w:b/>
          <w:spacing w:val="-5"/>
          <w:sz w:val="16"/>
          <w:szCs w:val="16"/>
          <w:u w:val="single"/>
          <w:lang w:val="es-ES"/>
        </w:rPr>
        <w:t xml:space="preserve"> </w:t>
      </w:r>
    </w:p>
    <w:p w14:paraId="4F3A0836" w14:textId="14B61ACE" w:rsidR="00322E7D" w:rsidRPr="00322E7D" w:rsidRDefault="0081294D" w:rsidP="005D7278">
      <w:pPr>
        <w:pStyle w:val="Prrafodelista"/>
        <w:ind w:left="993" w:right="425"/>
        <w:jc w:val="both"/>
        <w:rPr>
          <w:rFonts w:ascii="Museo 300" w:eastAsia="SimSun" w:hAnsi="Museo 300" w:cs="Arial"/>
          <w:spacing w:val="-5"/>
          <w:sz w:val="16"/>
          <w:szCs w:val="16"/>
          <w:lang w:val="es-ES"/>
        </w:rPr>
      </w:pPr>
      <w:r>
        <w:rPr>
          <w:rFonts w:ascii="Museo 300" w:eastAsia="SimSun" w:hAnsi="Museo 300" w:cs="Arial"/>
          <w:spacing w:val="-5"/>
          <w:sz w:val="16"/>
          <w:szCs w:val="16"/>
          <w:lang w:val="es-ES"/>
        </w:rPr>
        <w:t>[…]</w:t>
      </w:r>
    </w:p>
    <w:p w14:paraId="15877D2F" w14:textId="77777777" w:rsidR="00322E7D" w:rsidRPr="00322E7D" w:rsidRDefault="00322E7D" w:rsidP="009E08BC">
      <w:pPr>
        <w:pStyle w:val="Textoindependiente"/>
        <w:numPr>
          <w:ilvl w:val="0"/>
          <w:numId w:val="8"/>
        </w:numPr>
        <w:shd w:val="clear" w:color="auto" w:fill="FFFFFF" w:themeFill="background1"/>
        <w:spacing w:after="220" w:line="180" w:lineRule="atLeast"/>
        <w:ind w:left="1440"/>
        <w:jc w:val="both"/>
        <w:rPr>
          <w:rFonts w:ascii="Museo 300" w:eastAsia="SimSun" w:hAnsi="Museo 300" w:cs="Arial"/>
          <w:b/>
          <w:bCs/>
          <w:spacing w:val="-5"/>
          <w:sz w:val="16"/>
          <w:szCs w:val="16"/>
          <w:lang w:val="es-ES"/>
        </w:rPr>
      </w:pPr>
      <w:r w:rsidRPr="00322E7D">
        <w:rPr>
          <w:rFonts w:ascii="Museo 300" w:eastAsia="SimSun" w:hAnsi="Museo 300" w:cs="Arial"/>
          <w:spacing w:val="-5"/>
          <w:sz w:val="16"/>
          <w:szCs w:val="16"/>
          <w:lang w:val="es-ES"/>
        </w:rPr>
        <w:t>En el artículo 132 y 133 de la Ley de Procedimientos Administrativos (LPA), faculta a las partes involucradas para que puedan interponer recurso de reconsideración contra los actos definitivos. En ese sentido EEO presentó el recurso de reconsideración analizado en el presente informe en apego a lo establecido en los artículos antes citado.</w:t>
      </w:r>
    </w:p>
    <w:p w14:paraId="15313DF7" w14:textId="1792FC54" w:rsidR="00322E7D" w:rsidRPr="00322E7D" w:rsidRDefault="00322E7D" w:rsidP="009E08BC">
      <w:pPr>
        <w:pStyle w:val="Textoindependiente"/>
        <w:numPr>
          <w:ilvl w:val="0"/>
          <w:numId w:val="8"/>
        </w:numPr>
        <w:shd w:val="clear" w:color="auto" w:fill="FFFFFF" w:themeFill="background1"/>
        <w:spacing w:after="220" w:line="180" w:lineRule="atLeast"/>
        <w:ind w:left="1440"/>
        <w:jc w:val="both"/>
        <w:rPr>
          <w:rFonts w:ascii="Museo 300" w:eastAsia="SimSun" w:hAnsi="Museo 300" w:cs="Arial"/>
          <w:b/>
          <w:bCs/>
          <w:spacing w:val="-5"/>
          <w:sz w:val="16"/>
          <w:szCs w:val="16"/>
          <w:lang w:val="es-ES"/>
        </w:rPr>
      </w:pPr>
      <w:r w:rsidRPr="00322E7D">
        <w:rPr>
          <w:rFonts w:ascii="Museo 300" w:eastAsia="SimSun" w:hAnsi="Museo 300" w:cs="Arial"/>
          <w:spacing w:val="-5"/>
          <w:sz w:val="16"/>
          <w:szCs w:val="16"/>
          <w:lang w:val="es-ES"/>
        </w:rPr>
        <w:t>Así mismo, el artículo 128 LPA, dispone que cuando existan terceros con un interés legítimo respecto al objeto del recurso, pueden alegar si estima procedente en defensa de sus derechos o intereses. Debido a lo anterior, la denunciante presentó el escrito que se está analizando</w:t>
      </w:r>
      <w:r w:rsidR="00537EA4">
        <w:rPr>
          <w:rFonts w:ascii="Museo 300" w:eastAsia="SimSun" w:hAnsi="Museo 300" w:cs="Arial"/>
          <w:spacing w:val="-5"/>
          <w:sz w:val="16"/>
          <w:szCs w:val="16"/>
          <w:lang w:val="es-ES"/>
        </w:rPr>
        <w:t xml:space="preserve"> (…)</w:t>
      </w:r>
    </w:p>
    <w:p w14:paraId="6183227A" w14:textId="77777777" w:rsidR="00322E7D" w:rsidRPr="00322E7D" w:rsidRDefault="00322E7D" w:rsidP="009E08BC">
      <w:pPr>
        <w:pStyle w:val="Textoindependiente"/>
        <w:numPr>
          <w:ilvl w:val="0"/>
          <w:numId w:val="8"/>
        </w:numPr>
        <w:shd w:val="clear" w:color="auto" w:fill="FFFFFF" w:themeFill="background1"/>
        <w:spacing w:after="220" w:line="180" w:lineRule="atLeast"/>
        <w:ind w:left="1440"/>
        <w:jc w:val="both"/>
        <w:rPr>
          <w:rFonts w:ascii="Museo 300" w:eastAsia="SimSun" w:hAnsi="Museo 300" w:cs="Arial"/>
          <w:spacing w:val="-5"/>
          <w:sz w:val="16"/>
          <w:szCs w:val="16"/>
          <w:lang w:val="es-ES"/>
        </w:rPr>
      </w:pPr>
      <w:r w:rsidRPr="00322E7D">
        <w:rPr>
          <w:rFonts w:ascii="Museo 300" w:eastAsia="SimSun" w:hAnsi="Museo 300" w:cs="Arial"/>
          <w:spacing w:val="-5"/>
          <w:sz w:val="16"/>
          <w:szCs w:val="16"/>
          <w:lang w:val="es-ES"/>
        </w:rPr>
        <w:t xml:space="preserve">La señora de Chacón no presentó ninguna evidencia de lo expresado, referente al hecho que el personal técnico de EEO realizó la inspección técnica a las 3:00 horas, por lo que, no se tiene certeza de dicha aseveración. </w:t>
      </w:r>
    </w:p>
    <w:p w14:paraId="5F371924" w14:textId="60EAE9F0" w:rsidR="00A0098D" w:rsidRPr="0081294D" w:rsidRDefault="00322E7D" w:rsidP="0081294D">
      <w:pPr>
        <w:pStyle w:val="Textoindependiente"/>
        <w:spacing w:after="220" w:line="180" w:lineRule="atLeast"/>
        <w:ind w:left="720"/>
        <w:jc w:val="both"/>
        <w:rPr>
          <w:rFonts w:ascii="Museo 300" w:eastAsia="SimSun" w:hAnsi="Museo 300" w:cs="Arial"/>
          <w:spacing w:val="-5"/>
          <w:sz w:val="16"/>
          <w:szCs w:val="16"/>
          <w:lang w:val="es-ES"/>
        </w:rPr>
      </w:pPr>
      <w:r w:rsidRPr="00322E7D">
        <w:rPr>
          <w:rFonts w:ascii="Museo 300" w:eastAsia="SimSun" w:hAnsi="Museo 300" w:cs="Arial"/>
          <w:spacing w:val="-5"/>
          <w:sz w:val="16"/>
          <w:szCs w:val="16"/>
          <w:lang w:val="es-ES"/>
        </w:rPr>
        <w:t xml:space="preserve">Por lo anteriormente expuesto, en lo que respecta a los argumentos presentados por la señora de Chacón con fecha 13 de mayo de 2022, el CAU determina que la denunciante no presentó pruebas para que esta superintendencia modifique lo determinado en el informe técnico </w:t>
      </w:r>
      <w:r w:rsidR="008A778B">
        <w:rPr>
          <w:rFonts w:ascii="Museo 300" w:eastAsia="SimSun" w:hAnsi="Museo 300" w:cs="Arial"/>
          <w:spacing w:val="-5"/>
          <w:sz w:val="16"/>
          <w:szCs w:val="16"/>
          <w:lang w:val="es-ES"/>
        </w:rPr>
        <w:t>XXX</w:t>
      </w:r>
      <w:r w:rsidR="00A0098D" w:rsidRPr="00A0098D">
        <w:rPr>
          <w:rFonts w:ascii="Museo 300" w:hAnsi="Museo 300" w:cs="Arial"/>
          <w:sz w:val="16"/>
          <w:szCs w:val="16"/>
        </w:rPr>
        <w:t>.</w:t>
      </w:r>
      <w:r w:rsidR="005C08F2">
        <w:rPr>
          <w:rFonts w:ascii="Museo 300" w:hAnsi="Museo 300" w:cs="Arial"/>
          <w:sz w:val="16"/>
          <w:szCs w:val="16"/>
        </w:rPr>
        <w:t xml:space="preserve"> </w:t>
      </w:r>
      <w:r w:rsidR="005C08F2" w:rsidRPr="004F0D94">
        <w:rPr>
          <w:rFonts w:ascii="Museo 300" w:hAnsi="Museo 300" w:cs="Arial"/>
          <w:sz w:val="16"/>
          <w:szCs w:val="16"/>
        </w:rPr>
        <w:t>[…]</w:t>
      </w:r>
    </w:p>
    <w:bookmarkEnd w:id="3"/>
    <w:p w14:paraId="751EB873" w14:textId="1CEDAF65" w:rsidR="004F0D94"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t>[…]</w:t>
      </w:r>
      <w:bookmarkStart w:id="5" w:name="_Toc79592351"/>
      <w:bookmarkStart w:id="6"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5"/>
      <w:bookmarkEnd w:id="6"/>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4F7C0508" w14:textId="5C37DA16" w:rsidR="004B500F" w:rsidRPr="004B500F" w:rsidRDefault="004B500F" w:rsidP="009E08BC">
      <w:pPr>
        <w:pStyle w:val="Prrafodelista"/>
        <w:numPr>
          <w:ilvl w:val="0"/>
          <w:numId w:val="4"/>
        </w:numPr>
        <w:spacing w:before="120" w:after="120" w:line="240" w:lineRule="auto"/>
        <w:jc w:val="both"/>
        <w:rPr>
          <w:rFonts w:ascii="Museo 300" w:hAnsi="Museo 300" w:cs="Arial"/>
          <w:color w:val="000000"/>
          <w:sz w:val="16"/>
          <w:szCs w:val="16"/>
        </w:rPr>
      </w:pPr>
      <w:r w:rsidRPr="004B500F">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w:t>
      </w:r>
      <w:r w:rsidRPr="004B500F">
        <w:rPr>
          <w:rFonts w:ascii="Museo 300" w:hAnsi="Museo 300" w:cs="Arial"/>
          <w:color w:val="000000"/>
          <w:sz w:val="16"/>
          <w:szCs w:val="16"/>
        </w:rPr>
        <w:t>y los</w:t>
      </w:r>
      <w:r w:rsidRPr="004B500F">
        <w:rPr>
          <w:rFonts w:ascii="Museo 300" w:hAnsi="Museo 300" w:cs="Arial"/>
          <w:sz w:val="16"/>
          <w:szCs w:val="16"/>
          <w:lang w:val="es-ES_tradnl"/>
        </w:rPr>
        <w:t xml:space="preserve"> Términos y Condiciones Generales al Consumidor Final, del Pliego Tarifario aplicable al año 2021.</w:t>
      </w:r>
    </w:p>
    <w:p w14:paraId="48310361" w14:textId="4C6BF94B" w:rsidR="004F0D94" w:rsidRPr="004B500F" w:rsidRDefault="004B500F" w:rsidP="009E08BC">
      <w:pPr>
        <w:numPr>
          <w:ilvl w:val="0"/>
          <w:numId w:val="4"/>
        </w:numPr>
        <w:spacing w:after="120" w:line="240" w:lineRule="auto"/>
        <w:contextualSpacing/>
        <w:jc w:val="both"/>
        <w:rPr>
          <w:rFonts w:ascii="Museo 300" w:hAnsi="Museo 300" w:cs="Arial"/>
          <w:color w:val="000000"/>
          <w:sz w:val="16"/>
          <w:szCs w:val="16"/>
        </w:rPr>
      </w:pPr>
      <w:r w:rsidRPr="004B500F">
        <w:rPr>
          <w:rFonts w:ascii="Museo 300" w:hAnsi="Museo 300" w:cs="Arial"/>
          <w:sz w:val="16"/>
          <w:szCs w:val="16"/>
        </w:rPr>
        <w:t xml:space="preserve">Con base en lo expuesto y tomando como base la información que fue presentada por EEO a lo largo del proceso de investigación, con respecto a la denuncia interpuesta por la señora </w:t>
      </w:r>
      <w:r w:rsidR="008A778B">
        <w:rPr>
          <w:rFonts w:ascii="Museo 300" w:hAnsi="Museo 300" w:cs="Arial"/>
          <w:sz w:val="16"/>
          <w:szCs w:val="16"/>
        </w:rPr>
        <w:t>XXX</w:t>
      </w:r>
      <w:r w:rsidRPr="004B500F">
        <w:rPr>
          <w:rFonts w:ascii="Museo 300" w:hAnsi="Museo 300" w:cs="Arial"/>
          <w:sz w:val="16"/>
          <w:szCs w:val="16"/>
        </w:rPr>
        <w:t xml:space="preserve">, en contra de esa empresa distribuidora, se establece que EEO no han presentado nuevas pruebas o argumentos que permitan desvirtuar lo que el CAU dictaminó en el informe técnico </w:t>
      </w:r>
      <w:r w:rsidR="008A778B">
        <w:rPr>
          <w:rFonts w:ascii="Museo 300" w:hAnsi="Museo 300" w:cs="Arial"/>
          <w:sz w:val="16"/>
          <w:szCs w:val="16"/>
        </w:rPr>
        <w:t>XXX</w:t>
      </w:r>
      <w:r w:rsidRPr="004B500F">
        <w:rPr>
          <w:rFonts w:ascii="Museo 300" w:hAnsi="Museo 300" w:cs="Arial"/>
          <w:sz w:val="16"/>
          <w:szCs w:val="16"/>
        </w:rPr>
        <w:t xml:space="preserve"> que rindió a la superintendencia.</w:t>
      </w:r>
      <w:r>
        <w:rPr>
          <w:rFonts w:ascii="Museo 300" w:hAnsi="Museo 300" w:cs="Arial"/>
          <w:sz w:val="16"/>
          <w:szCs w:val="16"/>
        </w:rPr>
        <w:t xml:space="preserve"> […]</w:t>
      </w:r>
      <w:r w:rsidR="00310BD4">
        <w:rPr>
          <w:rFonts w:ascii="Museo 300" w:hAnsi="Museo 300" w:cs="Arial"/>
          <w:sz w:val="16"/>
          <w:szCs w:val="16"/>
        </w:rPr>
        <w:t>”</w:t>
      </w: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7"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7"/>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624E1FBD"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31DA3704"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B7D7424" w14:textId="36DD3AD5"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5F99D453"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537EA4">
        <w:rPr>
          <w:rFonts w:ascii="Museo Sans 300" w:eastAsia="Arial" w:hAnsi="Museo Sans 300"/>
          <w:sz w:val="20"/>
          <w:szCs w:val="20"/>
        </w:rPr>
        <w:t xml:space="preserve"> la</w:t>
      </w:r>
      <w:r>
        <w:rPr>
          <w:rFonts w:ascii="Museo Sans 300" w:eastAsia="Arial" w:hAnsi="Museo Sans 300"/>
          <w:sz w:val="20"/>
          <w:szCs w:val="20"/>
        </w:rPr>
        <w:t xml:space="preserve"> usuari</w:t>
      </w:r>
      <w:r w:rsidR="00537EA4">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4619004B"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lastRenderedPageBreak/>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E-</w:t>
      </w:r>
      <w:r w:rsidR="000B175D">
        <w:rPr>
          <w:rStyle w:val="normaltextrun"/>
          <w:rFonts w:ascii="Museo Sans 300" w:hAnsi="Museo Sans 300" w:cs="Segoe UI"/>
          <w:sz w:val="20"/>
          <w:szCs w:val="20"/>
          <w:lang w:val="es-ES"/>
        </w:rPr>
        <w:t>0657</w:t>
      </w:r>
      <w:r w:rsidR="00EF456E">
        <w:rPr>
          <w:rStyle w:val="normaltextrun"/>
          <w:rFonts w:ascii="Museo Sans 300" w:hAnsi="Museo Sans 300" w:cs="Segoe UI"/>
          <w:sz w:val="20"/>
          <w:szCs w:val="20"/>
          <w:lang w:val="es-ES"/>
        </w:rPr>
        <w:t>-2022-CAU</w:t>
      </w:r>
      <w:r w:rsidR="008A4D60">
        <w:rPr>
          <w:rStyle w:val="normaltextrun"/>
          <w:rFonts w:ascii="Museo Sans 300" w:hAnsi="Museo Sans 300" w:cs="Segoe UI"/>
          <w:sz w:val="20"/>
          <w:szCs w:val="20"/>
          <w:lang w:val="es-ES"/>
        </w:rPr>
        <w:t xml:space="preserve">,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33EBD454"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7538E445"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537EA4">
        <w:rPr>
          <w:rFonts w:ascii="Museo Sans 300" w:eastAsia="Times New Roman" w:hAnsi="Museo Sans 300"/>
          <w:sz w:val="20"/>
          <w:szCs w:val="20"/>
          <w:lang w:eastAsia="es-ES"/>
        </w:rPr>
        <w:t>la usuaria</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w:t>
      </w:r>
      <w:r w:rsidR="008A778B">
        <w:rPr>
          <w:rFonts w:ascii="Museo Sans 300" w:eastAsia="Arial" w:hAnsi="Museo Sans 300" w:cs="Arial"/>
          <w:sz w:val="20"/>
          <w:szCs w:val="20"/>
          <w:lang w:val="es-ES_tradnl" w:eastAsia="es-SV"/>
        </w:rPr>
        <w:t>XXX</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0DA4A568"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w:t>
      </w:r>
      <w:r w:rsidR="003172BA">
        <w:rPr>
          <w:rFonts w:ascii="Museo Sans 300" w:hAnsi="Museo Sans 300"/>
          <w:color w:val="000000"/>
          <w:sz w:val="20"/>
          <w:szCs w:val="20"/>
          <w:shd w:val="clear" w:color="auto" w:fill="FFFFFF"/>
        </w:rPr>
        <w:t xml:space="preserve"> la</w:t>
      </w:r>
      <w:r w:rsidR="000416CA">
        <w:rPr>
          <w:rFonts w:ascii="Museo Sans 300" w:hAnsi="Museo Sans 300"/>
          <w:color w:val="000000"/>
          <w:sz w:val="20"/>
          <w:szCs w:val="20"/>
          <w:shd w:val="clear" w:color="auto" w:fill="FFFFFF"/>
        </w:rPr>
        <w:t xml:space="preserve"> usuari</w:t>
      </w:r>
      <w:r w:rsidR="003172BA">
        <w:rPr>
          <w:rFonts w:ascii="Museo Sans 300" w:hAnsi="Museo Sans 300"/>
          <w:color w:val="000000"/>
          <w:sz w:val="20"/>
          <w:szCs w:val="20"/>
          <w:shd w:val="clear" w:color="auto" w:fill="FFFFFF"/>
        </w:rPr>
        <w:t>a</w:t>
      </w:r>
      <w:r w:rsidR="0039095D">
        <w:rPr>
          <w:rFonts w:ascii="Museo Sans 300" w:hAnsi="Museo Sans 300"/>
          <w:color w:val="000000"/>
          <w:sz w:val="20"/>
          <w:szCs w:val="20"/>
          <w:shd w:val="clear" w:color="auto" w:fill="FFFFFF"/>
        </w:rPr>
        <w:t>.</w:t>
      </w:r>
    </w:p>
    <w:p w14:paraId="707C2544" w14:textId="65AE837C" w:rsidR="00FA12AD" w:rsidRDefault="00FA12AD"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0149D545"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BC08A8">
        <w:rPr>
          <w:rFonts w:ascii="Museo Sans 300" w:eastAsia="Times New Roman" w:hAnsi="Museo Sans 300"/>
          <w:sz w:val="20"/>
          <w:szCs w:val="20"/>
          <w:lang w:eastAsia="es-ES"/>
        </w:rPr>
        <w:t>21.44</w:t>
      </w:r>
      <w:r w:rsidR="00317236">
        <w:rPr>
          <w:rFonts w:ascii="Museo Sans 300" w:eastAsia="Times New Roman" w:hAnsi="Museo Sans 300"/>
          <w:sz w:val="20"/>
          <w:szCs w:val="20"/>
          <w:lang w:eastAsia="es-ES"/>
        </w:rPr>
        <w:t xml:space="preserve"> amperios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4CBCF61C"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w:t>
      </w:r>
      <w:r w:rsidR="00BC08A8">
        <w:rPr>
          <w:rFonts w:ascii="Museo Sans 300" w:eastAsia="Times New Roman" w:hAnsi="Museo Sans 300"/>
          <w:sz w:val="20"/>
          <w:szCs w:val="20"/>
          <w:lang w:eastAsia="es-ES"/>
        </w:rPr>
        <w:t>21.44</w:t>
      </w:r>
      <w:r w:rsidR="00EE202E">
        <w:rPr>
          <w:rFonts w:ascii="Museo Sans 300" w:eastAsia="Times New Roman" w:hAnsi="Museo Sans 300"/>
          <w:sz w:val="20"/>
          <w:szCs w:val="20"/>
          <w:lang w:eastAsia="es-ES"/>
        </w:rPr>
        <w:t xml:space="preserve"> amperios</w:t>
      </w:r>
      <w:r w:rsidR="00E621D4">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0355332"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46141EDD" w:rsidR="000F1AC3" w:rsidRDefault="000F1AC3"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BC08A8">
        <w:rPr>
          <w:rFonts w:ascii="Museo Sans 300" w:eastAsia="Times New Roman" w:hAnsi="Museo Sans 300"/>
          <w:sz w:val="20"/>
          <w:szCs w:val="20"/>
          <w:lang w:eastAsia="es-ES"/>
        </w:rPr>
        <w:t>21.44</w:t>
      </w:r>
      <w:r w:rsidR="004B702A" w:rsidRPr="004B702A">
        <w:rPr>
          <w:rFonts w:ascii="Museo Sans 300" w:eastAsia="Times New Roman" w:hAnsi="Museo Sans 300"/>
          <w:sz w:val="20"/>
          <w:szCs w:val="20"/>
          <w:lang w:eastAsia="es-ES"/>
        </w:rPr>
        <w:t xml:space="preserve"> amperios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w:t>
      </w:r>
      <w:r w:rsidR="002A0B3F">
        <w:rPr>
          <w:rFonts w:ascii="Museo Sans 300" w:eastAsia="Times New Roman" w:hAnsi="Museo Sans 300"/>
          <w:sz w:val="20"/>
          <w:szCs w:val="20"/>
          <w:lang w:eastAsia="es-ES"/>
        </w:rPr>
        <w:t>ras</w:t>
      </w:r>
      <w:r w:rsidR="004B702A" w:rsidRPr="004B702A">
        <w:rPr>
          <w:rFonts w:ascii="Museo Sans 300" w:eastAsia="Times New Roman" w:hAnsi="Museo Sans 300"/>
          <w:sz w:val="20"/>
          <w:szCs w:val="20"/>
          <w:lang w:eastAsia="es-ES"/>
        </w:rPr>
        <w:t>, aire acondicionado,</w:t>
      </w:r>
      <w:r w:rsidR="002A0B3F">
        <w:rPr>
          <w:rFonts w:ascii="Museo Sans 300" w:eastAsia="Times New Roman" w:hAnsi="Museo Sans 300"/>
          <w:sz w:val="20"/>
          <w:szCs w:val="20"/>
          <w:lang w:eastAsia="es-ES"/>
        </w:rPr>
        <w:t xml:space="preserve"> lavadoras,</w:t>
      </w:r>
      <w:r w:rsidR="004B702A" w:rsidRPr="004B702A">
        <w:rPr>
          <w:rFonts w:ascii="Museo Sans 300" w:eastAsia="Times New Roman" w:hAnsi="Museo Sans 300"/>
          <w:sz w:val="20"/>
          <w:szCs w:val="20"/>
          <w:lang w:eastAsia="es-ES"/>
        </w:rPr>
        <w:t xml:space="preserve">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46AB6E15" w:rsidR="004B702A" w:rsidRDefault="004B702A"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considera que el valor de corriente instantánea de </w:t>
      </w:r>
      <w:r w:rsidR="00BC08A8">
        <w:rPr>
          <w:rFonts w:ascii="Museo Sans 300" w:eastAsia="Times New Roman" w:hAnsi="Museo Sans 300"/>
          <w:sz w:val="20"/>
          <w:szCs w:val="20"/>
          <w:lang w:eastAsia="es-ES"/>
        </w:rPr>
        <w:t>21.44</w:t>
      </w:r>
      <w:r>
        <w:rPr>
          <w:rFonts w:ascii="Museo Sans 300" w:eastAsia="Times New Roman" w:hAnsi="Museo Sans 300"/>
          <w:sz w:val="20"/>
          <w:szCs w:val="20"/>
          <w:lang w:eastAsia="es-ES"/>
        </w:rPr>
        <w:t xml:space="preserve"> amperios se consume de forma constante durante 12 horas</w:t>
      </w:r>
      <w:r w:rsidR="00931D29">
        <w:rPr>
          <w:rFonts w:ascii="Museo Sans 300" w:eastAsia="Times New Roman" w:hAnsi="Museo Sans 300"/>
          <w:sz w:val="20"/>
          <w:szCs w:val="20"/>
          <w:lang w:eastAsia="es-ES"/>
        </w:rPr>
        <w:t xml:space="preserve"> al día</w:t>
      </w:r>
      <w:r>
        <w:rPr>
          <w:rFonts w:ascii="Museo Sans 300" w:eastAsia="Times New Roman" w:hAnsi="Museo Sans 300"/>
          <w:sz w:val="20"/>
          <w:szCs w:val="20"/>
          <w:lang w:eastAsia="es-ES"/>
        </w:rPr>
        <w:t>.</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0773BB89" w:rsidR="0067364A" w:rsidRDefault="00E115FA"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w:t>
      </w:r>
      <w:r w:rsidR="00BC08A8">
        <w:rPr>
          <w:rFonts w:ascii="Museo Sans 300" w:eastAsia="Times New Roman" w:hAnsi="Museo Sans 300"/>
          <w:sz w:val="20"/>
          <w:szCs w:val="20"/>
          <w:lang w:eastAsia="es-ES"/>
        </w:rPr>
        <w:t>926</w:t>
      </w:r>
      <w:r>
        <w:rPr>
          <w:rFonts w:ascii="Museo Sans 300" w:eastAsia="Times New Roman" w:hAnsi="Museo Sans 300"/>
          <w:sz w:val="20"/>
          <w:szCs w:val="20"/>
          <w:lang w:eastAsia="es-ES"/>
        </w:rPr>
        <w:t xml:space="preserve"> kWh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BC08A8">
        <w:rPr>
          <w:rFonts w:ascii="Museo Sans 300" w:eastAsia="Times New Roman" w:hAnsi="Museo Sans 300"/>
          <w:sz w:val="20"/>
          <w:szCs w:val="20"/>
          <w:lang w:eastAsia="es-ES"/>
        </w:rPr>
        <w:t>septiembre</w:t>
      </w:r>
      <w:r w:rsidR="0067364A">
        <w:rPr>
          <w:rFonts w:ascii="Museo Sans 300" w:eastAsia="Times New Roman" w:hAnsi="Museo Sans 300"/>
          <w:sz w:val="20"/>
          <w:szCs w:val="20"/>
          <w:lang w:eastAsia="es-ES"/>
        </w:rPr>
        <w:t xml:space="preserve"> de 20</w:t>
      </w:r>
      <w:r w:rsidR="00BC08A8">
        <w:rPr>
          <w:rFonts w:ascii="Museo Sans 300" w:eastAsia="Times New Roman" w:hAnsi="Museo Sans 300"/>
          <w:sz w:val="20"/>
          <w:szCs w:val="20"/>
          <w:lang w:eastAsia="es-ES"/>
        </w:rPr>
        <w:t>19</w:t>
      </w:r>
      <w:r w:rsidR="0067364A">
        <w:rPr>
          <w:rFonts w:ascii="Museo Sans 300" w:eastAsia="Times New Roman" w:hAnsi="Museo Sans 300"/>
          <w:sz w:val="20"/>
          <w:szCs w:val="20"/>
          <w:lang w:eastAsia="es-ES"/>
        </w:rPr>
        <w:t xml:space="preserve"> hasta </w:t>
      </w:r>
      <w:r w:rsidR="00F76799">
        <w:rPr>
          <w:rFonts w:ascii="Museo Sans 300" w:eastAsia="Times New Roman" w:hAnsi="Museo Sans 300"/>
          <w:sz w:val="20"/>
          <w:szCs w:val="20"/>
          <w:lang w:eastAsia="es-ES"/>
        </w:rPr>
        <w:t>enero</w:t>
      </w:r>
      <w:r w:rsidR="0063350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de</w:t>
      </w:r>
      <w:r w:rsidR="00F76799">
        <w:rPr>
          <w:rFonts w:ascii="Museo Sans 300" w:eastAsia="Times New Roman" w:hAnsi="Museo Sans 300"/>
          <w:sz w:val="20"/>
          <w:szCs w:val="20"/>
          <w:lang w:eastAsia="es-ES"/>
        </w:rPr>
        <w:t>l presente año</w:t>
      </w:r>
      <w:r w:rsidR="005F68F3">
        <w:rPr>
          <w:rFonts w:ascii="Museo Sans 300" w:eastAsia="Times New Roman" w:hAnsi="Museo Sans 300"/>
          <w:sz w:val="20"/>
          <w:szCs w:val="20"/>
          <w:lang w:eastAsia="es-ES"/>
        </w:rPr>
        <w:t xml:space="preserve">, tal como se indicó previamente en el informe técnico </w:t>
      </w:r>
      <w:proofErr w:type="spellStart"/>
      <w:r w:rsidR="005F68F3">
        <w:rPr>
          <w:rFonts w:ascii="Museo Sans 300" w:eastAsia="Times New Roman" w:hAnsi="Museo Sans 300"/>
          <w:sz w:val="20"/>
          <w:szCs w:val="20"/>
          <w:lang w:eastAsia="es-ES"/>
        </w:rPr>
        <w:t>N.°</w:t>
      </w:r>
      <w:proofErr w:type="spellEnd"/>
      <w:r w:rsidR="005F68F3">
        <w:rPr>
          <w:rFonts w:ascii="Museo Sans 300" w:eastAsia="Times New Roman" w:hAnsi="Museo Sans 300"/>
          <w:sz w:val="20"/>
          <w:szCs w:val="20"/>
          <w:lang w:eastAsia="es-ES"/>
        </w:rPr>
        <w:t xml:space="preserve"> </w:t>
      </w:r>
      <w:r w:rsidR="008A778B">
        <w:rPr>
          <w:rFonts w:ascii="Museo Sans 300" w:eastAsia="Times New Roman" w:hAnsi="Museo Sans 300"/>
          <w:sz w:val="20"/>
          <w:szCs w:val="20"/>
          <w:lang w:eastAsia="es-ES"/>
        </w:rPr>
        <w:t>XXX</w:t>
      </w:r>
      <w:r>
        <w:rPr>
          <w:rFonts w:ascii="Museo Sans 300" w:eastAsia="Times New Roman" w:hAnsi="Museo Sans 300"/>
          <w:sz w:val="20"/>
          <w:szCs w:val="20"/>
          <w:lang w:eastAsia="es-ES"/>
        </w:rPr>
        <w:t>.</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12A9E649"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lastRenderedPageBreak/>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N.°</w:t>
      </w:r>
      <w:r w:rsidR="00FF5DF4" w:rsidRPr="009A3891">
        <w:rPr>
          <w:rFonts w:ascii="Cambria Math" w:eastAsia="Times New Roman" w:hAnsi="Cambria Math" w:cs="Cambria Math"/>
          <w:sz w:val="20"/>
          <w:szCs w:val="20"/>
          <w:lang w:val="es-ES" w:eastAsia="es-ES"/>
        </w:rPr>
        <w:t> </w:t>
      </w:r>
      <w:r w:rsidR="00FF5DF4" w:rsidRPr="009A3891">
        <w:rPr>
          <w:rFonts w:ascii="Museo Sans 300" w:eastAsia="Times New Roman" w:hAnsi="Museo Sans 300"/>
          <w:sz w:val="20"/>
          <w:szCs w:val="20"/>
          <w:lang w:val="es-ES" w:eastAsia="es-ES"/>
        </w:rPr>
        <w:t>E-</w:t>
      </w:r>
      <w:r w:rsidR="000B175D">
        <w:rPr>
          <w:rFonts w:ascii="Museo Sans 300" w:eastAsia="Times New Roman" w:hAnsi="Museo Sans 300"/>
          <w:sz w:val="20"/>
          <w:szCs w:val="20"/>
          <w:lang w:val="es-ES" w:eastAsia="es-ES"/>
        </w:rPr>
        <w:t>0657</w:t>
      </w:r>
      <w:r w:rsidR="003040E0" w:rsidRPr="009A3891">
        <w:rPr>
          <w:rFonts w:ascii="Museo Sans 300" w:eastAsia="Times New Roman" w:hAnsi="Museo Sans 300"/>
          <w:sz w:val="20"/>
          <w:szCs w:val="20"/>
          <w:lang w:val="es-ES" w:eastAsia="es-ES"/>
        </w:rPr>
        <w:t>-202</w:t>
      </w:r>
      <w:r w:rsidR="00781AAB">
        <w:rPr>
          <w:rFonts w:ascii="Museo Sans 300" w:eastAsia="Times New Roman" w:hAnsi="Museo Sans 300"/>
          <w:sz w:val="20"/>
          <w:szCs w:val="20"/>
          <w:lang w:val="es-ES" w:eastAsia="es-ES"/>
        </w:rPr>
        <w:t>2</w:t>
      </w:r>
      <w:r w:rsidR="003040E0" w:rsidRPr="009A3891">
        <w:rPr>
          <w:rFonts w:ascii="Museo Sans 300" w:eastAsia="Times New Roman" w:hAnsi="Museo Sans 300"/>
          <w:sz w:val="20"/>
          <w:szCs w:val="20"/>
          <w:lang w:val="es-ES" w:eastAsia="es-ES"/>
        </w:rPr>
        <w:t>-CAU,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943E73">
        <w:rPr>
          <w:rFonts w:ascii="Museo Sans 300" w:eastAsia="Times New Roman" w:hAnsi="Museo Sans 300"/>
          <w:sz w:val="20"/>
          <w:szCs w:val="20"/>
          <w:lang w:eastAsia="es-ES"/>
        </w:rPr>
        <w:t xml:space="preserve"> la</w:t>
      </w:r>
      <w:r w:rsidR="003040E0" w:rsidRPr="009A3891">
        <w:rPr>
          <w:rFonts w:ascii="Museo Sans 300" w:eastAsia="Times New Roman" w:hAnsi="Museo Sans 300"/>
          <w:sz w:val="20"/>
          <w:szCs w:val="20"/>
          <w:lang w:eastAsia="es-ES"/>
        </w:rPr>
        <w:t xml:space="preserve"> señor</w:t>
      </w:r>
      <w:r w:rsidR="00943E73">
        <w:rPr>
          <w:rFonts w:ascii="Museo Sans 300" w:eastAsia="Times New Roman" w:hAnsi="Museo Sans 300"/>
          <w:sz w:val="20"/>
          <w:szCs w:val="20"/>
          <w:lang w:eastAsia="es-ES"/>
        </w:rPr>
        <w:t>a</w:t>
      </w:r>
      <w:r w:rsidR="00BB5240" w:rsidRPr="009A3891">
        <w:rPr>
          <w:rFonts w:ascii="Museo Sans 300" w:eastAsia="Times New Roman" w:hAnsi="Museo Sans 300"/>
          <w:sz w:val="20"/>
          <w:szCs w:val="20"/>
          <w:lang w:eastAsia="es-ES"/>
        </w:rPr>
        <w:t xml:space="preserve"> </w:t>
      </w:r>
      <w:r w:rsidR="008A778B">
        <w:rPr>
          <w:rFonts w:ascii="Museo Sans 300" w:eastAsia="Times New Roman" w:hAnsi="Museo Sans 300"/>
          <w:sz w:val="20"/>
          <w:szCs w:val="20"/>
          <w:lang w:eastAsia="es-ES"/>
        </w:rPr>
        <w:t>XXX</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943E73">
        <w:rPr>
          <w:rFonts w:ascii="Museo Sans 300" w:eastAsia="Times New Roman" w:hAnsi="Museo Sans 300"/>
          <w:sz w:val="20"/>
          <w:szCs w:val="20"/>
          <w:lang w:eastAsia="es-ES"/>
        </w:rPr>
        <w:t>OCHENTA Y CINCO</w:t>
      </w:r>
      <w:r w:rsidR="001D028A" w:rsidRPr="009A3891">
        <w:rPr>
          <w:rFonts w:ascii="Museo Sans 300" w:eastAsia="Times New Roman" w:hAnsi="Museo Sans 300"/>
          <w:sz w:val="20"/>
          <w:szCs w:val="20"/>
          <w:lang w:eastAsia="es-ES"/>
        </w:rPr>
        <w:t xml:space="preserve"> </w:t>
      </w:r>
      <w:r w:rsidR="00943E73">
        <w:rPr>
          <w:rFonts w:ascii="Museo Sans 300" w:eastAsia="Times New Roman" w:hAnsi="Museo Sans 300"/>
          <w:sz w:val="20"/>
          <w:szCs w:val="20"/>
          <w:lang w:eastAsia="es-ES"/>
        </w:rPr>
        <w:t>31</w:t>
      </w:r>
      <w:r w:rsidR="001D028A" w:rsidRPr="009A3891">
        <w:rPr>
          <w:rFonts w:ascii="Museo Sans 300" w:eastAsia="Times New Roman" w:hAnsi="Museo Sans 300"/>
          <w:sz w:val="20"/>
          <w:szCs w:val="20"/>
          <w:lang w:eastAsia="es-ES"/>
        </w:rPr>
        <w:t xml:space="preserve">/100 DÓLARES DE LOS ESTADOS UNIDOS DE AMÉRICA (USD </w:t>
      </w:r>
      <w:r w:rsidR="00993AEE">
        <w:rPr>
          <w:rFonts w:ascii="Museo Sans 300" w:eastAsia="Times New Roman" w:hAnsi="Museo Sans 300"/>
          <w:sz w:val="20"/>
          <w:szCs w:val="20"/>
          <w:lang w:eastAsia="es-ES"/>
        </w:rPr>
        <w:t>85.31</w:t>
      </w:r>
      <w:r w:rsidR="001D028A" w:rsidRPr="009A3891">
        <w:rPr>
          <w:rFonts w:ascii="Museo Sans 300" w:eastAsia="Times New Roman" w:hAnsi="Museo Sans 300"/>
          <w:sz w:val="20"/>
          <w:szCs w:val="20"/>
          <w:lang w:eastAsia="es-ES"/>
        </w:rPr>
        <w:t>)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68607F27" w14:textId="58FAE052" w:rsidR="003A59FD" w:rsidRDefault="003A59FD"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20EBE65" w14:textId="77777777" w:rsidR="00F76799" w:rsidRPr="00F76799" w:rsidRDefault="00F76799" w:rsidP="00F76799">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sidRPr="00F76799">
        <w:rPr>
          <w:rFonts w:ascii="Museo Sans 500" w:eastAsia="Times New Roman" w:hAnsi="Museo Sans 500"/>
          <w:b/>
          <w:bCs/>
          <w:sz w:val="20"/>
          <w:szCs w:val="20"/>
          <w:lang w:eastAsia="es-ES"/>
        </w:rPr>
        <w:t>Principio de legalidad y seguridad jurídica en el procedimiento administrativo</w:t>
      </w:r>
    </w:p>
    <w:p w14:paraId="4AAAFBA3" w14:textId="77777777" w:rsidR="00F76799" w:rsidRPr="00F76799" w:rsidRDefault="00F76799" w:rsidP="00F76799">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1C8478FB" w14:textId="17177A2B"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F76799">
        <w:rPr>
          <w:rFonts w:ascii="Museo Sans 300" w:hAnsi="Museo Sans 300"/>
          <w:sz w:val="20"/>
          <w:szCs w:val="20"/>
          <w:lang w:val="es-ES_tradnl"/>
        </w:rPr>
        <w:t>Respecto al argumento de la distribuidora que el acuerdo N.° E-</w:t>
      </w:r>
      <w:r w:rsidR="000B175D">
        <w:rPr>
          <w:rFonts w:ascii="Museo Sans 300" w:hAnsi="Museo Sans 300"/>
          <w:sz w:val="20"/>
          <w:szCs w:val="20"/>
          <w:lang w:val="es-ES_tradnl"/>
        </w:rPr>
        <w:t>0657</w:t>
      </w:r>
      <w:r w:rsidR="00EF456E">
        <w:rPr>
          <w:rFonts w:ascii="Museo Sans 300" w:hAnsi="Museo Sans 300"/>
          <w:sz w:val="20"/>
          <w:szCs w:val="20"/>
          <w:lang w:val="es-ES_tradnl"/>
        </w:rPr>
        <w:t>-2022-CAU</w:t>
      </w:r>
      <w:r w:rsidRPr="00F76799">
        <w:rPr>
          <w:rFonts w:ascii="Museo Sans 300" w:hAnsi="Museo Sans 300"/>
          <w:sz w:val="20"/>
          <w:szCs w:val="20"/>
          <w:lang w:val="es-ES_tradnl"/>
        </w:rPr>
        <w:t xml:space="preserve"> riñe con el principio de legalidad y seguridad jurídica debido a que el método de cálculo establecido por el CAU depende de un criterio del analista y no a lo establecido en el marco regulatorio, es procedente indicar lo siguiente:</w:t>
      </w:r>
    </w:p>
    <w:p w14:paraId="2121E3B7"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5825F76C" w14:textId="76F8A9FF" w:rsidR="0002263E" w:rsidRPr="00902CCC" w:rsidRDefault="00B270BC" w:rsidP="00902CCC">
      <w:pPr>
        <w:ind w:left="425"/>
        <w:jc w:val="both"/>
        <w:rPr>
          <w:rFonts w:ascii="Museo Sans 300" w:hAnsi="Museo Sans 300"/>
          <w:sz w:val="20"/>
          <w:szCs w:val="20"/>
        </w:rPr>
      </w:pPr>
      <w:r>
        <w:rPr>
          <w:rFonts w:ascii="Museo Sans 300" w:hAnsi="Museo Sans 300"/>
          <w:sz w:val="20"/>
          <w:szCs w:val="20"/>
        </w:rPr>
        <w:t>L</w:t>
      </w:r>
      <w:r w:rsidR="0002263E" w:rsidRPr="00902CCC">
        <w:rPr>
          <w:rFonts w:ascii="Museo Sans 300" w:hAnsi="Museo Sans 300"/>
          <w:sz w:val="20"/>
          <w:szCs w:val="20"/>
        </w:rPr>
        <w:t>a SIGET en cumplimiento con los principios de legalidad</w:t>
      </w:r>
      <w:r w:rsidR="00191380">
        <w:rPr>
          <w:rFonts w:ascii="Museo Sans 300" w:hAnsi="Museo Sans 300"/>
          <w:sz w:val="20"/>
          <w:szCs w:val="20"/>
        </w:rPr>
        <w:t xml:space="preserve"> y seguridad jurídica</w:t>
      </w:r>
      <w:r w:rsidR="0002263E" w:rsidRPr="00902CCC">
        <w:rPr>
          <w:rFonts w:ascii="Museo Sans 300" w:hAnsi="Museo Sans 300"/>
          <w:sz w:val="20"/>
          <w:szCs w:val="20"/>
        </w:rPr>
        <w:t xml:space="preserve"> no puede extenderse a ámbitos fuera del marco regulatorio aplicable a la prestación del servicio público de energía eléctrica; por lo cual no alcanza ni comprende aquellos aspectos obligacionales propios de tutela de otras jurisdicciones.</w:t>
      </w:r>
    </w:p>
    <w:p w14:paraId="4391BE3B" w14:textId="77777777" w:rsidR="0002263E" w:rsidRPr="00902CCC" w:rsidRDefault="0002263E" w:rsidP="00902CCC">
      <w:pPr>
        <w:spacing w:line="240" w:lineRule="auto"/>
        <w:ind w:left="425"/>
        <w:jc w:val="both"/>
        <w:rPr>
          <w:rFonts w:ascii="Museo Sans 300" w:hAnsi="Museo Sans 300"/>
          <w:sz w:val="20"/>
          <w:szCs w:val="20"/>
          <w:lang w:val="es-ES_tradnl"/>
        </w:rPr>
      </w:pPr>
      <w:r w:rsidRPr="00902CCC">
        <w:rPr>
          <w:rFonts w:ascii="Museo Sans 300" w:hAnsi="Museo Sans 300"/>
          <w:sz w:val="20"/>
          <w:szCs w:val="20"/>
          <w:lang w:val="es-ES_tradnl"/>
        </w:rPr>
        <w:t>Con fundamento en lo anterior, el análisis de la SIGET como ente regulador del sector de electricidad, se delimita a emitir un pronunciamiento de la situación jurídica que las partes han logrado establecer durante el procedimiento y que recae sobre el marco regulatorio sectorial.</w:t>
      </w:r>
    </w:p>
    <w:p w14:paraId="493BA8A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En ese contexto, 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10C24353" w14:textId="77777777" w:rsidR="0002263E" w:rsidRPr="00902CCC" w:rsidRDefault="0002263E" w:rsidP="0002263E">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079D7829" w14:textId="77777777"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De conformidad con el artículo 7.1 de dicho procedimiento, la intervención de la Superintendencia inicia cuando el usuario final no acepta la existencia de la condición irregular y/o el monto de recuperación que ha determinado la distribuidora, y </w:t>
      </w:r>
      <w:proofErr w:type="gramStart"/>
      <w:r w:rsidRPr="00902CCC">
        <w:rPr>
          <w:rFonts w:ascii="Museo Sans 300" w:hAnsi="Museo Sans 300"/>
          <w:sz w:val="20"/>
          <w:szCs w:val="20"/>
        </w:rPr>
        <w:t>en razón de</w:t>
      </w:r>
      <w:proofErr w:type="gramEnd"/>
      <w:r w:rsidRPr="00902CCC">
        <w:rPr>
          <w:rFonts w:ascii="Museo Sans 300" w:hAnsi="Museo Sans 300"/>
          <w:sz w:val="20"/>
          <w:szCs w:val="20"/>
        </w:rPr>
        <w:t xml:space="preserve"> ello, interpone el reclamo correspondiente a fin de que la SIGET -mediante el apoyo del Centro de Atención al Usuario o de un perito externo- corrobore lo actuado por la empresa distribuidora. </w:t>
      </w:r>
    </w:p>
    <w:p w14:paraId="3F17686E" w14:textId="77777777" w:rsidR="0002263E" w:rsidRPr="00902CCC" w:rsidRDefault="0002263E" w:rsidP="0002263E">
      <w:pPr>
        <w:spacing w:after="0" w:line="240" w:lineRule="auto"/>
        <w:ind w:left="142"/>
        <w:jc w:val="both"/>
        <w:textAlignment w:val="baseline"/>
        <w:rPr>
          <w:rFonts w:ascii="Museo Sans 300" w:hAnsi="Museo Sans 300"/>
          <w:sz w:val="20"/>
          <w:szCs w:val="20"/>
        </w:rPr>
      </w:pPr>
    </w:p>
    <w:p w14:paraId="000E0BE5" w14:textId="006A420E" w:rsidR="0002263E" w:rsidRPr="00902CCC" w:rsidRDefault="0002263E" w:rsidP="00902CC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Según lo establecido en el procedimiento indicado, la Superintendencia a través del CAU realiza las investigaciones </w:t>
      </w:r>
      <w:r w:rsidR="0032382B">
        <w:rPr>
          <w:rFonts w:ascii="Museo Sans 300" w:hAnsi="Museo Sans 300"/>
          <w:sz w:val="20"/>
          <w:szCs w:val="20"/>
        </w:rPr>
        <w:t>vinculadas con</w:t>
      </w:r>
      <w:r w:rsidRPr="00902CCC">
        <w:rPr>
          <w:rFonts w:ascii="Museo Sans 300" w:hAnsi="Museo Sans 300"/>
          <w:sz w:val="20"/>
          <w:szCs w:val="20"/>
        </w:rPr>
        <w:t xml:space="preserve"> los reclamos sobre condiciones irregulares en los suministros, llevando a cabo todas las medidas necesarias para corroborar la existencia de una condición irregular atribuida a</w:t>
      </w:r>
      <w:r w:rsidR="00943E73">
        <w:rPr>
          <w:rFonts w:ascii="Museo Sans 300" w:hAnsi="Museo Sans 300"/>
          <w:sz w:val="20"/>
          <w:szCs w:val="20"/>
        </w:rPr>
        <w:t xml:space="preserve"> la</w:t>
      </w:r>
      <w:r w:rsidRPr="00902CCC">
        <w:rPr>
          <w:rFonts w:ascii="Museo Sans 300" w:hAnsi="Museo Sans 300"/>
          <w:sz w:val="20"/>
          <w:szCs w:val="20"/>
        </w:rPr>
        <w:t xml:space="preserve"> usuari</w:t>
      </w:r>
      <w:r w:rsidR="00943E73">
        <w:rPr>
          <w:rFonts w:ascii="Museo Sans 300" w:hAnsi="Museo Sans 300"/>
          <w:sz w:val="20"/>
          <w:szCs w:val="20"/>
        </w:rPr>
        <w:t>a</w:t>
      </w:r>
      <w:r w:rsidR="00334242">
        <w:rPr>
          <w:rFonts w:ascii="Museo Sans 300" w:hAnsi="Museo Sans 300"/>
          <w:sz w:val="20"/>
          <w:szCs w:val="20"/>
        </w:rPr>
        <w:t xml:space="preserve">, en el sentido de </w:t>
      </w:r>
      <w:r w:rsidR="00F74877">
        <w:rPr>
          <w:rFonts w:ascii="Museo Sans 300" w:hAnsi="Museo Sans 300"/>
          <w:sz w:val="20"/>
          <w:szCs w:val="20"/>
        </w:rPr>
        <w:t>establecer si</w:t>
      </w:r>
      <w:r w:rsidRPr="00902CCC">
        <w:rPr>
          <w:rFonts w:ascii="Museo Sans 300" w:hAnsi="Museo Sans 300"/>
          <w:sz w:val="20"/>
          <w:szCs w:val="20"/>
        </w:rPr>
        <w:t xml:space="preserve"> la empresa distribuidora</w:t>
      </w:r>
      <w:r w:rsidR="00F74877">
        <w:rPr>
          <w:rFonts w:ascii="Museo Sans 300" w:hAnsi="Museo Sans 300"/>
          <w:sz w:val="20"/>
          <w:szCs w:val="20"/>
        </w:rPr>
        <w:t xml:space="preserve"> está habili</w:t>
      </w:r>
      <w:r w:rsidR="00665E05">
        <w:rPr>
          <w:rFonts w:ascii="Museo Sans 300" w:hAnsi="Museo Sans 300"/>
          <w:sz w:val="20"/>
          <w:szCs w:val="20"/>
        </w:rPr>
        <w:t>tada</w:t>
      </w:r>
      <w:r w:rsidRPr="00902CCC">
        <w:rPr>
          <w:rFonts w:ascii="Museo Sans 300" w:hAnsi="Museo Sans 300"/>
          <w:sz w:val="20"/>
          <w:szCs w:val="20"/>
        </w:rPr>
        <w:t xml:space="preserve"> a cobrarle </w:t>
      </w:r>
      <w:r w:rsidR="00665E05">
        <w:rPr>
          <w:rFonts w:ascii="Museo Sans 300" w:hAnsi="Museo Sans 300"/>
          <w:sz w:val="20"/>
          <w:szCs w:val="20"/>
        </w:rPr>
        <w:t xml:space="preserve">un valor </w:t>
      </w:r>
      <w:r w:rsidRPr="00902CCC">
        <w:rPr>
          <w:rFonts w:ascii="Museo Sans 300" w:hAnsi="Museo Sans 300"/>
          <w:sz w:val="20"/>
          <w:szCs w:val="20"/>
        </w:rPr>
        <w:t>en concepto de energía no registrada, verificar el período de recuperación (</w:t>
      </w:r>
      <w:r w:rsidR="00665E05">
        <w:rPr>
          <w:rFonts w:ascii="Museo Sans 300" w:hAnsi="Museo Sans 300"/>
          <w:sz w:val="20"/>
          <w:szCs w:val="20"/>
        </w:rPr>
        <w:t>máximo de 180 días</w:t>
      </w:r>
      <w:r w:rsidRPr="00902CCC">
        <w:rPr>
          <w:rFonts w:ascii="Museo Sans 300" w:hAnsi="Museo Sans 300"/>
          <w:sz w:val="20"/>
          <w:szCs w:val="20"/>
        </w:rPr>
        <w:t xml:space="preserve">) y </w:t>
      </w:r>
      <w:r w:rsidR="00B66D95">
        <w:rPr>
          <w:rFonts w:ascii="Museo Sans 300" w:hAnsi="Museo Sans 300"/>
          <w:sz w:val="20"/>
          <w:szCs w:val="20"/>
        </w:rPr>
        <w:t xml:space="preserve">definir </w:t>
      </w:r>
      <w:r w:rsidR="008560D7">
        <w:rPr>
          <w:rFonts w:ascii="Museo Sans 300" w:hAnsi="Museo Sans 300"/>
          <w:sz w:val="20"/>
          <w:szCs w:val="20"/>
        </w:rPr>
        <w:t xml:space="preserve">sí </w:t>
      </w:r>
      <w:r w:rsidRPr="00902CCC">
        <w:rPr>
          <w:rFonts w:ascii="Museo Sans 300" w:hAnsi="Museo Sans 300"/>
          <w:sz w:val="20"/>
          <w:szCs w:val="20"/>
        </w:rPr>
        <w:t>la cantidad exigida a</w:t>
      </w:r>
      <w:r w:rsidR="00943E73">
        <w:rPr>
          <w:rFonts w:ascii="Museo Sans 300" w:hAnsi="Museo Sans 300"/>
          <w:sz w:val="20"/>
          <w:szCs w:val="20"/>
        </w:rPr>
        <w:t xml:space="preserve"> la</w:t>
      </w:r>
      <w:r w:rsidRPr="00902CCC">
        <w:rPr>
          <w:rFonts w:ascii="Museo Sans 300" w:hAnsi="Museo Sans 300"/>
          <w:sz w:val="20"/>
          <w:szCs w:val="20"/>
        </w:rPr>
        <w:t xml:space="preserve"> usuari</w:t>
      </w:r>
      <w:r w:rsidR="00943E73">
        <w:rPr>
          <w:rFonts w:ascii="Museo Sans 300" w:hAnsi="Museo Sans 300"/>
          <w:sz w:val="20"/>
          <w:szCs w:val="20"/>
        </w:rPr>
        <w:t>a</w:t>
      </w:r>
      <w:r w:rsidRPr="00902CCC">
        <w:rPr>
          <w:rFonts w:ascii="Museo Sans 300" w:hAnsi="Museo Sans 300"/>
          <w:sz w:val="20"/>
          <w:szCs w:val="20"/>
        </w:rPr>
        <w:t xml:space="preserve"> </w:t>
      </w:r>
      <w:r w:rsidR="0087033E">
        <w:rPr>
          <w:rFonts w:ascii="Museo Sans 300" w:hAnsi="Museo Sans 300"/>
          <w:sz w:val="20"/>
          <w:szCs w:val="20"/>
        </w:rPr>
        <w:t>fue</w:t>
      </w:r>
      <w:r w:rsidRPr="00902CCC">
        <w:rPr>
          <w:rFonts w:ascii="Museo Sans 300" w:hAnsi="Museo Sans 300"/>
          <w:sz w:val="20"/>
          <w:szCs w:val="20"/>
        </w:rPr>
        <w:t xml:space="preserve"> determinada de conformidad con lo establecido en el Procedimiento para Investigar la Existencia de Condiciones Irregulares en el Suministro de Energía Eléctrica del Usuario Final.</w:t>
      </w:r>
    </w:p>
    <w:p w14:paraId="7903853A" w14:textId="77777777" w:rsidR="0002263E" w:rsidRDefault="0002263E" w:rsidP="00902CCC">
      <w:pPr>
        <w:tabs>
          <w:tab w:val="left" w:pos="426"/>
        </w:tabs>
        <w:suppressAutoHyphens/>
        <w:autoSpaceDN w:val="0"/>
        <w:spacing w:after="0" w:line="240" w:lineRule="auto"/>
        <w:jc w:val="both"/>
        <w:textAlignment w:val="baseline"/>
        <w:rPr>
          <w:rFonts w:ascii="Museo Sans 300" w:hAnsi="Museo Sans 300"/>
          <w:sz w:val="20"/>
          <w:szCs w:val="20"/>
        </w:rPr>
      </w:pPr>
    </w:p>
    <w:p w14:paraId="2C29B59A" w14:textId="47820426" w:rsidR="00F76799" w:rsidRPr="00F76799" w:rsidRDefault="007B2DA7" w:rsidP="00F76799">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 xml:space="preserve">En ese orden, </w:t>
      </w:r>
      <w:r w:rsidR="00AF0A51">
        <w:rPr>
          <w:rFonts w:ascii="Museo Sans 300" w:hAnsi="Museo Sans 300"/>
          <w:sz w:val="20"/>
          <w:szCs w:val="20"/>
        </w:rPr>
        <w:t>e</w:t>
      </w:r>
      <w:r w:rsidR="00F76799"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00F76799"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5728B1C8"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F392185" w14:textId="59192112" w:rsidR="00F76799" w:rsidRPr="00F76799" w:rsidRDefault="00F76799" w:rsidP="00F76799">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el </w:t>
      </w:r>
      <w:r w:rsidR="007B2DA7">
        <w:rPr>
          <w:rFonts w:ascii="Museo Sans 300" w:hAnsi="Museo Sans 300"/>
          <w:sz w:val="20"/>
          <w:szCs w:val="20"/>
        </w:rPr>
        <w:t>diferendo</w:t>
      </w:r>
      <w:r w:rsidR="00A833D6">
        <w:rPr>
          <w:rFonts w:ascii="Museo Sans 300" w:hAnsi="Museo Sans 300"/>
          <w:sz w:val="20"/>
          <w:szCs w:val="20"/>
        </w:rPr>
        <w:t xml:space="preserve"> </w:t>
      </w:r>
      <w:r w:rsidRPr="00F76799">
        <w:rPr>
          <w:rFonts w:ascii="Museo Sans 300" w:hAnsi="Museo Sans 300"/>
          <w:sz w:val="20"/>
          <w:szCs w:val="20"/>
        </w:rPr>
        <w:t xml:space="preserve">conforme a derecho, hayan sido o no alegados por las partes. De tal manera que, la decisión </w:t>
      </w:r>
      <w:r w:rsidRPr="00F76799">
        <w:rPr>
          <w:rFonts w:ascii="Museo Sans 300" w:hAnsi="Museo Sans 300"/>
          <w:sz w:val="20"/>
          <w:szCs w:val="20"/>
        </w:rPr>
        <w:lastRenderedPageBreak/>
        <w:t xml:space="preserve">administrativa ha de ser independiente de la voluntad de las partes, pues su objetivo será siempre ajustarse al principio de verdad material. </w:t>
      </w:r>
    </w:p>
    <w:p w14:paraId="5DC7B951" w14:textId="77777777" w:rsidR="00F76799" w:rsidRPr="00F76799" w:rsidRDefault="00F76799" w:rsidP="00F76799">
      <w:pPr>
        <w:tabs>
          <w:tab w:val="left" w:pos="1276"/>
        </w:tabs>
        <w:spacing w:after="0" w:line="0" w:lineRule="atLeast"/>
        <w:ind w:left="567"/>
        <w:jc w:val="both"/>
        <w:rPr>
          <w:rFonts w:ascii="Museo Sans 300" w:hAnsi="Museo Sans 300"/>
          <w:sz w:val="20"/>
          <w:szCs w:val="20"/>
        </w:rPr>
      </w:pPr>
    </w:p>
    <w:p w14:paraId="459F868E" w14:textId="72A0961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Respecto a</w:t>
      </w:r>
      <w:r w:rsidR="00070647">
        <w:rPr>
          <w:rFonts w:ascii="Museo Sans 300" w:eastAsia="Times New Roman" w:hAnsi="Museo Sans 300" w:cs="Calibri"/>
          <w:color w:val="000000"/>
          <w:sz w:val="20"/>
          <w:szCs w:val="20"/>
          <w:lang w:eastAsia="es-SV"/>
        </w:rPr>
        <w:t xml:space="preserve"> los</w:t>
      </w:r>
      <w:r w:rsidRPr="00F76799">
        <w:rPr>
          <w:rFonts w:ascii="Museo Sans 300" w:eastAsia="Times New Roman" w:hAnsi="Museo Sans 300" w:cs="Calibri"/>
          <w:color w:val="000000"/>
          <w:sz w:val="20"/>
          <w:szCs w:val="20"/>
          <w:lang w:eastAsia="es-SV"/>
        </w:rPr>
        <w:t xml:space="preserve"> principio</w:t>
      </w:r>
      <w:r w:rsidR="00070647">
        <w:rPr>
          <w:rFonts w:ascii="Museo Sans 300" w:eastAsia="Times New Roman" w:hAnsi="Museo Sans 300" w:cs="Calibri"/>
          <w:color w:val="000000"/>
          <w:sz w:val="20"/>
          <w:szCs w:val="20"/>
          <w:lang w:eastAsia="es-SV"/>
        </w:rPr>
        <w:t>s</w:t>
      </w:r>
      <w:r w:rsidRPr="00F76799">
        <w:rPr>
          <w:rFonts w:ascii="Museo Sans 300" w:eastAsia="Times New Roman" w:hAnsi="Museo Sans 300" w:cs="Calibri"/>
          <w:color w:val="000000"/>
          <w:sz w:val="20"/>
          <w:szCs w:val="20"/>
          <w:lang w:eastAsia="es-SV"/>
        </w:rPr>
        <w:t xml:space="preserve"> de legalidad</w:t>
      </w:r>
      <w:r w:rsidR="00070647">
        <w:rPr>
          <w:rFonts w:ascii="Museo Sans 300" w:eastAsia="Times New Roman" w:hAnsi="Museo Sans 300" w:cs="Calibri"/>
          <w:color w:val="000000"/>
          <w:sz w:val="20"/>
          <w:szCs w:val="20"/>
          <w:lang w:eastAsia="es-SV"/>
        </w:rPr>
        <w:t xml:space="preserve"> y seguridad jurídica</w:t>
      </w:r>
      <w:r w:rsidRPr="00F76799">
        <w:rPr>
          <w:rFonts w:ascii="Museo Sans 300" w:eastAsia="Times New Roman" w:hAnsi="Museo Sans 300" w:cs="Calibri"/>
          <w:color w:val="000000"/>
          <w:sz w:val="20"/>
          <w:szCs w:val="20"/>
          <w:lang w:eastAsia="es-SV"/>
        </w:rPr>
        <w:t xml:space="preserve"> y la aplicación de la normativa sectorial, debe indicarse que el artículo 3 del Procedimiento para Investigar la Existencia de Condiciones Irregulares en el Suministro de Energía Eléctrica del Usuario Final, define lo siguiente:</w:t>
      </w:r>
    </w:p>
    <w:p w14:paraId="13F9D559"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27A700D" w14:textId="77777777" w:rsidR="00F76799" w:rsidRPr="00F76799" w:rsidRDefault="00F76799" w:rsidP="00F76799">
      <w:pPr>
        <w:shd w:val="clear" w:color="auto" w:fill="FFFFFF"/>
        <w:spacing w:after="0" w:line="240" w:lineRule="auto"/>
        <w:ind w:left="851" w:right="425"/>
        <w:jc w:val="both"/>
        <w:textAlignment w:val="baseline"/>
        <w:rPr>
          <w:rFonts w:ascii="Museo 300" w:eastAsia="Times New Roman" w:hAnsi="Museo 300" w:cs="Calibri"/>
          <w:color w:val="000000"/>
          <w:sz w:val="16"/>
          <w:szCs w:val="16"/>
          <w:lang w:eastAsia="es-SV"/>
        </w:rPr>
      </w:pPr>
      <w:r w:rsidRPr="00F76799">
        <w:rPr>
          <w:rFonts w:ascii="Museo 300" w:eastAsia="Times New Roman" w:hAnsi="Museo 300" w:cs="Calibri"/>
          <w:b/>
          <w:bCs/>
          <w:color w:val="000000"/>
          <w:sz w:val="16"/>
          <w:szCs w:val="16"/>
          <w:lang w:eastAsia="es-SV"/>
        </w:rPr>
        <w:t>Línea Directa, Intercalada o en Derivación</w:t>
      </w:r>
      <w:r w:rsidRPr="00F76799">
        <w:rPr>
          <w:rFonts w:ascii="Museo 300" w:eastAsia="Times New Roman" w:hAnsi="Museo 300" w:cs="Calibri"/>
          <w:color w:val="000000"/>
          <w:sz w:val="16"/>
          <w:szCs w:val="16"/>
          <w:lang w:eastAsia="es-SV"/>
        </w:rPr>
        <w:t xml:space="preserve">: Es una instalación no autorizada por la empresa distribuidora, la cual origina que el equipo y/o instrumento de medición no registre el consumo correcto de la energía y puede o no estar a la vista de la inspección; sin embargo, </w:t>
      </w:r>
      <w:r w:rsidRPr="00F76799">
        <w:rPr>
          <w:rFonts w:ascii="Museo 300" w:eastAsia="Times New Roman" w:hAnsi="Museo 300" w:cs="Calibri"/>
          <w:color w:val="000000"/>
          <w:sz w:val="16"/>
          <w:szCs w:val="16"/>
          <w:u w:val="single"/>
          <w:lang w:eastAsia="es-SV"/>
        </w:rPr>
        <w:t>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w:t>
      </w:r>
      <w:r w:rsidRPr="00F76799">
        <w:rPr>
          <w:rFonts w:ascii="Museo 300" w:eastAsia="Times New Roman" w:hAnsi="Museo 300" w:cs="Calibri"/>
          <w:color w:val="000000"/>
          <w:sz w:val="16"/>
          <w:szCs w:val="16"/>
          <w:lang w:eastAsia="es-SV"/>
        </w:rPr>
        <w:t xml:space="preserve">  (subrayado es nuestro)</w:t>
      </w:r>
    </w:p>
    <w:p w14:paraId="5E298FD1"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B7F30BF" w14:textId="3E03314C"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base en las disposiciones indicadas, debe indicarse que el CAU en los informes técnicos N.° </w:t>
      </w:r>
      <w:r w:rsidR="00E83E3F">
        <w:rPr>
          <w:rFonts w:ascii="Museo Sans 300" w:eastAsia="Times New Roman" w:hAnsi="Museo Sans 300" w:cs="Calibri"/>
          <w:color w:val="000000"/>
          <w:sz w:val="20"/>
          <w:szCs w:val="20"/>
          <w:lang w:eastAsia="es-SV"/>
        </w:rPr>
        <w:t>0034</w:t>
      </w:r>
      <w:r w:rsidRPr="00F76799">
        <w:rPr>
          <w:rFonts w:ascii="Museo Sans 300" w:eastAsia="Times New Roman" w:hAnsi="Museo Sans 300" w:cs="Calibri"/>
          <w:color w:val="000000"/>
          <w:sz w:val="20"/>
          <w:szCs w:val="20"/>
          <w:lang w:eastAsia="es-SV"/>
        </w:rPr>
        <w:t>-CAU-2</w:t>
      </w:r>
      <w:r w:rsidR="00A631A3">
        <w:rPr>
          <w:rFonts w:ascii="Museo Sans 300" w:eastAsia="Times New Roman" w:hAnsi="Museo Sans 300" w:cs="Calibri"/>
          <w:color w:val="000000"/>
          <w:sz w:val="20"/>
          <w:szCs w:val="20"/>
          <w:lang w:eastAsia="es-SV"/>
        </w:rPr>
        <w:t>2</w:t>
      </w:r>
      <w:r w:rsidRPr="00F76799">
        <w:rPr>
          <w:rFonts w:ascii="Museo Sans 300" w:eastAsia="Times New Roman" w:hAnsi="Museo Sans 300" w:cs="Calibri"/>
          <w:color w:val="000000"/>
          <w:sz w:val="20"/>
          <w:szCs w:val="20"/>
          <w:lang w:eastAsia="es-SV"/>
        </w:rPr>
        <w:t xml:space="preserve"> y </w:t>
      </w:r>
      <w:r w:rsidR="006B3965">
        <w:rPr>
          <w:rFonts w:ascii="Museo Sans 300" w:eastAsia="Times New Roman" w:hAnsi="Museo Sans 300" w:cs="Calibri"/>
          <w:color w:val="000000"/>
          <w:sz w:val="20"/>
          <w:szCs w:val="20"/>
          <w:lang w:eastAsia="es-SV"/>
        </w:rPr>
        <w:t>0189</w:t>
      </w:r>
      <w:r w:rsidRPr="00F76799">
        <w:rPr>
          <w:rFonts w:ascii="Museo Sans 300" w:eastAsia="Times New Roman" w:hAnsi="Museo Sans 300" w:cs="Calibri"/>
          <w:color w:val="000000"/>
          <w:sz w:val="20"/>
          <w:szCs w:val="20"/>
          <w:lang w:eastAsia="es-SV"/>
        </w:rPr>
        <w:t>-CAU-22, estableció lo siguiente:</w:t>
      </w:r>
    </w:p>
    <w:p w14:paraId="597DF7D6" w14:textId="77777777"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5099AEAC" w14:textId="77777777" w:rsidR="00F76799" w:rsidRPr="00F76799" w:rsidRDefault="00F76799" w:rsidP="009E08BC">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w:t>
      </w:r>
      <w:r w:rsidRPr="00F76799">
        <w:rPr>
          <w:rFonts w:ascii="Museo Sans 300" w:hAnsi="Museo Sans 300" w:cs="Arial"/>
          <w:sz w:val="20"/>
          <w:szCs w:val="20"/>
        </w:rPr>
        <w:t>Procedimiento para Investigar Condiciones Irregulares en el Suministro de Energía Eléctrica del Usuario Final se establecen</w:t>
      </w:r>
      <w:r w:rsidRPr="00F76799">
        <w:rPr>
          <w:rFonts w:ascii="Museo Sans 300" w:hAnsi="Museo Sans 300" w:cs="Arial"/>
        </w:rPr>
        <w:t xml:space="preserve"> </w:t>
      </w:r>
      <w:r w:rsidRPr="00F76799">
        <w:rPr>
          <w:rFonts w:ascii="Museo Sans 300" w:eastAsia="SimSun" w:hAnsi="Museo Sans 300" w:cs="Arial"/>
          <w:spacing w:val="-5"/>
          <w:sz w:val="20"/>
          <w:szCs w:val="20"/>
          <w:lang w:val="es-ES"/>
        </w:rPr>
        <w:t xml:space="preserve">los métodos en los cuales puede basarse la distribuidora para realizar el cálculo de recuperación de energía eléctrica no registrada por una condición irregular, pero no establece un método específico para una determinada condición irregular. </w:t>
      </w:r>
    </w:p>
    <w:p w14:paraId="32CEE5D6" w14:textId="77777777" w:rsidR="00F76799" w:rsidRPr="00F76799" w:rsidRDefault="00F76799" w:rsidP="00F76799">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Lo anterior, se evidencia en que tanto el CAU como la distribuidora para casos donde se ha comprobado que la condición irregular es una línea directa, los métodos para el cálculo no han sido siempre los mismos pues dependerá de cada caso y sus particularidades para definir el método óptimo para definir el monto a recuperar. </w:t>
      </w:r>
    </w:p>
    <w:p w14:paraId="4654050E" w14:textId="638721C4" w:rsidR="00F76799" w:rsidRPr="00F76799" w:rsidRDefault="00F76799" w:rsidP="009E08BC">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En el presente caso, el CAU determinó que el promedio mensual utilizado </w:t>
      </w:r>
      <w:r w:rsidRPr="00F76799">
        <w:rPr>
          <w:rFonts w:ascii="Museo Sans 300" w:eastAsia="Times New Roman" w:hAnsi="Museo Sans 300"/>
          <w:spacing w:val="-5"/>
          <w:sz w:val="20"/>
          <w:szCs w:val="20"/>
          <w:lang w:val="es-ES" w:eastAsia="es-SV"/>
        </w:rPr>
        <w:t>por la distribuidora (</w:t>
      </w:r>
      <w:r w:rsidR="00BC08A8">
        <w:rPr>
          <w:rFonts w:ascii="Museo Sans 300" w:eastAsia="Times New Roman" w:hAnsi="Museo Sans 300"/>
          <w:spacing w:val="-5"/>
          <w:sz w:val="20"/>
          <w:szCs w:val="20"/>
          <w:lang w:val="es-ES" w:eastAsia="es-SV"/>
        </w:rPr>
        <w:t>926</w:t>
      </w:r>
      <w:r w:rsidRPr="00F76799">
        <w:rPr>
          <w:rFonts w:ascii="Museo Sans 300" w:eastAsia="Times New Roman" w:hAnsi="Museo Sans 300"/>
          <w:spacing w:val="-5"/>
          <w:sz w:val="20"/>
          <w:szCs w:val="20"/>
          <w:lang w:val="es-ES" w:eastAsia="es-SV"/>
        </w:rPr>
        <w:t xml:space="preserve"> kWh), estimado por medio de la corriente instantánea que registraron al momento del hallazgo, es muy superior al consumo real; es decir, no guarda relación con ningún consumo en el suministro a lo largo del período comprendido entre el mes de </w:t>
      </w:r>
      <w:r w:rsidR="00943E73">
        <w:rPr>
          <w:rFonts w:ascii="Museo Sans 300" w:eastAsia="Times New Roman" w:hAnsi="Museo Sans 300"/>
          <w:spacing w:val="-5"/>
          <w:sz w:val="20"/>
          <w:szCs w:val="20"/>
          <w:lang w:val="es-ES" w:eastAsia="es-SV"/>
        </w:rPr>
        <w:t>septiembre</w:t>
      </w:r>
      <w:r w:rsidR="00CE7977">
        <w:rPr>
          <w:rFonts w:ascii="Museo Sans 300" w:eastAsia="Times New Roman" w:hAnsi="Museo Sans 300"/>
          <w:spacing w:val="-5"/>
          <w:sz w:val="20"/>
          <w:szCs w:val="20"/>
          <w:lang w:val="es-ES" w:eastAsia="es-SV"/>
        </w:rPr>
        <w:t xml:space="preserve"> de 20</w:t>
      </w:r>
      <w:r w:rsidR="00943E73">
        <w:rPr>
          <w:rFonts w:ascii="Museo Sans 300" w:eastAsia="Times New Roman" w:hAnsi="Museo Sans 300"/>
          <w:spacing w:val="-5"/>
          <w:sz w:val="20"/>
          <w:szCs w:val="20"/>
          <w:lang w:val="es-ES" w:eastAsia="es-SV"/>
        </w:rPr>
        <w:t>19</w:t>
      </w:r>
      <w:r w:rsidRPr="00F76799">
        <w:rPr>
          <w:rFonts w:ascii="Museo Sans 300" w:eastAsia="Times New Roman" w:hAnsi="Museo Sans 300"/>
          <w:spacing w:val="-5"/>
          <w:sz w:val="20"/>
          <w:szCs w:val="20"/>
          <w:lang w:val="es-ES" w:eastAsia="es-SV"/>
        </w:rPr>
        <w:t xml:space="preserve"> hasta el mes de </w:t>
      </w:r>
      <w:r w:rsidR="00CE7977">
        <w:rPr>
          <w:rFonts w:ascii="Museo Sans 300" w:eastAsia="Times New Roman" w:hAnsi="Museo Sans 300"/>
          <w:spacing w:val="-5"/>
          <w:sz w:val="20"/>
          <w:szCs w:val="20"/>
          <w:lang w:val="es-ES" w:eastAsia="es-SV"/>
        </w:rPr>
        <w:t>enero del presente año</w:t>
      </w:r>
      <w:r w:rsidRPr="00F76799">
        <w:rPr>
          <w:rFonts w:ascii="Museo Sans 300" w:eastAsia="Times New Roman" w:hAnsi="Museo Sans 300"/>
          <w:spacing w:val="-5"/>
          <w:sz w:val="20"/>
          <w:szCs w:val="20"/>
          <w:lang w:val="es-ES" w:eastAsia="es-SV"/>
        </w:rPr>
        <w:t xml:space="preserve">. </w:t>
      </w:r>
    </w:p>
    <w:p w14:paraId="2052BA69" w14:textId="77777777" w:rsidR="00F76799" w:rsidRPr="00F76799" w:rsidRDefault="00F76799" w:rsidP="009E08BC">
      <w:pPr>
        <w:numPr>
          <w:ilvl w:val="0"/>
          <w:numId w:val="8"/>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Times New Roman" w:hAnsi="Museo Sans 300"/>
          <w:spacing w:val="-5"/>
          <w:sz w:val="20"/>
          <w:szCs w:val="20"/>
          <w:lang w:val="es-ES" w:eastAsia="es-SV"/>
        </w:rPr>
        <w:t>De igual forma EEO 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p>
    <w:p w14:paraId="20C61D32" w14:textId="29732B81"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En ese sentido, el CAU consideró que las pruebas eran insuficientes para validar el cálculo efectuado por la distribuidora, por lo cual, determinó la energía no registrada con base en el censo de carga instalado en el suministro, en cumplimiento del artículo 5.2. letra i) del Procedimiento para Investigar la Existencia de Condiciones Irregulares en el Suministro de Energía Eléctrica del Usuario Final.</w:t>
      </w:r>
    </w:p>
    <w:p w14:paraId="6B5AD2D7"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16576D7B" w14:textId="205CA5C1" w:rsidR="00F76799" w:rsidRPr="00F76799" w:rsidRDefault="00F76799"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Con fundamento en lo anterior, debe establecerse que si bien es cierto la distribuidora tiene el derecho de cobrar por el servicio prestado a</w:t>
      </w:r>
      <w:r w:rsidR="007427D3">
        <w:rPr>
          <w:rFonts w:ascii="Museo Sans 300" w:eastAsia="Times New Roman" w:hAnsi="Museo Sans 300" w:cs="Calibri"/>
          <w:color w:val="000000"/>
          <w:sz w:val="20"/>
          <w:szCs w:val="20"/>
          <w:lang w:eastAsia="es-SV"/>
        </w:rPr>
        <w:t xml:space="preserve"> la</w:t>
      </w:r>
      <w:r w:rsidRPr="00F76799">
        <w:rPr>
          <w:rFonts w:ascii="Museo Sans 300" w:eastAsia="Times New Roman" w:hAnsi="Museo Sans 300" w:cs="Calibri"/>
          <w:color w:val="000000"/>
          <w:sz w:val="20"/>
          <w:szCs w:val="20"/>
          <w:lang w:eastAsia="es-SV"/>
        </w:rPr>
        <w:t xml:space="preserve"> usuari</w:t>
      </w:r>
      <w:r w:rsidR="007427D3">
        <w:rPr>
          <w:rFonts w:ascii="Museo Sans 300" w:eastAsia="Times New Roman" w:hAnsi="Museo Sans 300" w:cs="Calibri"/>
          <w:color w:val="000000"/>
          <w:sz w:val="20"/>
          <w:szCs w:val="20"/>
          <w:lang w:eastAsia="es-SV"/>
        </w:rPr>
        <w:t>a</w:t>
      </w:r>
      <w:r w:rsidRPr="00F76799">
        <w:rPr>
          <w:rFonts w:ascii="Museo Sans 300" w:eastAsia="Times New Roman" w:hAnsi="Museo Sans 300" w:cs="Calibri"/>
          <w:color w:val="000000"/>
          <w:sz w:val="20"/>
          <w:szCs w:val="20"/>
          <w:lang w:eastAsia="es-SV"/>
        </w:rPr>
        <w:t>, dicho cobro debe cumplir con los parámetros establecidos en el marco regulatorio del sector eléctrico.</w:t>
      </w:r>
    </w:p>
    <w:p w14:paraId="330FC666" w14:textId="77777777" w:rsidR="00F76799" w:rsidRPr="00F76799" w:rsidRDefault="00F76799" w:rsidP="00F7679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F3B122A" w14:textId="5429363B" w:rsidR="00F76799" w:rsidRDefault="00F76799" w:rsidP="00F76799">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sidR="00D950D5">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establecidos para calcular el cobro de energía no registrada no implican una vulneración a</w:t>
      </w:r>
      <w:r w:rsidR="00D950D5">
        <w:rPr>
          <w:rFonts w:ascii="Museo Sans 300" w:eastAsia="Times New Roman" w:hAnsi="Museo Sans 300" w:cs="Calibri"/>
          <w:color w:val="000000"/>
          <w:sz w:val="20"/>
          <w:szCs w:val="20"/>
          <w:lang w:eastAsia="es-SV"/>
        </w:rPr>
        <w:t xml:space="preserve"> los principios de legalidad y seguridad jurídica</w:t>
      </w:r>
      <w:r w:rsidRPr="00F76799">
        <w:rPr>
          <w:rFonts w:ascii="Museo Sans 300" w:eastAsia="Times New Roman" w:hAnsi="Museo Sans 300" w:cs="Calibri"/>
          <w:color w:val="000000"/>
          <w:sz w:val="20"/>
          <w:szCs w:val="20"/>
          <w:lang w:eastAsia="es-SV"/>
        </w:rPr>
        <w:t xml:space="preserve">, sino </w:t>
      </w:r>
      <w:r w:rsidR="00DB1286">
        <w:rPr>
          <w:rFonts w:ascii="Museo Sans 300" w:eastAsia="Times New Roman" w:hAnsi="Museo Sans 300" w:cs="Calibri"/>
          <w:color w:val="000000"/>
          <w:sz w:val="20"/>
          <w:szCs w:val="20"/>
          <w:lang w:eastAsia="es-SV"/>
        </w:rPr>
        <w:t xml:space="preserve">por el contrario, </w:t>
      </w:r>
      <w:r w:rsidR="006010E8">
        <w:rPr>
          <w:rFonts w:ascii="Museo Sans 300" w:eastAsia="Times New Roman" w:hAnsi="Museo Sans 300" w:cs="Calibri"/>
          <w:color w:val="000000"/>
          <w:sz w:val="20"/>
          <w:szCs w:val="20"/>
          <w:lang w:eastAsia="es-SV"/>
        </w:rPr>
        <w:t xml:space="preserve">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4C125AE3" w14:textId="77358E0E" w:rsidR="00993AEE" w:rsidRDefault="00993AEE" w:rsidP="00F76799">
      <w:pPr>
        <w:tabs>
          <w:tab w:val="left" w:pos="426"/>
        </w:tabs>
        <w:suppressAutoHyphens/>
        <w:autoSpaceDN w:val="0"/>
        <w:spacing w:after="0" w:line="240" w:lineRule="auto"/>
        <w:ind w:left="426"/>
        <w:jc w:val="both"/>
        <w:textAlignment w:val="baseline"/>
        <w:rPr>
          <w:rFonts w:ascii="Museo Sans 300" w:hAnsi="Museo Sans 300" w:cs="Arial"/>
        </w:rPr>
      </w:pPr>
    </w:p>
    <w:p w14:paraId="3E5E0766" w14:textId="77777777" w:rsidR="00993AEE" w:rsidRPr="00993AEE" w:rsidRDefault="00993AEE" w:rsidP="00993AEE">
      <w:pPr>
        <w:tabs>
          <w:tab w:val="left" w:pos="426"/>
        </w:tabs>
        <w:suppressAutoHyphens/>
        <w:autoSpaceDN w:val="0"/>
        <w:spacing w:after="0" w:line="240" w:lineRule="auto"/>
        <w:ind w:left="426"/>
        <w:jc w:val="both"/>
        <w:textAlignment w:val="baseline"/>
        <w:rPr>
          <w:rFonts w:ascii="Museo Sans 300" w:hAnsi="Museo Sans 300" w:cs="Arial"/>
          <w:sz w:val="20"/>
          <w:szCs w:val="20"/>
        </w:rPr>
      </w:pPr>
      <w:r w:rsidRPr="00993AEE">
        <w:rPr>
          <w:rFonts w:ascii="Museo Sans 300" w:hAnsi="Museo Sans 300" w:cs="Arial"/>
          <w:sz w:val="20"/>
          <w:szCs w:val="20"/>
        </w:rPr>
        <w:t xml:space="preserve">Asimismo, se indica que el acuerdo N.° E-0598-2021-CAU (referido por la distribuidora en su escrito de interposición del recurso de reconsideración), no posee ninguna relación con el presente reclamo, por </w:t>
      </w:r>
      <w:r w:rsidRPr="00993AEE">
        <w:rPr>
          <w:rFonts w:ascii="Museo Sans 300" w:hAnsi="Museo Sans 300" w:cs="Arial"/>
          <w:sz w:val="20"/>
          <w:szCs w:val="20"/>
        </w:rPr>
        <w:lastRenderedPageBreak/>
        <w:t>lo cual no es pertinente realizar valoraciones sobre aspectos técnicos y legales que corresponden al diligenciamiento de casos distintos a este diferendo.</w:t>
      </w:r>
    </w:p>
    <w:p w14:paraId="393AA89A" w14:textId="77777777" w:rsidR="00200016" w:rsidRDefault="00200016" w:rsidP="00F76799">
      <w:pPr>
        <w:tabs>
          <w:tab w:val="left" w:pos="426"/>
        </w:tabs>
        <w:suppressAutoHyphens/>
        <w:autoSpaceDN w:val="0"/>
        <w:spacing w:after="0" w:line="240" w:lineRule="auto"/>
        <w:ind w:left="426"/>
        <w:jc w:val="both"/>
        <w:textAlignment w:val="baseline"/>
        <w:rPr>
          <w:rFonts w:ascii="Museo Sans 300" w:hAnsi="Museo Sans 300" w:cs="Arial"/>
        </w:rPr>
      </w:pPr>
    </w:p>
    <w:p w14:paraId="6330DE08" w14:textId="731D6656" w:rsidR="00200016" w:rsidRPr="00A36A42" w:rsidRDefault="00200016" w:rsidP="00F76799">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A36A42">
        <w:rPr>
          <w:rFonts w:ascii="Museo Sans 300" w:hAnsi="Museo Sans 300" w:cs="Arial"/>
          <w:sz w:val="20"/>
          <w:szCs w:val="20"/>
        </w:rPr>
        <w:t xml:space="preserve">Por lo tanto, debe declararse sin lugar </w:t>
      </w:r>
      <w:r w:rsidR="009B3BDE" w:rsidRPr="00A36A42">
        <w:rPr>
          <w:rFonts w:ascii="Museo Sans 300" w:hAnsi="Museo Sans 300" w:cs="Arial"/>
          <w:sz w:val="20"/>
          <w:szCs w:val="20"/>
        </w:rPr>
        <w:t>dicho argumento.</w:t>
      </w:r>
    </w:p>
    <w:p w14:paraId="3E62017A" w14:textId="1F3F49A5" w:rsidR="00F76799" w:rsidRDefault="00F76799"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0F106CAD"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8A778B">
        <w:rPr>
          <w:rFonts w:ascii="Museo Sans 300" w:hAnsi="Museo Sans 300"/>
          <w:sz w:val="20"/>
          <w:szCs w:val="20"/>
          <w:lang w:val="es-ES"/>
        </w:rPr>
        <w:t>XXX</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adoptar </w:t>
      </w:r>
      <w:r w:rsidR="00BD0D0A">
        <w:rPr>
          <w:rFonts w:ascii="Museo Sans 300" w:eastAsia="Times New Roman" w:hAnsi="Museo Sans 300"/>
          <w:sz w:val="20"/>
          <w:szCs w:val="20"/>
          <w:lang w:eastAsia="es-ES"/>
        </w:rPr>
        <w:t>el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FF5DF4">
        <w:rPr>
          <w:rFonts w:ascii="Museo Sans 300" w:eastAsia="Arial" w:hAnsi="Museo Sans 300" w:cs="Arial"/>
          <w:sz w:val="20"/>
          <w:szCs w:val="20"/>
          <w:lang w:eastAsia="es-SV"/>
        </w:rPr>
        <w:t>E-</w:t>
      </w:r>
      <w:r w:rsidR="000B175D">
        <w:rPr>
          <w:rFonts w:ascii="Museo Sans 300" w:eastAsia="Arial" w:hAnsi="Museo Sans 300" w:cs="Arial"/>
          <w:sz w:val="20"/>
          <w:szCs w:val="20"/>
          <w:lang w:eastAsia="es-SV"/>
        </w:rPr>
        <w:t>0657</w:t>
      </w:r>
      <w:r w:rsidR="00EF456E">
        <w:rPr>
          <w:rFonts w:ascii="Museo Sans 300" w:eastAsia="Arial" w:hAnsi="Museo Sans 300" w:cs="Arial"/>
          <w:sz w:val="20"/>
          <w:szCs w:val="20"/>
          <w:lang w:eastAsia="es-SV"/>
        </w:rPr>
        <w:t>-2022-CAU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993AEE">
        <w:rPr>
          <w:rFonts w:ascii="Museo Sans 300" w:eastAsia="Times New Roman" w:hAnsi="Museo Sans 300"/>
          <w:sz w:val="20"/>
          <w:szCs w:val="20"/>
          <w:lang w:eastAsia="es-ES"/>
        </w:rPr>
        <w:t xml:space="preserve"> la</w:t>
      </w:r>
      <w:r w:rsidRPr="64430D86">
        <w:rPr>
          <w:rFonts w:ascii="Museo Sans 300" w:eastAsia="Times New Roman" w:hAnsi="Museo Sans 300"/>
          <w:sz w:val="20"/>
          <w:szCs w:val="20"/>
          <w:lang w:eastAsia="es-ES"/>
        </w:rPr>
        <w:t xml:space="preserve"> señor</w:t>
      </w:r>
      <w:r w:rsidR="00993AEE">
        <w:rPr>
          <w:rFonts w:ascii="Museo Sans 300" w:eastAsia="Times New Roman" w:hAnsi="Museo Sans 300"/>
          <w:sz w:val="20"/>
          <w:szCs w:val="20"/>
          <w:lang w:eastAsia="es-ES"/>
        </w:rPr>
        <w:t>a</w:t>
      </w:r>
      <w:r w:rsidR="00FD4A2B">
        <w:rPr>
          <w:rFonts w:ascii="Museo Sans 300" w:eastAsia="Times New Roman" w:hAnsi="Museo Sans 300"/>
          <w:sz w:val="20"/>
          <w:szCs w:val="20"/>
          <w:lang w:eastAsia="es-ES"/>
        </w:rPr>
        <w:t xml:space="preserve"> </w:t>
      </w:r>
      <w:r w:rsidR="008A778B">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7427D3">
        <w:rPr>
          <w:rFonts w:ascii="Museo Sans 300" w:eastAsia="Times New Roman" w:hAnsi="Museo Sans 300"/>
          <w:sz w:val="20"/>
          <w:szCs w:val="20"/>
          <w:lang w:eastAsia="es-ES"/>
        </w:rPr>
        <w:t>OCHENTA Y CINCO</w:t>
      </w:r>
      <w:r w:rsidR="00813ADB" w:rsidRPr="00813ADB">
        <w:rPr>
          <w:rFonts w:ascii="Museo Sans 300" w:eastAsia="Times New Roman" w:hAnsi="Museo Sans 300"/>
          <w:sz w:val="20"/>
          <w:szCs w:val="20"/>
          <w:lang w:eastAsia="es-ES"/>
        </w:rPr>
        <w:t xml:space="preserve"> </w:t>
      </w:r>
      <w:r w:rsidR="007427D3">
        <w:rPr>
          <w:rFonts w:ascii="Museo Sans 300" w:eastAsia="Times New Roman" w:hAnsi="Museo Sans 300"/>
          <w:sz w:val="20"/>
          <w:szCs w:val="20"/>
          <w:lang w:eastAsia="es-ES"/>
        </w:rPr>
        <w:t>31</w:t>
      </w:r>
      <w:r w:rsidR="00813ADB" w:rsidRPr="00813ADB">
        <w:rPr>
          <w:rFonts w:ascii="Museo Sans 300" w:eastAsia="Times New Roman" w:hAnsi="Museo Sans 300"/>
          <w:sz w:val="20"/>
          <w:szCs w:val="20"/>
          <w:lang w:eastAsia="es-ES"/>
        </w:rPr>
        <w:t xml:space="preserve">/100 DÓLARES DE LOS ESTADOS UNIDOS DE AMÉRICA (USD </w:t>
      </w:r>
      <w:r w:rsidR="00993AEE">
        <w:rPr>
          <w:rFonts w:ascii="Museo Sans 300" w:eastAsia="Times New Roman" w:hAnsi="Museo Sans 300"/>
          <w:sz w:val="20"/>
          <w:szCs w:val="20"/>
          <w:lang w:eastAsia="es-ES"/>
        </w:rPr>
        <w:t>85.31</w:t>
      </w:r>
      <w:r w:rsidR="00813ADB" w:rsidRPr="00813ADB">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4FD9D81F"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 el acuerdo</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N.°</w:t>
      </w:r>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0B175D">
        <w:rPr>
          <w:rFonts w:ascii="Museo Sans 300" w:eastAsia="Times New Roman" w:hAnsi="Museo Sans 300"/>
          <w:sz w:val="20"/>
          <w:szCs w:val="20"/>
          <w:lang w:val="es-ES" w:eastAsia="es-ES"/>
        </w:rPr>
        <w:t>0657</w:t>
      </w:r>
      <w:r w:rsidR="00EF456E">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993AEE">
        <w:rPr>
          <w:rFonts w:ascii="Museo Sans 300" w:eastAsia="Arial" w:hAnsi="Museo Sans 300"/>
          <w:sz w:val="20"/>
          <w:szCs w:val="20"/>
          <w:lang w:val="es-ES_tradnl" w:eastAsia="es-ES"/>
        </w:rPr>
        <w:t>uno</w:t>
      </w:r>
      <w:r>
        <w:rPr>
          <w:rFonts w:ascii="Museo Sans 300" w:eastAsia="Arial" w:hAnsi="Museo Sans 300"/>
          <w:sz w:val="20"/>
          <w:szCs w:val="20"/>
          <w:lang w:val="es-ES_tradnl" w:eastAsia="es-ES"/>
        </w:rPr>
        <w:t xml:space="preserve"> de </w:t>
      </w:r>
      <w:r w:rsidR="00CD4601">
        <w:rPr>
          <w:rFonts w:ascii="Museo Sans 300" w:eastAsia="Arial" w:hAnsi="Museo Sans 300"/>
          <w:sz w:val="20"/>
          <w:szCs w:val="20"/>
          <w:lang w:val="es-ES_tradnl" w:eastAsia="es-ES"/>
        </w:rPr>
        <w:t>abril</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3D62383A"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CD4601">
        <w:rPr>
          <w:rFonts w:ascii="Museo Sans 300" w:eastAsia="Times New Roman" w:hAnsi="Museo Sans 300"/>
          <w:color w:val="000000"/>
          <w:sz w:val="20"/>
          <w:szCs w:val="20"/>
          <w:lang w:val="es-ES" w:eastAsia="es-ES"/>
        </w:rPr>
        <w:t xml:space="preserve"> la</w:t>
      </w:r>
      <w:r w:rsidR="00A41AFD">
        <w:rPr>
          <w:rFonts w:ascii="Museo Sans 300" w:eastAsia="Times New Roman" w:hAnsi="Museo Sans 300"/>
          <w:color w:val="000000"/>
          <w:sz w:val="20"/>
          <w:szCs w:val="20"/>
          <w:lang w:val="es-ES" w:eastAsia="es-ES"/>
        </w:rPr>
        <w:t xml:space="preserve"> señor</w:t>
      </w:r>
      <w:r w:rsidR="00CD4601">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008A778B">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8A778B">
        <w:rPr>
          <w:rFonts w:ascii="Museo Sans 300" w:hAnsi="Museo Sans 300"/>
          <w:sz w:val="20"/>
          <w:szCs w:val="20"/>
          <w:lang w:val="es-ES_tradnl"/>
        </w:rPr>
        <w:t>XXX</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76B8" w14:textId="77777777" w:rsidR="00F13557" w:rsidRDefault="00F13557">
      <w:pPr>
        <w:spacing w:after="0" w:line="240" w:lineRule="auto"/>
      </w:pPr>
      <w:r>
        <w:separator/>
      </w:r>
    </w:p>
  </w:endnote>
  <w:endnote w:type="continuationSeparator" w:id="0">
    <w:p w14:paraId="2008DED2" w14:textId="77777777" w:rsidR="00F13557" w:rsidRDefault="00F13557">
      <w:pPr>
        <w:spacing w:after="0" w:line="240" w:lineRule="auto"/>
      </w:pPr>
      <w:r>
        <w:continuationSeparator/>
      </w:r>
    </w:p>
  </w:endnote>
  <w:endnote w:type="continuationNotice" w:id="1">
    <w:p w14:paraId="5FE3E1CF" w14:textId="77777777" w:rsidR="00F13557" w:rsidRDefault="00F13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2317EF36" w:rsidR="006E60E7" w:rsidRDefault="00903842"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as</w:t>
    </w:r>
    <w:r w:rsidR="006E60E7">
      <w:rPr>
        <w:rFonts w:ascii="Bembo Std" w:hAnsi="Bembo Std"/>
        <w:b/>
        <w:color w:val="000000"/>
        <w:sz w:val="14"/>
        <w:szCs w:val="14"/>
      </w:rPr>
      <w:t>/</w:t>
    </w:r>
    <w:r w:rsidR="004D781E">
      <w:rPr>
        <w:rFonts w:ascii="Bembo Std" w:hAnsi="Bembo Std"/>
        <w:b/>
        <w:color w:val="000000"/>
        <w:sz w:val="14"/>
        <w:szCs w:val="14"/>
      </w:rPr>
      <w:t>FV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711381F5" w:rsidR="006E60E7" w:rsidRPr="00CD76EC" w:rsidRDefault="00903842"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as</w:t>
    </w:r>
    <w:r w:rsidR="006E60E7" w:rsidRPr="00CD76EC">
      <w:rPr>
        <w:rFonts w:ascii="Bembo Std" w:hAnsi="Bembo Std"/>
        <w:b/>
        <w:color w:val="000000"/>
        <w:sz w:val="14"/>
        <w:szCs w:val="14"/>
        <w:lang w:val="en-US"/>
      </w:rPr>
      <w:t>/</w:t>
    </w:r>
    <w:r w:rsidR="004D781E">
      <w:rPr>
        <w:rFonts w:ascii="Bembo Std" w:hAnsi="Bembo Std"/>
        <w:b/>
        <w:color w:val="000000"/>
        <w:sz w:val="14"/>
        <w:szCs w:val="14"/>
        <w:lang w:val="en-US"/>
      </w:rPr>
      <w:t>FV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A4F18" w14:textId="77777777" w:rsidR="00F13557" w:rsidRDefault="00F13557">
      <w:pPr>
        <w:spacing w:after="0" w:line="240" w:lineRule="auto"/>
      </w:pPr>
      <w:r>
        <w:separator/>
      </w:r>
    </w:p>
  </w:footnote>
  <w:footnote w:type="continuationSeparator" w:id="0">
    <w:p w14:paraId="3AA7C439" w14:textId="77777777" w:rsidR="00F13557" w:rsidRDefault="00F13557">
      <w:pPr>
        <w:spacing w:after="0" w:line="240" w:lineRule="auto"/>
      </w:pPr>
      <w:r>
        <w:continuationSeparator/>
      </w:r>
    </w:p>
  </w:footnote>
  <w:footnote w:type="continuationNotice" w:id="1">
    <w:p w14:paraId="434EAE7D" w14:textId="77777777" w:rsidR="00F13557" w:rsidRDefault="00F13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2"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6"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7"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8"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9"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12"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8"/>
  </w:num>
  <w:num w:numId="2" w16cid:durableId="2041738377">
    <w:abstractNumId w:val="12"/>
  </w:num>
  <w:num w:numId="3" w16cid:durableId="575092382">
    <w:abstractNumId w:val="13"/>
  </w:num>
  <w:num w:numId="4" w16cid:durableId="1211377342">
    <w:abstractNumId w:val="2"/>
  </w:num>
  <w:num w:numId="5" w16cid:durableId="1080327858">
    <w:abstractNumId w:val="10"/>
  </w:num>
  <w:num w:numId="6" w16cid:durableId="1228228863">
    <w:abstractNumId w:val="0"/>
  </w:num>
  <w:num w:numId="7" w16cid:durableId="220875163">
    <w:abstractNumId w:val="5"/>
  </w:num>
  <w:num w:numId="8" w16cid:durableId="1334531101">
    <w:abstractNumId w:val="11"/>
  </w:num>
  <w:num w:numId="9" w16cid:durableId="1516731007">
    <w:abstractNumId w:val="1"/>
  </w:num>
  <w:num w:numId="10" w16cid:durableId="2031294769">
    <w:abstractNumId w:val="3"/>
  </w:num>
  <w:num w:numId="11" w16cid:durableId="317460406">
    <w:abstractNumId w:val="6"/>
  </w:num>
  <w:num w:numId="12" w16cid:durableId="2083481331">
    <w:abstractNumId w:val="7"/>
  </w:num>
  <w:num w:numId="13" w16cid:durableId="564797339">
    <w:abstractNumId w:val="4"/>
  </w:num>
  <w:num w:numId="14" w16cid:durableId="47692068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0996"/>
    <w:rsid w:val="0001630E"/>
    <w:rsid w:val="00016619"/>
    <w:rsid w:val="00017803"/>
    <w:rsid w:val="00017944"/>
    <w:rsid w:val="000201E8"/>
    <w:rsid w:val="000206F7"/>
    <w:rsid w:val="0002111A"/>
    <w:rsid w:val="0002263E"/>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6AE4"/>
    <w:rsid w:val="00066ACA"/>
    <w:rsid w:val="0007062A"/>
    <w:rsid w:val="00070639"/>
    <w:rsid w:val="00070647"/>
    <w:rsid w:val="00070760"/>
    <w:rsid w:val="0007424E"/>
    <w:rsid w:val="0007523E"/>
    <w:rsid w:val="00076FFB"/>
    <w:rsid w:val="00081CEC"/>
    <w:rsid w:val="000840EC"/>
    <w:rsid w:val="0008733E"/>
    <w:rsid w:val="00090692"/>
    <w:rsid w:val="00091082"/>
    <w:rsid w:val="0009231A"/>
    <w:rsid w:val="000925AD"/>
    <w:rsid w:val="000945EB"/>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4E0B"/>
    <w:rsid w:val="000E6C7D"/>
    <w:rsid w:val="000F0EDE"/>
    <w:rsid w:val="000F1AC3"/>
    <w:rsid w:val="000F1D50"/>
    <w:rsid w:val="000F5CCF"/>
    <w:rsid w:val="000F669C"/>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5097"/>
    <w:rsid w:val="00136FEF"/>
    <w:rsid w:val="0013705C"/>
    <w:rsid w:val="0013721A"/>
    <w:rsid w:val="00137DCB"/>
    <w:rsid w:val="00140A5A"/>
    <w:rsid w:val="00151EED"/>
    <w:rsid w:val="00154D8F"/>
    <w:rsid w:val="00157251"/>
    <w:rsid w:val="00157D0D"/>
    <w:rsid w:val="00157F53"/>
    <w:rsid w:val="00162380"/>
    <w:rsid w:val="00162BD5"/>
    <w:rsid w:val="00164F81"/>
    <w:rsid w:val="00166220"/>
    <w:rsid w:val="00166A79"/>
    <w:rsid w:val="00166B73"/>
    <w:rsid w:val="00170460"/>
    <w:rsid w:val="00171B34"/>
    <w:rsid w:val="00172E69"/>
    <w:rsid w:val="00173715"/>
    <w:rsid w:val="0017536A"/>
    <w:rsid w:val="001754C2"/>
    <w:rsid w:val="00181D46"/>
    <w:rsid w:val="00183B13"/>
    <w:rsid w:val="00186FC2"/>
    <w:rsid w:val="0018721D"/>
    <w:rsid w:val="00190245"/>
    <w:rsid w:val="001904B5"/>
    <w:rsid w:val="00191380"/>
    <w:rsid w:val="00196369"/>
    <w:rsid w:val="001965C7"/>
    <w:rsid w:val="001966F7"/>
    <w:rsid w:val="001973F9"/>
    <w:rsid w:val="001A0A97"/>
    <w:rsid w:val="001A0F5E"/>
    <w:rsid w:val="001A14AA"/>
    <w:rsid w:val="001A252C"/>
    <w:rsid w:val="001A6F2F"/>
    <w:rsid w:val="001B0514"/>
    <w:rsid w:val="001B0B8A"/>
    <w:rsid w:val="001B3144"/>
    <w:rsid w:val="001B443E"/>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648B"/>
    <w:rsid w:val="00200016"/>
    <w:rsid w:val="00200AF4"/>
    <w:rsid w:val="00201B80"/>
    <w:rsid w:val="0020264C"/>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30E44"/>
    <w:rsid w:val="00230F10"/>
    <w:rsid w:val="00230F42"/>
    <w:rsid w:val="00231F03"/>
    <w:rsid w:val="00231F7E"/>
    <w:rsid w:val="00234AD9"/>
    <w:rsid w:val="00240E4A"/>
    <w:rsid w:val="0024148C"/>
    <w:rsid w:val="00242D84"/>
    <w:rsid w:val="00244CCD"/>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492B"/>
    <w:rsid w:val="00294C3B"/>
    <w:rsid w:val="002A0B3F"/>
    <w:rsid w:val="002A4285"/>
    <w:rsid w:val="002A44DE"/>
    <w:rsid w:val="002B0092"/>
    <w:rsid w:val="002B0394"/>
    <w:rsid w:val="002B1E66"/>
    <w:rsid w:val="002B2B9A"/>
    <w:rsid w:val="002B45D6"/>
    <w:rsid w:val="002B46A0"/>
    <w:rsid w:val="002B55BA"/>
    <w:rsid w:val="002B5663"/>
    <w:rsid w:val="002B59D8"/>
    <w:rsid w:val="002B727C"/>
    <w:rsid w:val="002B7412"/>
    <w:rsid w:val="002B7954"/>
    <w:rsid w:val="002C0C83"/>
    <w:rsid w:val="002C0FCC"/>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C01"/>
    <w:rsid w:val="002F09DC"/>
    <w:rsid w:val="002F17FE"/>
    <w:rsid w:val="002F47D6"/>
    <w:rsid w:val="002F5EAC"/>
    <w:rsid w:val="002F6480"/>
    <w:rsid w:val="002F7EA0"/>
    <w:rsid w:val="003009B1"/>
    <w:rsid w:val="003040AF"/>
    <w:rsid w:val="003040E0"/>
    <w:rsid w:val="00304ECC"/>
    <w:rsid w:val="00305A7F"/>
    <w:rsid w:val="00310B26"/>
    <w:rsid w:val="00310BD4"/>
    <w:rsid w:val="003117C1"/>
    <w:rsid w:val="00315CD4"/>
    <w:rsid w:val="00317236"/>
    <w:rsid w:val="003172BA"/>
    <w:rsid w:val="003176E5"/>
    <w:rsid w:val="00320076"/>
    <w:rsid w:val="00321C69"/>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40CC1"/>
    <w:rsid w:val="00341567"/>
    <w:rsid w:val="00343056"/>
    <w:rsid w:val="003434E4"/>
    <w:rsid w:val="00343BCE"/>
    <w:rsid w:val="0034459A"/>
    <w:rsid w:val="00345D36"/>
    <w:rsid w:val="003479FE"/>
    <w:rsid w:val="00352E6D"/>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6EDA"/>
    <w:rsid w:val="00387065"/>
    <w:rsid w:val="00387457"/>
    <w:rsid w:val="0039055E"/>
    <w:rsid w:val="0039095D"/>
    <w:rsid w:val="0039174E"/>
    <w:rsid w:val="00392FC5"/>
    <w:rsid w:val="00397349"/>
    <w:rsid w:val="003A20F1"/>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E382A"/>
    <w:rsid w:val="003E3C8C"/>
    <w:rsid w:val="003E44B7"/>
    <w:rsid w:val="003E49B5"/>
    <w:rsid w:val="003F0833"/>
    <w:rsid w:val="003F1AA3"/>
    <w:rsid w:val="003F5380"/>
    <w:rsid w:val="003F58FC"/>
    <w:rsid w:val="003F6BD4"/>
    <w:rsid w:val="0040088D"/>
    <w:rsid w:val="00400AFE"/>
    <w:rsid w:val="00403A7E"/>
    <w:rsid w:val="00405BE8"/>
    <w:rsid w:val="00411B68"/>
    <w:rsid w:val="00414489"/>
    <w:rsid w:val="00416290"/>
    <w:rsid w:val="004205EB"/>
    <w:rsid w:val="00420A0E"/>
    <w:rsid w:val="004254B6"/>
    <w:rsid w:val="00430A40"/>
    <w:rsid w:val="00432B24"/>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2B02"/>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781E"/>
    <w:rsid w:val="004E186C"/>
    <w:rsid w:val="004E1D5A"/>
    <w:rsid w:val="004E30A4"/>
    <w:rsid w:val="004E358A"/>
    <w:rsid w:val="004E61E5"/>
    <w:rsid w:val="004E652F"/>
    <w:rsid w:val="004F0D94"/>
    <w:rsid w:val="004F1426"/>
    <w:rsid w:val="004F50DD"/>
    <w:rsid w:val="004F53B0"/>
    <w:rsid w:val="004F60BE"/>
    <w:rsid w:val="004F7E4D"/>
    <w:rsid w:val="00500B61"/>
    <w:rsid w:val="0050333A"/>
    <w:rsid w:val="00504557"/>
    <w:rsid w:val="0050798D"/>
    <w:rsid w:val="00515BB0"/>
    <w:rsid w:val="00515EFC"/>
    <w:rsid w:val="00516F6E"/>
    <w:rsid w:val="00524DEC"/>
    <w:rsid w:val="00526849"/>
    <w:rsid w:val="00531CDF"/>
    <w:rsid w:val="00531E07"/>
    <w:rsid w:val="0053239C"/>
    <w:rsid w:val="0053392F"/>
    <w:rsid w:val="00533B50"/>
    <w:rsid w:val="00534218"/>
    <w:rsid w:val="00534758"/>
    <w:rsid w:val="00535F0E"/>
    <w:rsid w:val="00537EA4"/>
    <w:rsid w:val="00542DE7"/>
    <w:rsid w:val="00543219"/>
    <w:rsid w:val="005451C4"/>
    <w:rsid w:val="00546D1F"/>
    <w:rsid w:val="00547629"/>
    <w:rsid w:val="00551D06"/>
    <w:rsid w:val="00551F62"/>
    <w:rsid w:val="0055579A"/>
    <w:rsid w:val="00555A17"/>
    <w:rsid w:val="00557AD2"/>
    <w:rsid w:val="005600C0"/>
    <w:rsid w:val="00560D31"/>
    <w:rsid w:val="0056158B"/>
    <w:rsid w:val="005621FD"/>
    <w:rsid w:val="00562263"/>
    <w:rsid w:val="00564119"/>
    <w:rsid w:val="005714F8"/>
    <w:rsid w:val="00573C87"/>
    <w:rsid w:val="005807EA"/>
    <w:rsid w:val="00582748"/>
    <w:rsid w:val="00582849"/>
    <w:rsid w:val="0058764D"/>
    <w:rsid w:val="005907D9"/>
    <w:rsid w:val="0059151E"/>
    <w:rsid w:val="00591995"/>
    <w:rsid w:val="0059235E"/>
    <w:rsid w:val="005949C7"/>
    <w:rsid w:val="0059516C"/>
    <w:rsid w:val="005955D8"/>
    <w:rsid w:val="005A1366"/>
    <w:rsid w:val="005A680A"/>
    <w:rsid w:val="005B1C20"/>
    <w:rsid w:val="005B1C37"/>
    <w:rsid w:val="005B750C"/>
    <w:rsid w:val="005C08F2"/>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EDE"/>
    <w:rsid w:val="005E4ABF"/>
    <w:rsid w:val="005E6FA7"/>
    <w:rsid w:val="005F1F70"/>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827B4"/>
    <w:rsid w:val="00683C3C"/>
    <w:rsid w:val="00685BD8"/>
    <w:rsid w:val="00686B10"/>
    <w:rsid w:val="00694180"/>
    <w:rsid w:val="00694A7B"/>
    <w:rsid w:val="00695E59"/>
    <w:rsid w:val="00695F80"/>
    <w:rsid w:val="006A04B7"/>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23C9"/>
    <w:rsid w:val="006E32E2"/>
    <w:rsid w:val="006E478E"/>
    <w:rsid w:val="006E5996"/>
    <w:rsid w:val="006E5A74"/>
    <w:rsid w:val="006E60E7"/>
    <w:rsid w:val="006F0A3B"/>
    <w:rsid w:val="006F113A"/>
    <w:rsid w:val="006F1B5B"/>
    <w:rsid w:val="006F25EA"/>
    <w:rsid w:val="006F3A7A"/>
    <w:rsid w:val="006F45FD"/>
    <w:rsid w:val="006F6075"/>
    <w:rsid w:val="006F7002"/>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427D3"/>
    <w:rsid w:val="00746198"/>
    <w:rsid w:val="00746526"/>
    <w:rsid w:val="00747D58"/>
    <w:rsid w:val="007501D1"/>
    <w:rsid w:val="00752AAF"/>
    <w:rsid w:val="00752DD4"/>
    <w:rsid w:val="00754799"/>
    <w:rsid w:val="00754EF2"/>
    <w:rsid w:val="0075550A"/>
    <w:rsid w:val="00755765"/>
    <w:rsid w:val="007571C4"/>
    <w:rsid w:val="00761208"/>
    <w:rsid w:val="0076309D"/>
    <w:rsid w:val="007648CE"/>
    <w:rsid w:val="00765DE0"/>
    <w:rsid w:val="0077062B"/>
    <w:rsid w:val="007712EB"/>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B04FF"/>
    <w:rsid w:val="007B1DA2"/>
    <w:rsid w:val="007B2204"/>
    <w:rsid w:val="007B2DA7"/>
    <w:rsid w:val="007B3BD5"/>
    <w:rsid w:val="007B3C42"/>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608C"/>
    <w:rsid w:val="007E7E02"/>
    <w:rsid w:val="007F0480"/>
    <w:rsid w:val="007F0A82"/>
    <w:rsid w:val="007F0EBC"/>
    <w:rsid w:val="007F0FAD"/>
    <w:rsid w:val="007F1B7C"/>
    <w:rsid w:val="007F3548"/>
    <w:rsid w:val="007F4648"/>
    <w:rsid w:val="007F4F47"/>
    <w:rsid w:val="007F76CA"/>
    <w:rsid w:val="008049F1"/>
    <w:rsid w:val="00804DA9"/>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4376"/>
    <w:rsid w:val="00855FEB"/>
    <w:rsid w:val="008560D7"/>
    <w:rsid w:val="00860475"/>
    <w:rsid w:val="00860905"/>
    <w:rsid w:val="00864A48"/>
    <w:rsid w:val="00866E2A"/>
    <w:rsid w:val="00867C4C"/>
    <w:rsid w:val="0087033E"/>
    <w:rsid w:val="0087146E"/>
    <w:rsid w:val="008731E7"/>
    <w:rsid w:val="00873512"/>
    <w:rsid w:val="00873CA5"/>
    <w:rsid w:val="00874C40"/>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A4D60"/>
    <w:rsid w:val="008A778B"/>
    <w:rsid w:val="008B0F11"/>
    <w:rsid w:val="008B2686"/>
    <w:rsid w:val="008B32F5"/>
    <w:rsid w:val="008B6834"/>
    <w:rsid w:val="008B6B04"/>
    <w:rsid w:val="008B6EA9"/>
    <w:rsid w:val="008C1AA8"/>
    <w:rsid w:val="008C33E8"/>
    <w:rsid w:val="008C3C0B"/>
    <w:rsid w:val="008C67D9"/>
    <w:rsid w:val="008D10FA"/>
    <w:rsid w:val="008D1C42"/>
    <w:rsid w:val="008D33AB"/>
    <w:rsid w:val="008D3B33"/>
    <w:rsid w:val="008E30B7"/>
    <w:rsid w:val="008E30B8"/>
    <w:rsid w:val="008E74A4"/>
    <w:rsid w:val="008F0CCE"/>
    <w:rsid w:val="008F0D46"/>
    <w:rsid w:val="008F255C"/>
    <w:rsid w:val="008F5240"/>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31D29"/>
    <w:rsid w:val="00936FA6"/>
    <w:rsid w:val="0093771C"/>
    <w:rsid w:val="009408D6"/>
    <w:rsid w:val="00940D92"/>
    <w:rsid w:val="00941631"/>
    <w:rsid w:val="00941A10"/>
    <w:rsid w:val="009426CE"/>
    <w:rsid w:val="00943E73"/>
    <w:rsid w:val="009470AC"/>
    <w:rsid w:val="00947FE6"/>
    <w:rsid w:val="009507D2"/>
    <w:rsid w:val="00953119"/>
    <w:rsid w:val="0095378E"/>
    <w:rsid w:val="00953B83"/>
    <w:rsid w:val="00956947"/>
    <w:rsid w:val="0096020D"/>
    <w:rsid w:val="00960FD0"/>
    <w:rsid w:val="0096255A"/>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1CF3"/>
    <w:rsid w:val="009A3891"/>
    <w:rsid w:val="009A3AFB"/>
    <w:rsid w:val="009A4212"/>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8BC"/>
    <w:rsid w:val="009E0E1E"/>
    <w:rsid w:val="009E1176"/>
    <w:rsid w:val="009E1968"/>
    <w:rsid w:val="009E21FF"/>
    <w:rsid w:val="009E23B2"/>
    <w:rsid w:val="009E7845"/>
    <w:rsid w:val="009F07E6"/>
    <w:rsid w:val="009F1BE9"/>
    <w:rsid w:val="009F1E8B"/>
    <w:rsid w:val="00A00160"/>
    <w:rsid w:val="00A0098D"/>
    <w:rsid w:val="00A012D1"/>
    <w:rsid w:val="00A028A9"/>
    <w:rsid w:val="00A0649C"/>
    <w:rsid w:val="00A10445"/>
    <w:rsid w:val="00A13716"/>
    <w:rsid w:val="00A2256D"/>
    <w:rsid w:val="00A25F25"/>
    <w:rsid w:val="00A3552A"/>
    <w:rsid w:val="00A36A42"/>
    <w:rsid w:val="00A403AE"/>
    <w:rsid w:val="00A41AFD"/>
    <w:rsid w:val="00A427C3"/>
    <w:rsid w:val="00A44205"/>
    <w:rsid w:val="00A4672C"/>
    <w:rsid w:val="00A46B55"/>
    <w:rsid w:val="00A46B6D"/>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33D6"/>
    <w:rsid w:val="00A83762"/>
    <w:rsid w:val="00A839F4"/>
    <w:rsid w:val="00A83BC1"/>
    <w:rsid w:val="00A8625C"/>
    <w:rsid w:val="00AA0EF8"/>
    <w:rsid w:val="00AA3146"/>
    <w:rsid w:val="00AA57B7"/>
    <w:rsid w:val="00AA60E1"/>
    <w:rsid w:val="00AA76BA"/>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EC3"/>
    <w:rsid w:val="00AE56CD"/>
    <w:rsid w:val="00AE709A"/>
    <w:rsid w:val="00AF0A51"/>
    <w:rsid w:val="00AF4C46"/>
    <w:rsid w:val="00AF5B2A"/>
    <w:rsid w:val="00AF72F5"/>
    <w:rsid w:val="00B01241"/>
    <w:rsid w:val="00B019FB"/>
    <w:rsid w:val="00B030E5"/>
    <w:rsid w:val="00B03984"/>
    <w:rsid w:val="00B046DE"/>
    <w:rsid w:val="00B05382"/>
    <w:rsid w:val="00B066B8"/>
    <w:rsid w:val="00B10026"/>
    <w:rsid w:val="00B10AA8"/>
    <w:rsid w:val="00B15664"/>
    <w:rsid w:val="00B16E42"/>
    <w:rsid w:val="00B172DD"/>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69AE"/>
    <w:rsid w:val="00B56BC3"/>
    <w:rsid w:val="00B57065"/>
    <w:rsid w:val="00B57467"/>
    <w:rsid w:val="00B575A9"/>
    <w:rsid w:val="00B60144"/>
    <w:rsid w:val="00B6276A"/>
    <w:rsid w:val="00B62A67"/>
    <w:rsid w:val="00B62F1A"/>
    <w:rsid w:val="00B63332"/>
    <w:rsid w:val="00B66D95"/>
    <w:rsid w:val="00B70748"/>
    <w:rsid w:val="00B734A0"/>
    <w:rsid w:val="00B7420F"/>
    <w:rsid w:val="00B76EC0"/>
    <w:rsid w:val="00B80E1B"/>
    <w:rsid w:val="00B80F0C"/>
    <w:rsid w:val="00B845EE"/>
    <w:rsid w:val="00B8647B"/>
    <w:rsid w:val="00B870A9"/>
    <w:rsid w:val="00B9064A"/>
    <w:rsid w:val="00B91DB9"/>
    <w:rsid w:val="00B92D3A"/>
    <w:rsid w:val="00B93498"/>
    <w:rsid w:val="00B946DD"/>
    <w:rsid w:val="00B965D1"/>
    <w:rsid w:val="00BA0770"/>
    <w:rsid w:val="00BA5729"/>
    <w:rsid w:val="00BB03C5"/>
    <w:rsid w:val="00BB04E3"/>
    <w:rsid w:val="00BB21C9"/>
    <w:rsid w:val="00BB21EC"/>
    <w:rsid w:val="00BB2E56"/>
    <w:rsid w:val="00BB3A49"/>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7BEF"/>
    <w:rsid w:val="00C01E61"/>
    <w:rsid w:val="00C0211B"/>
    <w:rsid w:val="00C0350D"/>
    <w:rsid w:val="00C03F55"/>
    <w:rsid w:val="00C13A67"/>
    <w:rsid w:val="00C14EA7"/>
    <w:rsid w:val="00C1604A"/>
    <w:rsid w:val="00C1786C"/>
    <w:rsid w:val="00C21726"/>
    <w:rsid w:val="00C246BE"/>
    <w:rsid w:val="00C25730"/>
    <w:rsid w:val="00C26489"/>
    <w:rsid w:val="00C307D3"/>
    <w:rsid w:val="00C30A87"/>
    <w:rsid w:val="00C3247E"/>
    <w:rsid w:val="00C32ED5"/>
    <w:rsid w:val="00C33D9B"/>
    <w:rsid w:val="00C35B77"/>
    <w:rsid w:val="00C36741"/>
    <w:rsid w:val="00C40A49"/>
    <w:rsid w:val="00C42646"/>
    <w:rsid w:val="00C46CC0"/>
    <w:rsid w:val="00C5416C"/>
    <w:rsid w:val="00C5423E"/>
    <w:rsid w:val="00C56828"/>
    <w:rsid w:val="00C57C53"/>
    <w:rsid w:val="00C61E4B"/>
    <w:rsid w:val="00C62B4F"/>
    <w:rsid w:val="00C64200"/>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378A"/>
    <w:rsid w:val="00C962CB"/>
    <w:rsid w:val="00CA5772"/>
    <w:rsid w:val="00CA7035"/>
    <w:rsid w:val="00CB0432"/>
    <w:rsid w:val="00CB1F23"/>
    <w:rsid w:val="00CB28BA"/>
    <w:rsid w:val="00CB3049"/>
    <w:rsid w:val="00CB3B20"/>
    <w:rsid w:val="00CB41E9"/>
    <w:rsid w:val="00CB593C"/>
    <w:rsid w:val="00CC0127"/>
    <w:rsid w:val="00CC0429"/>
    <w:rsid w:val="00CC120C"/>
    <w:rsid w:val="00CC1AAA"/>
    <w:rsid w:val="00CC1ED1"/>
    <w:rsid w:val="00CC433D"/>
    <w:rsid w:val="00CC6B4A"/>
    <w:rsid w:val="00CD4601"/>
    <w:rsid w:val="00CD6AEA"/>
    <w:rsid w:val="00CD76EC"/>
    <w:rsid w:val="00CE1481"/>
    <w:rsid w:val="00CE2549"/>
    <w:rsid w:val="00CE4DBD"/>
    <w:rsid w:val="00CE54BB"/>
    <w:rsid w:val="00CE5DF4"/>
    <w:rsid w:val="00CE5F07"/>
    <w:rsid w:val="00CE6B66"/>
    <w:rsid w:val="00CE7977"/>
    <w:rsid w:val="00CF08D9"/>
    <w:rsid w:val="00CF15B7"/>
    <w:rsid w:val="00CF3FC6"/>
    <w:rsid w:val="00CF645B"/>
    <w:rsid w:val="00D026E4"/>
    <w:rsid w:val="00D04374"/>
    <w:rsid w:val="00D06813"/>
    <w:rsid w:val="00D0777F"/>
    <w:rsid w:val="00D07C88"/>
    <w:rsid w:val="00D10FAA"/>
    <w:rsid w:val="00D11108"/>
    <w:rsid w:val="00D12D02"/>
    <w:rsid w:val="00D16D45"/>
    <w:rsid w:val="00D17654"/>
    <w:rsid w:val="00D17668"/>
    <w:rsid w:val="00D21F75"/>
    <w:rsid w:val="00D22197"/>
    <w:rsid w:val="00D22BAC"/>
    <w:rsid w:val="00D2583D"/>
    <w:rsid w:val="00D27AB0"/>
    <w:rsid w:val="00D27BBE"/>
    <w:rsid w:val="00D353F6"/>
    <w:rsid w:val="00D43691"/>
    <w:rsid w:val="00D46A3B"/>
    <w:rsid w:val="00D46B6D"/>
    <w:rsid w:val="00D47DF5"/>
    <w:rsid w:val="00D53A2E"/>
    <w:rsid w:val="00D56F93"/>
    <w:rsid w:val="00D5756E"/>
    <w:rsid w:val="00D57770"/>
    <w:rsid w:val="00D60660"/>
    <w:rsid w:val="00D65280"/>
    <w:rsid w:val="00D70496"/>
    <w:rsid w:val="00D717DC"/>
    <w:rsid w:val="00D71D25"/>
    <w:rsid w:val="00D74BFC"/>
    <w:rsid w:val="00D844DF"/>
    <w:rsid w:val="00D848C1"/>
    <w:rsid w:val="00D85931"/>
    <w:rsid w:val="00D8602A"/>
    <w:rsid w:val="00D91827"/>
    <w:rsid w:val="00D919CD"/>
    <w:rsid w:val="00D93C5F"/>
    <w:rsid w:val="00D950D5"/>
    <w:rsid w:val="00D96E94"/>
    <w:rsid w:val="00D97A04"/>
    <w:rsid w:val="00D97F4B"/>
    <w:rsid w:val="00DA15B5"/>
    <w:rsid w:val="00DA42F4"/>
    <w:rsid w:val="00DA5015"/>
    <w:rsid w:val="00DB00F2"/>
    <w:rsid w:val="00DB1286"/>
    <w:rsid w:val="00DB35C6"/>
    <w:rsid w:val="00DB5F13"/>
    <w:rsid w:val="00DB7588"/>
    <w:rsid w:val="00DC0C5E"/>
    <w:rsid w:val="00DC388B"/>
    <w:rsid w:val="00DC3CED"/>
    <w:rsid w:val="00DC557E"/>
    <w:rsid w:val="00DC6C45"/>
    <w:rsid w:val="00DD10CD"/>
    <w:rsid w:val="00DD205C"/>
    <w:rsid w:val="00DD304C"/>
    <w:rsid w:val="00DD43AF"/>
    <w:rsid w:val="00DD4C19"/>
    <w:rsid w:val="00DD6803"/>
    <w:rsid w:val="00DD6EB9"/>
    <w:rsid w:val="00DD7546"/>
    <w:rsid w:val="00DE102F"/>
    <w:rsid w:val="00DE22EE"/>
    <w:rsid w:val="00DE35AC"/>
    <w:rsid w:val="00DE3B18"/>
    <w:rsid w:val="00DE540D"/>
    <w:rsid w:val="00DE74C4"/>
    <w:rsid w:val="00DE7D29"/>
    <w:rsid w:val="00DE7EDE"/>
    <w:rsid w:val="00DF038F"/>
    <w:rsid w:val="00DF278E"/>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2374"/>
    <w:rsid w:val="00E235C2"/>
    <w:rsid w:val="00E24553"/>
    <w:rsid w:val="00E27067"/>
    <w:rsid w:val="00E272F3"/>
    <w:rsid w:val="00E274E2"/>
    <w:rsid w:val="00E307EA"/>
    <w:rsid w:val="00E30F40"/>
    <w:rsid w:val="00E3521D"/>
    <w:rsid w:val="00E36332"/>
    <w:rsid w:val="00E36DD5"/>
    <w:rsid w:val="00E4095C"/>
    <w:rsid w:val="00E42BF9"/>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92D"/>
    <w:rsid w:val="00E72E7A"/>
    <w:rsid w:val="00E739B8"/>
    <w:rsid w:val="00E75787"/>
    <w:rsid w:val="00E76974"/>
    <w:rsid w:val="00E76C3D"/>
    <w:rsid w:val="00E777E4"/>
    <w:rsid w:val="00E80444"/>
    <w:rsid w:val="00E80A7B"/>
    <w:rsid w:val="00E80DFD"/>
    <w:rsid w:val="00E81422"/>
    <w:rsid w:val="00E815AE"/>
    <w:rsid w:val="00E83240"/>
    <w:rsid w:val="00E83E3F"/>
    <w:rsid w:val="00E91602"/>
    <w:rsid w:val="00E91C34"/>
    <w:rsid w:val="00E94872"/>
    <w:rsid w:val="00E96BCE"/>
    <w:rsid w:val="00EA0137"/>
    <w:rsid w:val="00EA1A70"/>
    <w:rsid w:val="00EA2175"/>
    <w:rsid w:val="00EA5C11"/>
    <w:rsid w:val="00EA5E89"/>
    <w:rsid w:val="00EA7393"/>
    <w:rsid w:val="00EA760D"/>
    <w:rsid w:val="00EB1802"/>
    <w:rsid w:val="00EB5730"/>
    <w:rsid w:val="00EB66C7"/>
    <w:rsid w:val="00EB69BC"/>
    <w:rsid w:val="00EC22B0"/>
    <w:rsid w:val="00EC380B"/>
    <w:rsid w:val="00EC3949"/>
    <w:rsid w:val="00EC3D7C"/>
    <w:rsid w:val="00EC4683"/>
    <w:rsid w:val="00EC5B5C"/>
    <w:rsid w:val="00ED0355"/>
    <w:rsid w:val="00ED08A0"/>
    <w:rsid w:val="00ED1E3D"/>
    <w:rsid w:val="00EE0E94"/>
    <w:rsid w:val="00EE1C24"/>
    <w:rsid w:val="00EE202E"/>
    <w:rsid w:val="00EE4081"/>
    <w:rsid w:val="00EE79F9"/>
    <w:rsid w:val="00EF040C"/>
    <w:rsid w:val="00EF2A25"/>
    <w:rsid w:val="00EF2E0D"/>
    <w:rsid w:val="00EF456E"/>
    <w:rsid w:val="00EF4D02"/>
    <w:rsid w:val="00EF5700"/>
    <w:rsid w:val="00EF6B23"/>
    <w:rsid w:val="00EF746B"/>
    <w:rsid w:val="00F00618"/>
    <w:rsid w:val="00F00D14"/>
    <w:rsid w:val="00F01D87"/>
    <w:rsid w:val="00F03EA5"/>
    <w:rsid w:val="00F07898"/>
    <w:rsid w:val="00F12610"/>
    <w:rsid w:val="00F13557"/>
    <w:rsid w:val="00F135B1"/>
    <w:rsid w:val="00F147E9"/>
    <w:rsid w:val="00F14CA1"/>
    <w:rsid w:val="00F16F6F"/>
    <w:rsid w:val="00F17025"/>
    <w:rsid w:val="00F177B6"/>
    <w:rsid w:val="00F1885C"/>
    <w:rsid w:val="00F22070"/>
    <w:rsid w:val="00F24D22"/>
    <w:rsid w:val="00F24D8D"/>
    <w:rsid w:val="00F27C72"/>
    <w:rsid w:val="00F300AB"/>
    <w:rsid w:val="00F31A69"/>
    <w:rsid w:val="00F32BAD"/>
    <w:rsid w:val="00F353A2"/>
    <w:rsid w:val="00F379CA"/>
    <w:rsid w:val="00F40C7A"/>
    <w:rsid w:val="00F4239E"/>
    <w:rsid w:val="00F42F56"/>
    <w:rsid w:val="00F43EB9"/>
    <w:rsid w:val="00F455DD"/>
    <w:rsid w:val="00F4719B"/>
    <w:rsid w:val="00F50AA5"/>
    <w:rsid w:val="00F52374"/>
    <w:rsid w:val="00F6030B"/>
    <w:rsid w:val="00F60F70"/>
    <w:rsid w:val="00F6100F"/>
    <w:rsid w:val="00F610B1"/>
    <w:rsid w:val="00F6483D"/>
    <w:rsid w:val="00F66E6C"/>
    <w:rsid w:val="00F67397"/>
    <w:rsid w:val="00F67A78"/>
    <w:rsid w:val="00F70785"/>
    <w:rsid w:val="00F70FF0"/>
    <w:rsid w:val="00F73FB9"/>
    <w:rsid w:val="00F74877"/>
    <w:rsid w:val="00F76799"/>
    <w:rsid w:val="00F82FF1"/>
    <w:rsid w:val="00F838BA"/>
    <w:rsid w:val="00F83CB0"/>
    <w:rsid w:val="00F85FA0"/>
    <w:rsid w:val="00F86D28"/>
    <w:rsid w:val="00F94563"/>
    <w:rsid w:val="00F96E9D"/>
    <w:rsid w:val="00F97209"/>
    <w:rsid w:val="00F97EE5"/>
    <w:rsid w:val="00FA0A9C"/>
    <w:rsid w:val="00FA12AD"/>
    <w:rsid w:val="00FA20C4"/>
    <w:rsid w:val="00FA3C5F"/>
    <w:rsid w:val="00FA47A8"/>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23-6-22. Expediente electrónico 49266</Observaciones>
    <JefeNacional xmlns="93a27197-5ea5-4ef4-9c25-de38a9c385a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3.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4.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0F99D90E-C8C9-44EC-8078-9E9A4A7ED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90DC4A9-06A1-4689-91A8-E0805723F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12</Pages>
  <Words>7399</Words>
  <Characters>40697</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41</cp:revision>
  <cp:lastPrinted>2022-04-29T17:24:00Z</cp:lastPrinted>
  <dcterms:created xsi:type="dcterms:W3CDTF">2022-06-20T18:22:00Z</dcterms:created>
  <dcterms:modified xsi:type="dcterms:W3CDTF">2022-09-22T21:33:00Z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