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51B2" w14:textId="1E0BABC1" w:rsidR="00CE5132" w:rsidRDefault="00CE5132" w:rsidP="00094295">
      <w:pPr>
        <w:spacing w:line="240" w:lineRule="auto"/>
        <w:jc w:val="center"/>
        <w:rPr>
          <w:rFonts w:cstheme="minorHAnsi"/>
          <w:b/>
          <w:bCs/>
          <w:color w:val="1F3864" w:themeColor="accent1" w:themeShade="80"/>
          <w:sz w:val="28"/>
          <w:szCs w:val="28"/>
          <w:lang w:val="es-ES"/>
        </w:rPr>
      </w:pPr>
      <w:r w:rsidRPr="00C75878">
        <w:rPr>
          <w:rFonts w:cstheme="minorHAnsi"/>
          <w:b/>
          <w:bCs/>
          <w:color w:val="1F3864" w:themeColor="accent1" w:themeShade="80"/>
          <w:sz w:val="28"/>
          <w:szCs w:val="28"/>
          <w:lang w:val="es-ES"/>
        </w:rPr>
        <w:t>Requerimientos de información a SIGET</w:t>
      </w:r>
    </w:p>
    <w:p w14:paraId="40C8CF73" w14:textId="1CF8AF4A" w:rsidR="00094295" w:rsidRPr="00C75878" w:rsidRDefault="00094295" w:rsidP="00094295">
      <w:pPr>
        <w:spacing w:line="240" w:lineRule="auto"/>
        <w:jc w:val="center"/>
        <w:rPr>
          <w:rFonts w:cstheme="minorHAnsi"/>
          <w:b/>
          <w:bCs/>
          <w:color w:val="1F3864" w:themeColor="accent1" w:themeShade="80"/>
          <w:sz w:val="28"/>
          <w:szCs w:val="28"/>
          <w:lang w:val="es-ES"/>
        </w:rPr>
      </w:pPr>
      <w:r w:rsidRPr="00094295">
        <w:rPr>
          <w:rFonts w:cstheme="minorHAnsi"/>
          <w:b/>
          <w:bCs/>
          <w:color w:val="1F3864" w:themeColor="accent1" w:themeShade="80"/>
          <w:sz w:val="28"/>
          <w:szCs w:val="28"/>
          <w:lang w:val="es-ES"/>
        </w:rPr>
        <w:t>SIPV 116-2021</w:t>
      </w:r>
    </w:p>
    <w:p w14:paraId="04A55271" w14:textId="3C8764BB" w:rsidR="00C75878" w:rsidRPr="00C75878" w:rsidRDefault="00CE5132" w:rsidP="00C75878">
      <w:pPr>
        <w:rPr>
          <w:rFonts w:cstheme="minorHAnsi"/>
          <w:b/>
          <w:bCs/>
          <w:sz w:val="22"/>
          <w:szCs w:val="22"/>
          <w:lang w:val="es-ES"/>
        </w:rPr>
      </w:pPr>
      <w:r w:rsidRPr="00C75878">
        <w:rPr>
          <w:rFonts w:cstheme="minorHAnsi"/>
          <w:b/>
          <w:bCs/>
          <w:sz w:val="22"/>
          <w:szCs w:val="22"/>
          <w:lang w:val="es-ES"/>
        </w:rPr>
        <w:t xml:space="preserve">Requerimiento No. 1. </w:t>
      </w:r>
      <w:r w:rsidRPr="00CE5132">
        <w:rPr>
          <w:rFonts w:cstheme="minorHAnsi"/>
          <w:b/>
          <w:bCs/>
          <w:sz w:val="22"/>
          <w:szCs w:val="22"/>
          <w:lang w:val="es-ES"/>
        </w:rPr>
        <w:t>Calidad de la conexión. Velocidades promedio de descarga de banda ancha fija</w:t>
      </w:r>
      <w:r w:rsidRPr="00C75878">
        <w:rPr>
          <w:rFonts w:cstheme="minorHAnsi"/>
          <w:b/>
          <w:bCs/>
          <w:sz w:val="22"/>
          <w:szCs w:val="22"/>
          <w:lang w:val="es-ES"/>
        </w:rPr>
        <w:t xml:space="preserve"> </w:t>
      </w:r>
      <w:r w:rsidR="00C75878">
        <w:rPr>
          <w:rFonts w:cstheme="minorHAnsi"/>
          <w:b/>
          <w:bCs/>
          <w:sz w:val="22"/>
          <w:szCs w:val="22"/>
          <w:lang w:val="es-ES"/>
        </w:rPr>
        <w:t>en el año más reciente disponible</w:t>
      </w:r>
    </w:p>
    <w:p w14:paraId="36795126" w14:textId="555870A6" w:rsidR="00CE5132" w:rsidRPr="00CE5132" w:rsidRDefault="00CE5132" w:rsidP="00C75878">
      <w:pPr>
        <w:spacing w:line="240" w:lineRule="auto"/>
        <w:rPr>
          <w:rFonts w:cstheme="minorHAnsi"/>
          <w:i/>
          <w:iCs/>
          <w:sz w:val="21"/>
          <w:szCs w:val="21"/>
          <w:lang w:val="es-ES"/>
        </w:rPr>
      </w:pPr>
      <w:r w:rsidRPr="00C75878">
        <w:rPr>
          <w:rFonts w:cstheme="minorHAnsi"/>
          <w:i/>
          <w:iCs/>
          <w:sz w:val="21"/>
          <w:szCs w:val="21"/>
          <w:lang w:val="es-ES"/>
        </w:rPr>
        <w:t xml:space="preserve">Definición: </w:t>
      </w:r>
      <w:r w:rsidRPr="00CE5132">
        <w:rPr>
          <w:rFonts w:cstheme="minorHAnsi"/>
          <w:i/>
          <w:iCs/>
          <w:sz w:val="21"/>
          <w:szCs w:val="21"/>
          <w:lang w:val="es-ES"/>
        </w:rPr>
        <w:t>La velocidad corresponde al promedio de las velocidades registradas cada vez que un usuario realizó el test de velocidad en cada país durante un mes determinado.</w:t>
      </w:r>
    </w:p>
    <w:p w14:paraId="6421A8A1" w14:textId="79C299A8" w:rsidR="00B95124" w:rsidRDefault="00CE5132" w:rsidP="00CE5132">
      <w:pPr>
        <w:rPr>
          <w:rFonts w:cstheme="minorHAnsi"/>
          <w:sz w:val="22"/>
          <w:szCs w:val="22"/>
          <w:lang w:val="es-ES"/>
        </w:rPr>
      </w:pPr>
      <w:r w:rsidRPr="00C75878">
        <w:rPr>
          <w:rFonts w:cstheme="minorHAnsi"/>
          <w:sz w:val="22"/>
          <w:szCs w:val="22"/>
          <w:lang w:val="es-ES"/>
        </w:rPr>
        <w:t>Año de la información contenida en la tabla</w:t>
      </w:r>
      <w:r w:rsidR="00B95124">
        <w:rPr>
          <w:rFonts w:cstheme="minorHAnsi"/>
          <w:sz w:val="22"/>
          <w:szCs w:val="22"/>
          <w:lang w:val="es-ES"/>
        </w:rPr>
        <w:t>:</w:t>
      </w:r>
      <w:r w:rsidR="00B95124" w:rsidRPr="00B95124">
        <w:t xml:space="preserve"> </w:t>
      </w:r>
      <w:r w:rsidR="00B95124" w:rsidRPr="00B95124">
        <w:rPr>
          <w:rFonts w:cstheme="minorHAnsi"/>
          <w:b/>
          <w:bCs/>
          <w:sz w:val="22"/>
          <w:szCs w:val="22"/>
          <w:lang w:val="es-ES"/>
        </w:rPr>
        <w:t>Julio 2020 a Julio 2021 / Junio 2020 a Junio 2021 Global Index</w:t>
      </w:r>
      <w:r w:rsidR="00B95124">
        <w:rPr>
          <w:noProof/>
        </w:rPr>
        <w:drawing>
          <wp:inline distT="0" distB="0" distL="0" distR="0" wp14:anchorId="3245A39D" wp14:editId="7EE87D6F">
            <wp:extent cx="5459730" cy="1613579"/>
            <wp:effectExtent l="0" t="0" r="7620" b="571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2251" cy="161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7C40C" w14:textId="75EE3B1E" w:rsidR="00CE5132" w:rsidRPr="00CE5132" w:rsidRDefault="00CE5132" w:rsidP="00CE5132">
      <w:pPr>
        <w:rPr>
          <w:rFonts w:cstheme="minorHAnsi"/>
          <w:b/>
          <w:bCs/>
          <w:sz w:val="22"/>
          <w:szCs w:val="22"/>
          <w:lang w:val="es-ES"/>
        </w:rPr>
      </w:pPr>
      <w:r w:rsidRPr="00C75878">
        <w:rPr>
          <w:rFonts w:cstheme="minorHAnsi"/>
          <w:b/>
          <w:bCs/>
          <w:sz w:val="22"/>
          <w:szCs w:val="22"/>
          <w:lang w:val="es-ES"/>
        </w:rPr>
        <w:t xml:space="preserve">Requerimiento No. 2. </w:t>
      </w:r>
      <w:r w:rsidRPr="00CE5132">
        <w:rPr>
          <w:rFonts w:cstheme="minorHAnsi"/>
          <w:b/>
          <w:bCs/>
          <w:sz w:val="22"/>
          <w:szCs w:val="22"/>
          <w:lang w:val="es-ES"/>
        </w:rPr>
        <w:t xml:space="preserve">Calidad de la conexión. Velocidades promedio de descarga de banda ancha </w:t>
      </w:r>
      <w:r w:rsidRPr="00C75878">
        <w:rPr>
          <w:rFonts w:cstheme="minorHAnsi"/>
          <w:b/>
          <w:bCs/>
          <w:sz w:val="22"/>
          <w:szCs w:val="22"/>
          <w:lang w:val="es-ES"/>
        </w:rPr>
        <w:t xml:space="preserve">móvil </w:t>
      </w:r>
      <w:r w:rsidR="00C75878">
        <w:rPr>
          <w:rFonts w:cstheme="minorHAnsi"/>
          <w:b/>
          <w:bCs/>
          <w:sz w:val="22"/>
          <w:szCs w:val="22"/>
          <w:lang w:val="es-ES"/>
        </w:rPr>
        <w:t>en el año más reciente disponible</w:t>
      </w:r>
    </w:p>
    <w:p w14:paraId="61A8F027" w14:textId="0F9A2551" w:rsidR="00CE5132" w:rsidRPr="00CE5132" w:rsidRDefault="00CE5132" w:rsidP="00C75878">
      <w:pPr>
        <w:spacing w:line="240" w:lineRule="auto"/>
        <w:rPr>
          <w:rFonts w:cstheme="minorHAnsi"/>
          <w:i/>
          <w:iCs/>
          <w:sz w:val="21"/>
          <w:szCs w:val="21"/>
          <w:lang w:val="es-ES"/>
        </w:rPr>
      </w:pPr>
      <w:r w:rsidRPr="00C75878">
        <w:rPr>
          <w:rFonts w:cstheme="minorHAnsi"/>
          <w:i/>
          <w:iCs/>
          <w:sz w:val="21"/>
          <w:szCs w:val="21"/>
          <w:lang w:val="es-ES"/>
        </w:rPr>
        <w:t xml:space="preserve">Definición: </w:t>
      </w:r>
      <w:r w:rsidRPr="00CE5132">
        <w:rPr>
          <w:rFonts w:cstheme="minorHAnsi"/>
          <w:i/>
          <w:iCs/>
          <w:sz w:val="21"/>
          <w:szCs w:val="21"/>
          <w:lang w:val="es-ES"/>
        </w:rPr>
        <w:t>La velocidad corresponde al promedio de las velocidades registradas cada vez que un usuario realizó el test de velocidad en cada país durante un mes determinado.</w:t>
      </w:r>
    </w:p>
    <w:p w14:paraId="2E23B7E2" w14:textId="64ACFBE5" w:rsidR="00CE5132" w:rsidRDefault="00CE5132" w:rsidP="00CE5132">
      <w:pPr>
        <w:rPr>
          <w:rFonts w:cstheme="minorHAnsi"/>
          <w:b/>
          <w:bCs/>
          <w:sz w:val="22"/>
          <w:szCs w:val="22"/>
          <w:lang w:val="es-ES"/>
        </w:rPr>
      </w:pPr>
      <w:r w:rsidRPr="00C75878">
        <w:rPr>
          <w:rFonts w:cstheme="minorHAnsi"/>
          <w:sz w:val="22"/>
          <w:szCs w:val="22"/>
          <w:lang w:val="es-ES"/>
        </w:rPr>
        <w:t>Año de la información contenida en la tabla:</w:t>
      </w:r>
      <w:r w:rsidR="00B95124" w:rsidRPr="00B95124">
        <w:t xml:space="preserve"> </w:t>
      </w:r>
      <w:r w:rsidR="00B95124" w:rsidRPr="00B95124">
        <w:rPr>
          <w:rFonts w:cstheme="minorHAnsi"/>
          <w:b/>
          <w:bCs/>
          <w:sz w:val="22"/>
          <w:szCs w:val="22"/>
          <w:lang w:val="es-ES"/>
        </w:rPr>
        <w:t>Julio 2020 a Julio 2021 / Junio 2020 a Junio 2021 Global Index / BenchMarking Noviembre 2020</w:t>
      </w:r>
    </w:p>
    <w:p w14:paraId="16237794" w14:textId="77777777" w:rsidR="00B95124" w:rsidRDefault="00B95124" w:rsidP="00C75878">
      <w:pPr>
        <w:rPr>
          <w:rFonts w:cstheme="minorHAnsi"/>
          <w:b/>
          <w:bCs/>
          <w:sz w:val="22"/>
          <w:szCs w:val="22"/>
          <w:lang w:val="es-ES"/>
        </w:rPr>
      </w:pPr>
      <w:r>
        <w:rPr>
          <w:noProof/>
        </w:rPr>
        <w:drawing>
          <wp:inline distT="0" distB="0" distL="0" distR="0" wp14:anchorId="735DB206" wp14:editId="4E3A7C06">
            <wp:extent cx="5612130" cy="2379980"/>
            <wp:effectExtent l="0" t="0" r="7620" b="1270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A3225" w14:textId="77777777" w:rsidR="000D0130" w:rsidRDefault="000D0130" w:rsidP="00C75878">
      <w:pPr>
        <w:rPr>
          <w:rFonts w:cstheme="minorHAnsi"/>
          <w:b/>
          <w:bCs/>
          <w:sz w:val="22"/>
          <w:szCs w:val="22"/>
          <w:lang w:val="es-ES"/>
        </w:rPr>
      </w:pPr>
    </w:p>
    <w:p w14:paraId="7CA34D2A" w14:textId="76D27129" w:rsidR="00C75878" w:rsidRPr="00C75878" w:rsidRDefault="00CE5132" w:rsidP="00C75878">
      <w:pPr>
        <w:rPr>
          <w:rFonts w:cstheme="minorHAnsi"/>
          <w:b/>
          <w:bCs/>
          <w:sz w:val="22"/>
          <w:szCs w:val="22"/>
          <w:lang w:val="es-ES"/>
        </w:rPr>
      </w:pPr>
      <w:r w:rsidRPr="00C75878">
        <w:rPr>
          <w:rFonts w:cstheme="minorHAnsi"/>
          <w:b/>
          <w:bCs/>
          <w:sz w:val="22"/>
          <w:szCs w:val="22"/>
          <w:lang w:val="es-ES"/>
        </w:rPr>
        <w:lastRenderedPageBreak/>
        <w:t xml:space="preserve">Requerimiento No. 3: </w:t>
      </w:r>
      <w:r w:rsidR="00CD0FF2" w:rsidRPr="00C75878">
        <w:rPr>
          <w:rFonts w:cstheme="minorHAnsi"/>
          <w:b/>
          <w:bCs/>
          <w:sz w:val="22"/>
          <w:szCs w:val="22"/>
          <w:lang w:val="es-ES"/>
        </w:rPr>
        <w:t>Número</w:t>
      </w:r>
      <w:r w:rsidRPr="00CE5132">
        <w:rPr>
          <w:rFonts w:cstheme="minorHAnsi"/>
          <w:b/>
          <w:bCs/>
          <w:sz w:val="22"/>
          <w:szCs w:val="22"/>
          <w:lang w:val="es-ES"/>
        </w:rPr>
        <w:t xml:space="preserve"> de hogares con suscripciones a banda ancha fija</w:t>
      </w:r>
      <w:r w:rsidRPr="00C75878">
        <w:rPr>
          <w:rFonts w:cstheme="minorHAnsi"/>
          <w:b/>
          <w:bCs/>
          <w:sz w:val="22"/>
          <w:szCs w:val="22"/>
          <w:lang w:val="es-ES"/>
        </w:rPr>
        <w:t xml:space="preserve"> </w:t>
      </w:r>
      <w:r w:rsidR="00C75878">
        <w:rPr>
          <w:rFonts w:cstheme="minorHAnsi"/>
          <w:b/>
          <w:bCs/>
          <w:sz w:val="22"/>
          <w:szCs w:val="22"/>
          <w:lang w:val="es-ES"/>
        </w:rPr>
        <w:t>en el año más reciente disponible</w:t>
      </w:r>
    </w:p>
    <w:p w14:paraId="1683A1FB" w14:textId="1FD441D7" w:rsidR="00CE5132" w:rsidRPr="00CE5132" w:rsidRDefault="00CE5132" w:rsidP="00C75878">
      <w:pPr>
        <w:spacing w:line="240" w:lineRule="auto"/>
        <w:rPr>
          <w:rFonts w:cstheme="minorHAnsi"/>
          <w:i/>
          <w:iCs/>
          <w:sz w:val="21"/>
          <w:szCs w:val="21"/>
          <w:lang w:val="es-ES"/>
        </w:rPr>
      </w:pPr>
      <w:r w:rsidRPr="00C75878">
        <w:rPr>
          <w:rFonts w:cstheme="minorHAnsi"/>
          <w:i/>
          <w:iCs/>
          <w:sz w:val="21"/>
          <w:szCs w:val="21"/>
          <w:lang w:val="es-ES"/>
        </w:rPr>
        <w:t xml:space="preserve">Definición: </w:t>
      </w:r>
      <w:r w:rsidRPr="00CE5132">
        <w:rPr>
          <w:rFonts w:cstheme="minorHAnsi"/>
          <w:i/>
          <w:iCs/>
          <w:sz w:val="21"/>
          <w:szCs w:val="21"/>
          <w:lang w:val="es-ES"/>
        </w:rPr>
        <w:t>Las suscripciones a banda ancha fija se refieren a suscripciones Internet a velocidades de bajada iguales o superiores a 256 kbit/s. Incluye módem por cable, DSL, fibra óptica, otros abonos de banda ancha fija (alámbrica), banda ancha por satélite y banda ancha inalámbrica fija terrestre. La estadística indica la cantidad de hogares con suscripciones a banda ancha fija por cada 100 hogares.</w:t>
      </w:r>
    </w:p>
    <w:p w14:paraId="305717D1" w14:textId="2496A2EA" w:rsidR="00CE5132" w:rsidRDefault="00CE5132" w:rsidP="00CE5132">
      <w:pPr>
        <w:rPr>
          <w:rFonts w:cstheme="minorHAnsi"/>
          <w:sz w:val="22"/>
          <w:szCs w:val="22"/>
          <w:lang w:val="es-ES"/>
        </w:rPr>
      </w:pPr>
      <w:r w:rsidRPr="00C75878">
        <w:rPr>
          <w:rFonts w:cstheme="minorHAnsi"/>
          <w:sz w:val="22"/>
          <w:szCs w:val="22"/>
          <w:lang w:val="es-ES"/>
        </w:rPr>
        <w:t>Año de la información contenida en la tabla</w:t>
      </w:r>
      <w:r w:rsidR="00B95124">
        <w:rPr>
          <w:rFonts w:cstheme="minorHAnsi"/>
          <w:sz w:val="22"/>
          <w:szCs w:val="22"/>
          <w:lang w:val="es-ES"/>
        </w:rPr>
        <w:t>:</w:t>
      </w:r>
      <w:r w:rsidR="00B95124" w:rsidRPr="00B95124">
        <w:t xml:space="preserve"> </w:t>
      </w:r>
      <w:r w:rsidR="00B95124" w:rsidRPr="0079004D">
        <w:rPr>
          <w:rFonts w:cstheme="minorHAnsi"/>
          <w:b/>
          <w:bCs/>
          <w:sz w:val="22"/>
          <w:szCs w:val="22"/>
          <w:lang w:val="es-ES"/>
        </w:rPr>
        <w:t>IV Trimestre del 2020</w:t>
      </w:r>
    </w:p>
    <w:p w14:paraId="61A121EE" w14:textId="55F0BC82" w:rsidR="00CE5132" w:rsidRPr="00C75878" w:rsidRDefault="00B95124">
      <w:pPr>
        <w:rPr>
          <w:rFonts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0F7CA890" wp14:editId="0CC60C2A">
            <wp:extent cx="5412105" cy="2322098"/>
            <wp:effectExtent l="0" t="0" r="0" b="2540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5879" cy="232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54CC" w14:textId="3056A5C1" w:rsidR="00CD0FF2" w:rsidRPr="00C75878" w:rsidRDefault="00CD0FF2">
      <w:pPr>
        <w:rPr>
          <w:rFonts w:cstheme="minorHAnsi"/>
          <w:b/>
          <w:bCs/>
          <w:sz w:val="22"/>
          <w:szCs w:val="22"/>
          <w:lang w:val="es-ES"/>
        </w:rPr>
      </w:pPr>
      <w:r w:rsidRPr="00C75878">
        <w:rPr>
          <w:rFonts w:cstheme="minorHAnsi"/>
          <w:b/>
          <w:bCs/>
          <w:sz w:val="22"/>
          <w:szCs w:val="22"/>
          <w:lang w:val="es-ES"/>
        </w:rPr>
        <w:t xml:space="preserve">Requerimiento No. 4: </w:t>
      </w:r>
      <w:r w:rsidR="00C75878" w:rsidRPr="00C75878">
        <w:rPr>
          <w:rFonts w:cstheme="minorHAnsi"/>
          <w:b/>
          <w:bCs/>
          <w:sz w:val="22"/>
          <w:szCs w:val="22"/>
          <w:lang w:val="es-ES"/>
        </w:rPr>
        <w:t>Número</w:t>
      </w:r>
      <w:r w:rsidRPr="00CD0FF2">
        <w:rPr>
          <w:rFonts w:cstheme="minorHAnsi"/>
          <w:b/>
          <w:bCs/>
          <w:sz w:val="22"/>
          <w:szCs w:val="22"/>
          <w:lang w:val="es-ES"/>
        </w:rPr>
        <w:t xml:space="preserve"> </w:t>
      </w:r>
      <w:r w:rsidR="00C75878" w:rsidRPr="00C75878">
        <w:rPr>
          <w:rFonts w:cstheme="minorHAnsi"/>
          <w:b/>
          <w:bCs/>
          <w:sz w:val="22"/>
          <w:szCs w:val="22"/>
          <w:lang w:val="es-ES"/>
        </w:rPr>
        <w:t>de hogares</w:t>
      </w:r>
      <w:r w:rsidRPr="00CD0FF2">
        <w:rPr>
          <w:rFonts w:cstheme="minorHAnsi"/>
          <w:b/>
          <w:bCs/>
          <w:sz w:val="22"/>
          <w:szCs w:val="22"/>
          <w:lang w:val="es-ES"/>
        </w:rPr>
        <w:t xml:space="preserve"> con suscripción a banda ancha móvil</w:t>
      </w:r>
      <w:r w:rsidR="00C75878">
        <w:rPr>
          <w:rFonts w:cstheme="minorHAnsi"/>
          <w:b/>
          <w:bCs/>
          <w:sz w:val="22"/>
          <w:szCs w:val="22"/>
          <w:lang w:val="es-ES"/>
        </w:rPr>
        <w:t xml:space="preserve"> en el año más reciente disponible</w:t>
      </w:r>
    </w:p>
    <w:p w14:paraId="62CE31C2" w14:textId="77777777" w:rsidR="00CD0FF2" w:rsidRPr="000D0130" w:rsidRDefault="00CD0FF2" w:rsidP="00C75878">
      <w:pPr>
        <w:spacing w:line="240" w:lineRule="auto"/>
        <w:rPr>
          <w:rFonts w:cstheme="minorHAnsi"/>
          <w:i/>
          <w:iCs/>
          <w:sz w:val="20"/>
          <w:szCs w:val="20"/>
          <w:lang w:val="es-ES"/>
        </w:rPr>
      </w:pPr>
      <w:r w:rsidRPr="000D0130">
        <w:rPr>
          <w:rFonts w:cstheme="minorHAnsi"/>
          <w:i/>
          <w:iCs/>
          <w:sz w:val="20"/>
          <w:szCs w:val="20"/>
          <w:lang w:val="es-ES"/>
        </w:rPr>
        <w:t>Las suscripciones a banda ancha móvil se refieren a las suscripciones a telefonía móvil que ofrecen acceso a datos a una velocidad de 256 kbit/s o superior más las suscripciones a servicios de datos dedicados (a través de una red móvil) que se adquieren por separado de los servicios vocales. La estadística indica la cantidad de personas con suscripciones activas a banda ancha móvil por cada 100 personas de la población de cada país.</w:t>
      </w:r>
    </w:p>
    <w:p w14:paraId="11D52ADF" w14:textId="6E5068C6" w:rsidR="00C75878" w:rsidRPr="0079004D" w:rsidRDefault="00C75878" w:rsidP="00C75878">
      <w:pPr>
        <w:rPr>
          <w:rFonts w:cstheme="minorHAnsi"/>
          <w:b/>
          <w:bCs/>
          <w:sz w:val="22"/>
          <w:szCs w:val="22"/>
          <w:lang w:val="es-ES"/>
        </w:rPr>
      </w:pPr>
      <w:r w:rsidRPr="00C75878">
        <w:rPr>
          <w:rFonts w:cstheme="minorHAnsi"/>
          <w:sz w:val="22"/>
          <w:szCs w:val="22"/>
          <w:lang w:val="es-ES"/>
        </w:rPr>
        <w:t>Año de la información contenida en la tabla:_</w:t>
      </w:r>
      <w:r w:rsidR="0079004D" w:rsidRPr="0079004D">
        <w:rPr>
          <w:rFonts w:cstheme="minorHAnsi"/>
          <w:sz w:val="22"/>
          <w:szCs w:val="22"/>
          <w:lang w:val="es-ES"/>
        </w:rPr>
        <w:t xml:space="preserve"> </w:t>
      </w:r>
      <w:r w:rsidR="0079004D" w:rsidRPr="0079004D">
        <w:rPr>
          <w:rFonts w:cstheme="minorHAnsi"/>
          <w:b/>
          <w:bCs/>
          <w:sz w:val="22"/>
          <w:szCs w:val="22"/>
          <w:lang w:val="es-ES"/>
        </w:rPr>
        <w:t>IV Trimestre del 2020</w:t>
      </w:r>
    </w:p>
    <w:p w14:paraId="0CBE2394" w14:textId="30962036" w:rsidR="00C75878" w:rsidRDefault="0079004D" w:rsidP="0079004D">
      <w:pPr>
        <w:rPr>
          <w:rFonts w:cstheme="minorHAnsi"/>
          <w:sz w:val="22"/>
          <w:szCs w:val="22"/>
          <w:lang w:val="es-ES"/>
        </w:rPr>
      </w:pPr>
      <w:r>
        <w:rPr>
          <w:noProof/>
        </w:rPr>
        <w:drawing>
          <wp:inline distT="0" distB="0" distL="0" distR="0" wp14:anchorId="0E9476FA" wp14:editId="64D7BF32">
            <wp:extent cx="4510127" cy="2019300"/>
            <wp:effectExtent l="0" t="0" r="508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1763" cy="202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8996" w14:textId="58CBFD39" w:rsidR="000D0130" w:rsidRPr="000D0130" w:rsidRDefault="000D0130" w:rsidP="000D0130">
      <w:pPr>
        <w:rPr>
          <w:rFonts w:cstheme="minorHAnsi"/>
          <w:sz w:val="22"/>
          <w:szCs w:val="22"/>
          <w:lang w:val="es-ES"/>
        </w:rPr>
      </w:pPr>
      <w:r w:rsidRPr="000D0130">
        <w:rPr>
          <w:rFonts w:cstheme="minorHAnsi"/>
          <w:sz w:val="22"/>
          <w:szCs w:val="22"/>
          <w:lang w:val="es-ES"/>
        </w:rPr>
        <w:lastRenderedPageBreak/>
        <w:t xml:space="preserve">Metodología 1:  Las mediciones obtenidas para la descarga de banda </w:t>
      </w:r>
      <w:r w:rsidRPr="000D0130">
        <w:rPr>
          <w:rFonts w:cstheme="minorHAnsi"/>
          <w:sz w:val="22"/>
          <w:szCs w:val="22"/>
          <w:lang w:val="es-ES"/>
        </w:rPr>
        <w:t>ancha,</w:t>
      </w:r>
      <w:r w:rsidRPr="000D0130">
        <w:rPr>
          <w:rFonts w:cstheme="minorHAnsi"/>
          <w:sz w:val="22"/>
          <w:szCs w:val="22"/>
          <w:lang w:val="es-ES"/>
        </w:rPr>
        <w:t xml:space="preserve"> fueron realizadas atreves de una aplicación descargada e </w:t>
      </w:r>
      <w:r w:rsidRPr="000D0130">
        <w:rPr>
          <w:rFonts w:cstheme="minorHAnsi"/>
          <w:sz w:val="22"/>
          <w:szCs w:val="22"/>
          <w:lang w:val="es-ES"/>
        </w:rPr>
        <w:t>instalada por</w:t>
      </w:r>
      <w:r w:rsidRPr="000D0130">
        <w:rPr>
          <w:rFonts w:cstheme="minorHAnsi"/>
          <w:sz w:val="22"/>
          <w:szCs w:val="22"/>
          <w:lang w:val="es-ES"/>
        </w:rPr>
        <w:t xml:space="preserve"> los usuarios en sus dispositivos móviles ; los usuarios brindaron  los permisos correspondientes para alimentar la base de datos  de la aplicación. Las muestras obtenidas están delimitadas al punto en donde el usuario efectuó </w:t>
      </w:r>
      <w:r w:rsidRPr="000D0130">
        <w:rPr>
          <w:rFonts w:cstheme="minorHAnsi"/>
          <w:sz w:val="22"/>
          <w:szCs w:val="22"/>
          <w:lang w:val="es-ES"/>
        </w:rPr>
        <w:t>la prueba</w:t>
      </w:r>
      <w:r w:rsidRPr="000D0130">
        <w:rPr>
          <w:rFonts w:cstheme="minorHAnsi"/>
          <w:sz w:val="22"/>
          <w:szCs w:val="22"/>
          <w:lang w:val="es-ES"/>
        </w:rPr>
        <w:t xml:space="preserve"> de velocidad de descarga.</w:t>
      </w:r>
    </w:p>
    <w:p w14:paraId="7C3CFF66" w14:textId="354FB2E9" w:rsidR="000D0130" w:rsidRPr="000D0130" w:rsidRDefault="000D0130" w:rsidP="000D0130">
      <w:pPr>
        <w:rPr>
          <w:rFonts w:cstheme="minorHAnsi"/>
          <w:sz w:val="22"/>
          <w:szCs w:val="22"/>
          <w:lang w:val="es-ES"/>
        </w:rPr>
      </w:pPr>
      <w:r w:rsidRPr="000D0130">
        <w:rPr>
          <w:rFonts w:cstheme="minorHAnsi"/>
          <w:sz w:val="22"/>
          <w:szCs w:val="22"/>
          <w:lang w:val="es-ES"/>
        </w:rPr>
        <w:t>Metodología 2</w:t>
      </w:r>
      <w:r>
        <w:rPr>
          <w:rFonts w:cstheme="minorHAnsi"/>
          <w:sz w:val="22"/>
          <w:szCs w:val="22"/>
          <w:lang w:val="es-ES"/>
        </w:rPr>
        <w:t>:</w:t>
      </w:r>
      <w:r w:rsidRPr="000D0130">
        <w:rPr>
          <w:rFonts w:cstheme="minorHAnsi"/>
          <w:sz w:val="22"/>
          <w:szCs w:val="22"/>
          <w:lang w:val="es-ES"/>
        </w:rPr>
        <w:t xml:space="preserve"> (Global Index): Esto es un promedio global de las mediciones efectuadas en El Salvador durante cada uno de los meses del año , dichas mediciones se compara con las obtenidas con otros países .</w:t>
      </w:r>
    </w:p>
    <w:p w14:paraId="79E8657C" w14:textId="0FCB3C89" w:rsidR="000D0130" w:rsidRPr="000D0130" w:rsidRDefault="000D0130" w:rsidP="000D0130">
      <w:pPr>
        <w:rPr>
          <w:rFonts w:cstheme="minorHAnsi"/>
          <w:sz w:val="22"/>
          <w:szCs w:val="22"/>
          <w:lang w:val="es-ES"/>
        </w:rPr>
      </w:pPr>
      <w:r w:rsidRPr="000D0130">
        <w:rPr>
          <w:rFonts w:cstheme="minorHAnsi"/>
          <w:sz w:val="22"/>
          <w:szCs w:val="22"/>
          <w:lang w:val="es-ES"/>
        </w:rPr>
        <w:t xml:space="preserve">Metodología 3 (BenchMarking): Estas pruebas de mediciones de test de velocidad son realizadas dentro de un vehículo en </w:t>
      </w:r>
      <w:r w:rsidRPr="000D0130">
        <w:rPr>
          <w:rFonts w:cstheme="minorHAnsi"/>
          <w:sz w:val="22"/>
          <w:szCs w:val="22"/>
          <w:lang w:val="es-ES"/>
        </w:rPr>
        <w:t>movimiento,</w:t>
      </w:r>
      <w:r w:rsidRPr="000D0130">
        <w:rPr>
          <w:rFonts w:cstheme="minorHAnsi"/>
          <w:sz w:val="22"/>
          <w:szCs w:val="22"/>
          <w:lang w:val="es-ES"/>
        </w:rPr>
        <w:t xml:space="preserve"> el cual recorre las diferentes calles, avenidas  correspondientes a las ciudades o municipios evaluadas .</w:t>
      </w:r>
    </w:p>
    <w:p w14:paraId="0A5E8326" w14:textId="70243167" w:rsidR="000D0130" w:rsidRDefault="000D0130" w:rsidP="000D0130">
      <w:pPr>
        <w:rPr>
          <w:rFonts w:cstheme="minorHAnsi"/>
          <w:sz w:val="22"/>
          <w:szCs w:val="22"/>
          <w:lang w:val="es-ES"/>
        </w:rPr>
      </w:pPr>
      <w:r w:rsidRPr="000D0130">
        <w:rPr>
          <w:rFonts w:cstheme="minorHAnsi"/>
          <w:sz w:val="22"/>
          <w:szCs w:val="22"/>
          <w:lang w:val="es-ES"/>
        </w:rPr>
        <w:t xml:space="preserve">Para un mejor detalle para esta respuesta puede visitar </w:t>
      </w:r>
      <w:hyperlink r:id="rId10" w:history="1">
        <w:r w:rsidRPr="001C7B05">
          <w:rPr>
            <w:rStyle w:val="Hipervnculo"/>
            <w:rFonts w:cstheme="minorHAnsi"/>
            <w:sz w:val="22"/>
            <w:szCs w:val="22"/>
            <w:lang w:val="es-ES"/>
          </w:rPr>
          <w:t>https://www.siget.gob.sv/gerencias/telecomunicaciones/estadisticas/indicadores/</w:t>
        </w:r>
      </w:hyperlink>
      <w:r>
        <w:rPr>
          <w:rFonts w:cstheme="minorHAnsi"/>
          <w:sz w:val="22"/>
          <w:szCs w:val="22"/>
          <w:lang w:val="es-ES"/>
        </w:rPr>
        <w:t xml:space="preserve"> </w:t>
      </w:r>
      <w:r w:rsidRPr="000D0130">
        <w:rPr>
          <w:rFonts w:cstheme="minorHAnsi"/>
          <w:sz w:val="22"/>
          <w:szCs w:val="22"/>
          <w:lang w:val="es-ES"/>
        </w:rPr>
        <w:t xml:space="preserve">, se hace la aclaración que la información </w:t>
      </w:r>
      <w:r w:rsidRPr="000D0130">
        <w:rPr>
          <w:rFonts w:cstheme="minorHAnsi"/>
          <w:sz w:val="22"/>
          <w:szCs w:val="22"/>
          <w:lang w:val="es-ES"/>
        </w:rPr>
        <w:t>más</w:t>
      </w:r>
      <w:r w:rsidRPr="000D0130">
        <w:rPr>
          <w:rFonts w:cstheme="minorHAnsi"/>
          <w:sz w:val="22"/>
          <w:szCs w:val="22"/>
          <w:lang w:val="es-ES"/>
        </w:rPr>
        <w:t xml:space="preserve"> reciente corresponde al </w:t>
      </w:r>
      <w:r w:rsidRPr="000D0130">
        <w:rPr>
          <w:rFonts w:cstheme="minorHAnsi"/>
          <w:sz w:val="22"/>
          <w:szCs w:val="22"/>
          <w:lang w:val="es-ES"/>
        </w:rPr>
        <w:t>último</w:t>
      </w:r>
      <w:r w:rsidRPr="000D0130">
        <w:rPr>
          <w:rFonts w:cstheme="minorHAnsi"/>
          <w:sz w:val="22"/>
          <w:szCs w:val="22"/>
          <w:lang w:val="es-ES"/>
        </w:rPr>
        <w:t xml:space="preserve"> trimestre del año 2020 , SIGET no maneja estadísticas desagregadas por municipio sino de País.</w:t>
      </w:r>
    </w:p>
    <w:sectPr w:rsidR="000D0130" w:rsidSect="00967B90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2E2A" w14:textId="77777777" w:rsidR="00F277C0" w:rsidRDefault="00F277C0" w:rsidP="000D0130">
      <w:pPr>
        <w:spacing w:after="0" w:line="240" w:lineRule="auto"/>
      </w:pPr>
      <w:r>
        <w:separator/>
      </w:r>
    </w:p>
  </w:endnote>
  <w:endnote w:type="continuationSeparator" w:id="0">
    <w:p w14:paraId="5C991B80" w14:textId="77777777" w:rsidR="00F277C0" w:rsidRDefault="00F277C0" w:rsidP="000D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86915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BFBBAE" w14:textId="14C08A01" w:rsidR="000D0130" w:rsidRDefault="000D013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54CFE2" w14:textId="77777777" w:rsidR="000D0130" w:rsidRDefault="000D01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2159" w14:textId="77777777" w:rsidR="00F277C0" w:rsidRDefault="00F277C0" w:rsidP="000D0130">
      <w:pPr>
        <w:spacing w:after="0" w:line="240" w:lineRule="auto"/>
      </w:pPr>
      <w:r>
        <w:separator/>
      </w:r>
    </w:p>
  </w:footnote>
  <w:footnote w:type="continuationSeparator" w:id="0">
    <w:p w14:paraId="58DCCF2F" w14:textId="77777777" w:rsidR="00F277C0" w:rsidRDefault="00F277C0" w:rsidP="000D0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32"/>
    <w:rsid w:val="00094295"/>
    <w:rsid w:val="000D0130"/>
    <w:rsid w:val="002821E0"/>
    <w:rsid w:val="00466660"/>
    <w:rsid w:val="006B2821"/>
    <w:rsid w:val="0079004D"/>
    <w:rsid w:val="00917DE6"/>
    <w:rsid w:val="00967B90"/>
    <w:rsid w:val="00B95124"/>
    <w:rsid w:val="00C2555D"/>
    <w:rsid w:val="00C75878"/>
    <w:rsid w:val="00CC7230"/>
    <w:rsid w:val="00CD0E28"/>
    <w:rsid w:val="00CD0FF2"/>
    <w:rsid w:val="00CE5132"/>
    <w:rsid w:val="00E25EA5"/>
    <w:rsid w:val="00F2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1F443"/>
  <w15:chartTrackingRefBased/>
  <w15:docId w15:val="{ED482E4E-CB1F-AF49-B08E-D64C0DBD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660"/>
    <w:pPr>
      <w:spacing w:after="240" w:line="276" w:lineRule="auto"/>
      <w:jc w:val="both"/>
    </w:pPr>
    <w:rPr>
      <w:rFonts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B2821"/>
    <w:pPr>
      <w:keepNext/>
      <w:keepLines/>
      <w:spacing w:before="12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autoRedefine/>
    <w:unhideWhenUsed/>
    <w:qFormat/>
    <w:rsid w:val="00CC7230"/>
    <w:pPr>
      <w:ind w:left="440" w:hanging="440"/>
      <w:jc w:val="center"/>
    </w:pPr>
    <w:rPr>
      <w:rFonts w:eastAsia="Calibri" w:cs="Calibri (Cuerpo)"/>
      <w:b/>
      <w:szCs w:val="20"/>
      <w:lang w:val="es-ES"/>
    </w:rPr>
  </w:style>
  <w:style w:type="paragraph" w:styleId="Encabezadodemensaje">
    <w:name w:val="Message Header"/>
    <w:basedOn w:val="Normal"/>
    <w:link w:val="EncabezadodemensajeCar"/>
    <w:autoRedefine/>
    <w:rsid w:val="00CC7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color w:val="000000" w:themeColor="text1"/>
      <w:sz w:val="22"/>
    </w:rPr>
  </w:style>
  <w:style w:type="character" w:customStyle="1" w:styleId="EncabezadodemensajeCar">
    <w:name w:val="Encabezado de mensaje Car"/>
    <w:basedOn w:val="Fuentedeprrafopredeter"/>
    <w:link w:val="Encabezadodemensaje"/>
    <w:rsid w:val="00CC7230"/>
    <w:rPr>
      <w:rFonts w:eastAsiaTheme="majorEastAsia" w:cstheme="majorBidi"/>
      <w:color w:val="000000" w:themeColor="text1"/>
      <w:sz w:val="22"/>
      <w:shd w:val="pct20" w:color="auto" w:fill="auto"/>
    </w:rPr>
  </w:style>
  <w:style w:type="paragraph" w:customStyle="1" w:styleId="Tabla">
    <w:name w:val="Tabla"/>
    <w:basedOn w:val="Normal"/>
    <w:qFormat/>
    <w:rsid w:val="00466660"/>
    <w:pPr>
      <w:jc w:val="center"/>
    </w:pPr>
    <w:rPr>
      <w:rFonts w:cstheme="minorHAnsi"/>
      <w:b/>
      <w:sz w:val="22"/>
      <w:szCs w:val="20"/>
    </w:rPr>
  </w:style>
  <w:style w:type="paragraph" w:customStyle="1" w:styleId="Esquemas">
    <w:name w:val="Esquemas"/>
    <w:basedOn w:val="Normal"/>
    <w:qFormat/>
    <w:rsid w:val="00466660"/>
    <w:pPr>
      <w:jc w:val="center"/>
    </w:pPr>
    <w:rPr>
      <w:rFonts w:cstheme="minorHAnsi"/>
      <w:b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6B2821"/>
    <w:rPr>
      <w:rFonts w:eastAsiaTheme="majorEastAsia" w:cstheme="majorBidi"/>
      <w:b/>
      <w:color w:val="2F5496" w:themeColor="accent1" w:themeShade="BF"/>
      <w:sz w:val="32"/>
      <w:szCs w:val="32"/>
      <w:lang w:eastAsia="es-ES_tradnl"/>
    </w:rPr>
  </w:style>
  <w:style w:type="paragraph" w:styleId="Prrafodelista">
    <w:name w:val="List Paragraph"/>
    <w:basedOn w:val="Normal"/>
    <w:uiPriority w:val="34"/>
    <w:qFormat/>
    <w:rsid w:val="00CE5132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5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01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013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D01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130"/>
    <w:rPr>
      <w:rFonts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D01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130"/>
    <w:rPr>
      <w:rFonts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siget.gob.sv/gerencias/telecomunicaciones/estadisticas/indicadores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Miguel Saenz Rojas</dc:creator>
  <cp:keywords/>
  <dc:description/>
  <cp:lastModifiedBy>Isis Acosta</cp:lastModifiedBy>
  <cp:revision>7</cp:revision>
  <dcterms:created xsi:type="dcterms:W3CDTF">2021-08-11T01:48:00Z</dcterms:created>
  <dcterms:modified xsi:type="dcterms:W3CDTF">2021-08-18T20:58:00Z</dcterms:modified>
</cp:coreProperties>
</file>