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419ED" w14:textId="04E3B696" w:rsidR="00B92916" w:rsidRPr="00ED0759" w:rsidRDefault="0A97582E" w:rsidP="1837F8E0">
      <w:pPr>
        <w:spacing w:after="0" w:line="240" w:lineRule="auto"/>
        <w:jc w:val="both"/>
        <w:rPr>
          <w:rFonts w:ascii="Museo Sans 300" w:eastAsia="Arial" w:hAnsi="Museo Sans 300" w:cs="Arial"/>
          <w:sz w:val="20"/>
          <w:szCs w:val="20"/>
          <w:lang w:val="es-ES" w:eastAsia="es-SV"/>
        </w:rPr>
      </w:pPr>
      <w:r w:rsidRPr="4C0B280F">
        <w:rPr>
          <w:rFonts w:ascii="Museo Sans 900" w:eastAsia="Arial" w:hAnsi="Museo Sans 900" w:cs="Arial"/>
          <w:b/>
          <w:bCs/>
          <w:sz w:val="20"/>
          <w:szCs w:val="20"/>
          <w:lang w:val="es-ES" w:eastAsia="es-SV"/>
        </w:rPr>
        <w:t xml:space="preserve"> </w:t>
      </w:r>
      <w:r w:rsidR="00B92916" w:rsidRPr="4C0B280F">
        <w:rPr>
          <w:rFonts w:ascii="Museo Sans 900" w:eastAsia="Arial" w:hAnsi="Museo Sans 900" w:cs="Arial"/>
          <w:b/>
          <w:bCs/>
          <w:sz w:val="20"/>
          <w:szCs w:val="20"/>
          <w:lang w:val="es-ES" w:eastAsia="es-SV"/>
        </w:rPr>
        <w:t>ACUERDO N.° E-</w:t>
      </w:r>
      <w:r w:rsidR="00E56C6F" w:rsidRPr="4C0B280F">
        <w:rPr>
          <w:rFonts w:ascii="Museo Sans 900" w:eastAsia="Arial" w:hAnsi="Museo Sans 900" w:cs="Arial"/>
          <w:b/>
          <w:bCs/>
          <w:sz w:val="20"/>
          <w:szCs w:val="20"/>
          <w:lang w:val="es-ES" w:eastAsia="es-SV"/>
        </w:rPr>
        <w:t>0518</w:t>
      </w:r>
      <w:r w:rsidR="007E5C41" w:rsidRPr="4C0B280F">
        <w:rPr>
          <w:rFonts w:ascii="Museo Sans 900" w:eastAsia="Arial" w:hAnsi="Museo Sans 900" w:cs="Arial"/>
          <w:b/>
          <w:bCs/>
          <w:sz w:val="20"/>
          <w:szCs w:val="20"/>
          <w:lang w:val="es-ES" w:eastAsia="es-SV"/>
        </w:rPr>
        <w:t>-</w:t>
      </w:r>
      <w:r w:rsidR="00B92916" w:rsidRPr="4C0B280F">
        <w:rPr>
          <w:rFonts w:ascii="Museo Sans 900" w:eastAsia="Arial" w:hAnsi="Museo Sans 900" w:cs="Arial"/>
          <w:b/>
          <w:bCs/>
          <w:sz w:val="20"/>
          <w:szCs w:val="20"/>
          <w:lang w:val="es-ES" w:eastAsia="es-SV"/>
        </w:rPr>
        <w:t>20</w:t>
      </w:r>
      <w:r w:rsidR="007E5C41" w:rsidRPr="4C0B280F">
        <w:rPr>
          <w:rFonts w:ascii="Museo Sans 900" w:eastAsia="Arial" w:hAnsi="Museo Sans 900" w:cs="Arial"/>
          <w:b/>
          <w:bCs/>
          <w:sz w:val="20"/>
          <w:szCs w:val="20"/>
          <w:lang w:val="es-ES" w:eastAsia="es-SV"/>
        </w:rPr>
        <w:t>2</w:t>
      </w:r>
      <w:r w:rsidR="0064750E" w:rsidRPr="4C0B280F">
        <w:rPr>
          <w:rFonts w:ascii="Museo Sans 900" w:eastAsia="Arial" w:hAnsi="Museo Sans 900" w:cs="Arial"/>
          <w:b/>
          <w:bCs/>
          <w:sz w:val="20"/>
          <w:szCs w:val="20"/>
          <w:lang w:val="es-ES" w:eastAsia="es-SV"/>
        </w:rPr>
        <w:t>1</w:t>
      </w:r>
      <w:r w:rsidR="00B92916" w:rsidRPr="4C0B280F">
        <w:rPr>
          <w:rFonts w:ascii="Museo Sans 900" w:eastAsia="Arial" w:hAnsi="Museo Sans 900" w:cs="Arial"/>
          <w:b/>
          <w:bCs/>
          <w:sz w:val="20"/>
          <w:szCs w:val="20"/>
          <w:lang w:val="es-ES" w:eastAsia="es-SV"/>
        </w:rPr>
        <w:t>-CAU.</w:t>
      </w:r>
      <w:r w:rsidR="00B92916" w:rsidRPr="4C0B280F">
        <w:rPr>
          <w:rFonts w:ascii="Museo Sans 500" w:eastAsia="Arial" w:hAnsi="Museo Sans 500" w:cs="Arial"/>
          <w:sz w:val="20"/>
          <w:szCs w:val="20"/>
          <w:lang w:val="es-ES" w:eastAsia="es-SV"/>
        </w:rPr>
        <w:t xml:space="preserve"> </w:t>
      </w:r>
      <w:r w:rsidR="00B92916" w:rsidRPr="4C0B280F">
        <w:rPr>
          <w:rFonts w:ascii="Museo Sans 300" w:eastAsia="Arial" w:hAnsi="Museo Sans 300" w:cs="Arial"/>
          <w:sz w:val="20"/>
          <w:szCs w:val="20"/>
          <w:lang w:val="es-ES" w:eastAsia="es-SV"/>
        </w:rPr>
        <w:t>SUPERINTENDENCIA GENERAL DE ELECTRICIDAD Y TELECOMU</w:t>
      </w:r>
      <w:r w:rsidR="00ED0759" w:rsidRPr="4C0B280F">
        <w:rPr>
          <w:rFonts w:ascii="Museo Sans 300" w:eastAsia="Arial" w:hAnsi="Museo Sans 300" w:cs="Arial"/>
          <w:sz w:val="20"/>
          <w:szCs w:val="20"/>
          <w:lang w:val="es-ES" w:eastAsia="es-SV"/>
        </w:rPr>
        <w:t xml:space="preserve">NICACIONES. San Salvador, a las </w:t>
      </w:r>
      <w:r w:rsidR="00E56C6F" w:rsidRPr="4C0B280F">
        <w:rPr>
          <w:rFonts w:ascii="Museo Sans 300" w:eastAsia="Arial" w:hAnsi="Museo Sans 300" w:cs="Arial"/>
          <w:sz w:val="20"/>
          <w:szCs w:val="20"/>
          <w:lang w:val="es-ES" w:eastAsia="es-SV"/>
        </w:rPr>
        <w:t>nueve</w:t>
      </w:r>
      <w:r w:rsidR="00824DA1" w:rsidRPr="4C0B280F">
        <w:rPr>
          <w:rFonts w:ascii="Museo Sans 300" w:eastAsia="Arial" w:hAnsi="Museo Sans 300" w:cs="Arial"/>
          <w:sz w:val="20"/>
          <w:szCs w:val="20"/>
          <w:lang w:val="es-ES" w:eastAsia="es-SV"/>
        </w:rPr>
        <w:t xml:space="preserve"> </w:t>
      </w:r>
      <w:r w:rsidR="00B92916" w:rsidRPr="4C0B280F">
        <w:rPr>
          <w:rFonts w:ascii="Museo Sans 300" w:eastAsia="Arial" w:hAnsi="Museo Sans 300" w:cs="Arial"/>
          <w:sz w:val="20"/>
          <w:szCs w:val="20"/>
          <w:lang w:val="es-ES" w:eastAsia="es-SV"/>
        </w:rPr>
        <w:t xml:space="preserve">horas </w:t>
      </w:r>
      <w:r w:rsidR="00666332" w:rsidRPr="4C0B280F">
        <w:rPr>
          <w:rFonts w:ascii="Museo Sans 300" w:eastAsia="Arial" w:hAnsi="Museo Sans 300" w:cs="Arial"/>
          <w:sz w:val="20"/>
          <w:szCs w:val="20"/>
          <w:lang w:val="es-ES" w:eastAsia="es-SV"/>
        </w:rPr>
        <w:t>con</w:t>
      </w:r>
      <w:r w:rsidR="00E56C6F" w:rsidRPr="4C0B280F">
        <w:rPr>
          <w:rFonts w:ascii="Museo Sans 300" w:eastAsia="Arial" w:hAnsi="Museo Sans 300" w:cs="Arial"/>
          <w:sz w:val="20"/>
          <w:szCs w:val="20"/>
          <w:lang w:val="es-ES" w:eastAsia="es-SV"/>
        </w:rPr>
        <w:t xml:space="preserve"> veinte</w:t>
      </w:r>
      <w:r w:rsidR="00666332" w:rsidRPr="4C0B280F">
        <w:rPr>
          <w:rFonts w:ascii="Museo Sans 300" w:eastAsia="Arial" w:hAnsi="Museo Sans 300" w:cs="Arial"/>
          <w:sz w:val="20"/>
          <w:szCs w:val="20"/>
          <w:lang w:val="es-ES" w:eastAsia="es-SV"/>
        </w:rPr>
        <w:t xml:space="preserve"> minutos </w:t>
      </w:r>
      <w:r w:rsidR="00B92916" w:rsidRPr="4C0B280F">
        <w:rPr>
          <w:rFonts w:ascii="Museo Sans 300" w:eastAsia="Arial" w:hAnsi="Museo Sans 300" w:cs="Arial"/>
          <w:sz w:val="20"/>
          <w:szCs w:val="20"/>
          <w:lang w:val="es-ES" w:eastAsia="es-SV"/>
        </w:rPr>
        <w:t>del día</w:t>
      </w:r>
      <w:r w:rsidR="00421D65" w:rsidRPr="4C0B280F">
        <w:rPr>
          <w:rFonts w:ascii="Museo Sans 300" w:eastAsia="Arial" w:hAnsi="Museo Sans 300" w:cs="Arial"/>
          <w:sz w:val="20"/>
          <w:szCs w:val="20"/>
          <w:lang w:val="es-ES" w:eastAsia="es-SV"/>
        </w:rPr>
        <w:t xml:space="preserve"> </w:t>
      </w:r>
      <w:r w:rsidR="00E56C6F" w:rsidRPr="4C0B280F">
        <w:rPr>
          <w:rFonts w:ascii="Museo Sans 300" w:eastAsia="Arial" w:hAnsi="Museo Sans 300" w:cs="Arial"/>
          <w:sz w:val="20"/>
          <w:szCs w:val="20"/>
          <w:lang w:val="es-ES" w:eastAsia="es-SV"/>
        </w:rPr>
        <w:t>nueve</w:t>
      </w:r>
      <w:r w:rsidR="00421D65" w:rsidRPr="4C0B280F">
        <w:rPr>
          <w:rFonts w:ascii="Museo Sans 300" w:eastAsia="Arial" w:hAnsi="Museo Sans 300" w:cs="Arial"/>
          <w:sz w:val="20"/>
          <w:szCs w:val="20"/>
          <w:lang w:val="es-ES" w:eastAsia="es-SV"/>
        </w:rPr>
        <w:t xml:space="preserve"> </w:t>
      </w:r>
      <w:r w:rsidR="00992450" w:rsidRPr="4C0B280F">
        <w:rPr>
          <w:rFonts w:ascii="Museo Sans 300" w:eastAsia="Arial" w:hAnsi="Museo Sans 300" w:cs="Arial"/>
          <w:sz w:val="20"/>
          <w:szCs w:val="20"/>
          <w:lang w:val="es-ES" w:eastAsia="es-SV"/>
        </w:rPr>
        <w:t xml:space="preserve">de </w:t>
      </w:r>
      <w:r w:rsidR="00B16387" w:rsidRPr="4C0B280F">
        <w:rPr>
          <w:rFonts w:ascii="Museo Sans 300" w:eastAsia="Arial" w:hAnsi="Museo Sans 300" w:cs="Arial"/>
          <w:sz w:val="20"/>
          <w:szCs w:val="20"/>
          <w:lang w:val="es-ES" w:eastAsia="es-SV"/>
        </w:rPr>
        <w:t>junio</w:t>
      </w:r>
      <w:r w:rsidR="000A7386" w:rsidRPr="4C0B280F">
        <w:rPr>
          <w:rFonts w:ascii="Museo Sans 300" w:eastAsia="Arial" w:hAnsi="Museo Sans 300" w:cs="Arial"/>
          <w:sz w:val="20"/>
          <w:szCs w:val="20"/>
          <w:lang w:val="es-ES" w:eastAsia="es-SV"/>
        </w:rPr>
        <w:t xml:space="preserve"> </w:t>
      </w:r>
      <w:r w:rsidR="00B92916" w:rsidRPr="4C0B280F">
        <w:rPr>
          <w:rFonts w:ascii="Museo Sans 300" w:eastAsia="Arial" w:hAnsi="Museo Sans 300" w:cs="Arial"/>
          <w:sz w:val="20"/>
          <w:szCs w:val="20"/>
          <w:lang w:val="es-ES" w:eastAsia="es-SV"/>
        </w:rPr>
        <w:t xml:space="preserve">de </w:t>
      </w:r>
      <w:proofErr w:type="gramStart"/>
      <w:r w:rsidR="00B92916" w:rsidRPr="4C0B280F">
        <w:rPr>
          <w:rFonts w:ascii="Museo Sans 300" w:eastAsia="Arial" w:hAnsi="Museo Sans 300" w:cs="Arial"/>
          <w:sz w:val="20"/>
          <w:szCs w:val="20"/>
          <w:lang w:val="es-ES" w:eastAsia="es-SV"/>
        </w:rPr>
        <w:t xml:space="preserve">dos mil </w:t>
      </w:r>
      <w:r w:rsidR="007E5C41" w:rsidRPr="4C0B280F">
        <w:rPr>
          <w:rFonts w:ascii="Museo Sans 300" w:eastAsia="Arial" w:hAnsi="Museo Sans 300" w:cs="Arial"/>
          <w:sz w:val="20"/>
          <w:szCs w:val="20"/>
          <w:lang w:val="es-ES" w:eastAsia="es-SV"/>
        </w:rPr>
        <w:t>veint</w:t>
      </w:r>
      <w:r w:rsidR="00EC67A7" w:rsidRPr="4C0B280F">
        <w:rPr>
          <w:rFonts w:ascii="Museo Sans 300" w:eastAsia="Arial" w:hAnsi="Museo Sans 300" w:cs="Arial"/>
          <w:sz w:val="20"/>
          <w:szCs w:val="20"/>
          <w:lang w:val="es-ES" w:eastAsia="es-SV"/>
        </w:rPr>
        <w:t>iuno</w:t>
      </w:r>
      <w:proofErr w:type="gramEnd"/>
      <w:r w:rsidR="00B92916" w:rsidRPr="4C0B280F">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0984E483" w:rsidR="00B92916" w:rsidRPr="005D59E0" w:rsidRDefault="00D37F68" w:rsidP="00B92916">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00B92916" w:rsidRPr="005D59E0">
        <w:rPr>
          <w:rFonts w:ascii="Museo Sans 300" w:hAnsi="Museo Sans 300"/>
          <w:sz w:val="20"/>
          <w:szCs w:val="20"/>
          <w:lang w:val="es-ES_tradnl"/>
        </w:rPr>
        <w:t xml:space="preserve">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4E03A0" w14:textId="5400BA77" w:rsidR="1837F8E0" w:rsidRPr="00B16387" w:rsidRDefault="00ED0759" w:rsidP="008E3C75">
      <w:pPr>
        <w:numPr>
          <w:ilvl w:val="0"/>
          <w:numId w:val="39"/>
        </w:numPr>
        <w:tabs>
          <w:tab w:val="left" w:pos="567"/>
        </w:tabs>
        <w:spacing w:after="0" w:line="240" w:lineRule="auto"/>
        <w:ind w:left="567" w:hanging="567"/>
        <w:contextualSpacing/>
        <w:jc w:val="both"/>
        <w:rPr>
          <w:rFonts w:ascii="Museo Sans 300" w:hAnsi="Museo Sans 300"/>
          <w:color w:val="000000" w:themeColor="text1"/>
          <w:sz w:val="20"/>
          <w:szCs w:val="20"/>
          <w:lang w:val="es-ES"/>
        </w:rPr>
      </w:pPr>
      <w:r w:rsidRPr="00EC67A7">
        <w:rPr>
          <w:rFonts w:ascii="Museo Sans 300" w:hAnsi="Museo Sans 300"/>
          <w:sz w:val="20"/>
          <w:szCs w:val="20"/>
          <w:lang w:val="es-ES"/>
        </w:rPr>
        <w:t xml:space="preserve">El </w:t>
      </w:r>
      <w:r w:rsidR="00102748" w:rsidRPr="00EC67A7">
        <w:rPr>
          <w:rFonts w:ascii="Museo Sans 300" w:hAnsi="Museo Sans 300"/>
          <w:sz w:val="20"/>
          <w:szCs w:val="20"/>
          <w:lang w:val="es-ES"/>
        </w:rPr>
        <w:t xml:space="preserve">día </w:t>
      </w:r>
      <w:r w:rsidR="00B16387">
        <w:rPr>
          <w:rFonts w:ascii="Museo Sans 300" w:hAnsi="Museo Sans 300"/>
          <w:sz w:val="20"/>
          <w:szCs w:val="20"/>
          <w:lang w:val="es-ES"/>
        </w:rPr>
        <w:t>diecinueve</w:t>
      </w:r>
      <w:r w:rsidR="00505D70" w:rsidRPr="00EC67A7">
        <w:rPr>
          <w:rFonts w:ascii="Museo Sans 300" w:hAnsi="Museo Sans 300"/>
          <w:sz w:val="20"/>
          <w:szCs w:val="20"/>
          <w:lang w:val="es-ES"/>
        </w:rPr>
        <w:t xml:space="preserve"> de </w:t>
      </w:r>
      <w:r w:rsidR="00B16387">
        <w:rPr>
          <w:rFonts w:ascii="Museo Sans 300" w:hAnsi="Museo Sans 300"/>
          <w:sz w:val="20"/>
          <w:szCs w:val="20"/>
          <w:lang w:val="es-ES"/>
        </w:rPr>
        <w:t>febrero</w:t>
      </w:r>
      <w:r w:rsidR="00102748" w:rsidRPr="00EC67A7">
        <w:rPr>
          <w:rFonts w:ascii="Museo Sans 300" w:hAnsi="Museo Sans 300"/>
          <w:sz w:val="20"/>
          <w:szCs w:val="20"/>
          <w:lang w:val="es-ES"/>
        </w:rPr>
        <w:t xml:space="preserve"> del </w:t>
      </w:r>
      <w:r w:rsidR="00EC67A7" w:rsidRPr="00EC67A7">
        <w:rPr>
          <w:rFonts w:ascii="Museo Sans 300" w:hAnsi="Museo Sans 300"/>
          <w:sz w:val="20"/>
          <w:szCs w:val="20"/>
          <w:lang w:val="es-ES"/>
        </w:rPr>
        <w:t>a</w:t>
      </w:r>
      <w:r w:rsidR="00102748" w:rsidRPr="00EC67A7">
        <w:rPr>
          <w:rFonts w:ascii="Museo Sans 300" w:hAnsi="Museo Sans 300"/>
          <w:sz w:val="20"/>
          <w:szCs w:val="20"/>
          <w:lang w:val="es-ES"/>
        </w:rPr>
        <w:t>ño</w:t>
      </w:r>
      <w:r w:rsidR="00EC67A7" w:rsidRPr="00EC67A7">
        <w:rPr>
          <w:rFonts w:ascii="Museo Sans 300" w:hAnsi="Museo Sans 300"/>
          <w:sz w:val="20"/>
          <w:szCs w:val="20"/>
          <w:lang w:val="es-ES"/>
        </w:rPr>
        <w:t xml:space="preserve"> dos mil veinte</w:t>
      </w:r>
      <w:r w:rsidR="00102748" w:rsidRPr="00EC67A7">
        <w:rPr>
          <w:rFonts w:ascii="Museo Sans 300" w:hAnsi="Museo Sans 300"/>
          <w:sz w:val="20"/>
          <w:szCs w:val="20"/>
          <w:lang w:val="es-ES"/>
        </w:rPr>
        <w:t xml:space="preserve">, </w:t>
      </w:r>
      <w:r w:rsidR="166BDEED" w:rsidRPr="00EC67A7">
        <w:rPr>
          <w:rFonts w:ascii="Museo Sans 300" w:hAnsi="Museo Sans 300"/>
          <w:sz w:val="20"/>
          <w:szCs w:val="20"/>
          <w:lang w:val="es-ES"/>
        </w:rPr>
        <w:t xml:space="preserve">el </w:t>
      </w:r>
      <w:r w:rsidRPr="00EC67A7">
        <w:rPr>
          <w:rFonts w:ascii="Museo Sans 300" w:hAnsi="Museo Sans 300"/>
          <w:sz w:val="20"/>
          <w:szCs w:val="20"/>
          <w:lang w:val="es-ES"/>
        </w:rPr>
        <w:t xml:space="preserve">señor </w:t>
      </w:r>
      <w:r w:rsidR="0017402E">
        <w:rPr>
          <w:rFonts w:ascii="Museo Sans 300" w:hAnsi="Museo Sans 300"/>
          <w:sz w:val="20"/>
          <w:szCs w:val="20"/>
          <w:lang w:val="es-ES"/>
        </w:rPr>
        <w:t>XXX</w:t>
      </w:r>
      <w:r w:rsidR="00EC67A7" w:rsidRPr="00EC67A7">
        <w:rPr>
          <w:rFonts w:ascii="Museo Sans 300" w:hAnsi="Museo Sans 300"/>
          <w:sz w:val="20"/>
          <w:szCs w:val="20"/>
          <w:lang w:val="es-ES"/>
        </w:rPr>
        <w:t xml:space="preserve"> </w:t>
      </w:r>
      <w:r w:rsidR="00704C84" w:rsidRPr="00EC67A7">
        <w:rPr>
          <w:rFonts w:ascii="Museo Sans 300" w:hAnsi="Museo Sans 300"/>
          <w:sz w:val="20"/>
          <w:szCs w:val="20"/>
          <w:lang w:val="es-ES"/>
        </w:rPr>
        <w:t>interpuso</w:t>
      </w:r>
      <w:r w:rsidR="001760E1" w:rsidRPr="00EC67A7">
        <w:rPr>
          <w:rFonts w:ascii="Museo Sans 300" w:hAnsi="Museo Sans 300"/>
          <w:sz w:val="20"/>
          <w:szCs w:val="20"/>
          <w:lang w:val="es-ES"/>
        </w:rPr>
        <w:t xml:space="preserve"> </w:t>
      </w:r>
      <w:r w:rsidR="00704C84" w:rsidRPr="00EC67A7">
        <w:rPr>
          <w:rFonts w:ascii="Museo Sans 300" w:hAnsi="Museo Sans 300"/>
          <w:sz w:val="20"/>
          <w:szCs w:val="20"/>
        </w:rPr>
        <w:t xml:space="preserve">un reclamo en contra de la sociedad AES CLESA y Cía., S. en C. de C.V. </w:t>
      </w:r>
      <w:r w:rsidR="007249B9" w:rsidRPr="007249B9">
        <w:rPr>
          <w:rFonts w:ascii="Museo Sans 300" w:eastAsia="Times New Roman" w:hAnsi="Museo Sans 300"/>
          <w:sz w:val="20"/>
          <w:szCs w:val="20"/>
          <w:lang w:eastAsia="es-ES"/>
        </w:rPr>
        <w:t xml:space="preserve">por </w:t>
      </w:r>
      <w:r w:rsidR="00B16387">
        <w:rPr>
          <w:rFonts w:ascii="Museo Sans 300" w:eastAsia="Times New Roman" w:hAnsi="Museo Sans 300"/>
          <w:sz w:val="20"/>
          <w:szCs w:val="20"/>
          <w:lang w:eastAsia="es-ES"/>
        </w:rPr>
        <w:t xml:space="preserve">considerar indebidos los cobros acumulados en concepto de consumo de energía eléctrica en el suministro identificado con el NIC </w:t>
      </w:r>
      <w:r w:rsidR="0017402E">
        <w:rPr>
          <w:rFonts w:ascii="Museo Sans 300" w:eastAsia="Times New Roman" w:hAnsi="Museo Sans 300"/>
          <w:sz w:val="20"/>
          <w:szCs w:val="20"/>
          <w:lang w:eastAsia="es-ES"/>
        </w:rPr>
        <w:t>XXX</w:t>
      </w:r>
      <w:r w:rsidR="00B16387">
        <w:rPr>
          <w:rFonts w:ascii="Museo Sans 300" w:eastAsia="Times New Roman" w:hAnsi="Museo Sans 300"/>
          <w:sz w:val="20"/>
          <w:szCs w:val="20"/>
          <w:lang w:eastAsia="es-ES"/>
        </w:rPr>
        <w:t>.</w:t>
      </w:r>
    </w:p>
    <w:p w14:paraId="241D392D" w14:textId="77777777" w:rsidR="00B16387" w:rsidRPr="00B16387" w:rsidRDefault="00B16387" w:rsidP="00B1638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8E703F">
      <w:pPr>
        <w:numPr>
          <w:ilvl w:val="0"/>
          <w:numId w:val="18"/>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696615">
      <w:pPr>
        <w:numPr>
          <w:ilvl w:val="0"/>
          <w:numId w:val="29"/>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485E044B" w:rsidR="008E703F" w:rsidRPr="00E8311B" w:rsidRDefault="004B14EF" w:rsidP="008E703F">
      <w:pPr>
        <w:pStyle w:val="Prrafodelista"/>
        <w:spacing w:line="0" w:lineRule="atLeast"/>
        <w:ind w:left="567"/>
        <w:contextualSpacing/>
        <w:jc w:val="both"/>
        <w:rPr>
          <w:rFonts w:ascii="Museo Sans 300" w:hAnsi="Museo Sans 300"/>
          <w:bCs/>
          <w:sz w:val="22"/>
          <w:szCs w:val="22"/>
        </w:rPr>
      </w:pPr>
      <w:r>
        <w:rPr>
          <w:rFonts w:ascii="Museo Sans 300" w:hAnsi="Museo Sans 300"/>
          <w:bCs/>
          <w:sz w:val="22"/>
          <w:szCs w:val="22"/>
        </w:rPr>
        <w:t xml:space="preserve"> </w:t>
      </w:r>
    </w:p>
    <w:p w14:paraId="1B874651" w14:textId="12A371D3"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N.° </w:t>
      </w:r>
      <w:r w:rsidR="00FD27E0" w:rsidRPr="005D59E0">
        <w:rPr>
          <w:rFonts w:ascii="Museo Sans 300" w:hAnsi="Museo Sans 300"/>
          <w:sz w:val="20"/>
          <w:szCs w:val="20"/>
        </w:rPr>
        <w:t>E-</w:t>
      </w:r>
      <w:r w:rsidR="00B16387">
        <w:rPr>
          <w:rFonts w:ascii="Museo Sans 300" w:hAnsi="Museo Sans 300"/>
          <w:sz w:val="20"/>
          <w:szCs w:val="20"/>
        </w:rPr>
        <w:t>336</w:t>
      </w:r>
      <w:r w:rsidR="00A06458" w:rsidRPr="005D59E0">
        <w:rPr>
          <w:rFonts w:ascii="Museo Sans 300" w:hAnsi="Museo Sans 300"/>
          <w:sz w:val="20"/>
          <w:szCs w:val="20"/>
        </w:rPr>
        <w:t>-202</w:t>
      </w:r>
      <w:r w:rsidR="00A817BA">
        <w:rPr>
          <w:rFonts w:ascii="Museo Sans 300" w:hAnsi="Museo Sans 300"/>
          <w:sz w:val="20"/>
          <w:szCs w:val="20"/>
        </w:rPr>
        <w:t>0</w:t>
      </w:r>
      <w:r w:rsidR="00FD27E0" w:rsidRPr="005D59E0">
        <w:rPr>
          <w:rFonts w:ascii="Museo Sans 300" w:hAnsi="Museo Sans 300"/>
          <w:sz w:val="20"/>
          <w:szCs w:val="20"/>
        </w:rPr>
        <w:t>-CAU</w:t>
      </w:r>
      <w:r w:rsidRPr="005D59E0">
        <w:rPr>
          <w:rFonts w:ascii="Museo Sans 300" w:hAnsi="Museo Sans 300"/>
          <w:sz w:val="20"/>
          <w:szCs w:val="20"/>
        </w:rPr>
        <w:t>,</w:t>
      </w:r>
      <w:r w:rsidR="005D59E0">
        <w:rPr>
          <w:rFonts w:ascii="Museo Sans 300" w:hAnsi="Museo Sans 300"/>
          <w:sz w:val="20"/>
          <w:szCs w:val="20"/>
        </w:rPr>
        <w:t xml:space="preserve"> de fecha </w:t>
      </w:r>
      <w:r w:rsidR="007249B9">
        <w:rPr>
          <w:rFonts w:ascii="Museo Sans 300" w:hAnsi="Museo Sans 300"/>
          <w:sz w:val="20"/>
          <w:szCs w:val="20"/>
        </w:rPr>
        <w:t>veintis</w:t>
      </w:r>
      <w:r w:rsidR="00B16387">
        <w:rPr>
          <w:rFonts w:ascii="Museo Sans 300" w:hAnsi="Museo Sans 300"/>
          <w:sz w:val="20"/>
          <w:szCs w:val="20"/>
        </w:rPr>
        <w:t>éis</w:t>
      </w:r>
      <w:r w:rsidR="00275D15">
        <w:rPr>
          <w:rFonts w:ascii="Museo Sans 300" w:hAnsi="Museo Sans 300"/>
          <w:sz w:val="20"/>
          <w:szCs w:val="20"/>
        </w:rPr>
        <w:t xml:space="preserve"> de </w:t>
      </w:r>
      <w:r w:rsidR="000E6A25">
        <w:rPr>
          <w:rFonts w:ascii="Museo Sans 300" w:hAnsi="Museo Sans 300"/>
          <w:sz w:val="20"/>
          <w:szCs w:val="20"/>
        </w:rPr>
        <w:t>febrero</w:t>
      </w:r>
      <w:r w:rsidR="005D59E0">
        <w:rPr>
          <w:rFonts w:ascii="Museo Sans 300" w:hAnsi="Museo Sans 300"/>
          <w:sz w:val="20"/>
          <w:szCs w:val="20"/>
        </w:rPr>
        <w:t xml:space="preserve"> del año</w:t>
      </w:r>
      <w:r w:rsidR="00362D08">
        <w:rPr>
          <w:rFonts w:ascii="Museo Sans 300" w:hAnsi="Museo Sans 300"/>
          <w:sz w:val="20"/>
          <w:szCs w:val="20"/>
        </w:rPr>
        <w:t xml:space="preserve"> dos mil veinte</w:t>
      </w:r>
      <w:r w:rsidR="005D59E0">
        <w:rPr>
          <w:rFonts w:ascii="Museo Sans 300" w:hAnsi="Museo Sans 300"/>
          <w:sz w:val="20"/>
          <w:szCs w:val="20"/>
        </w:rPr>
        <w:t>,</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 xml:space="preserve">que </w:t>
      </w:r>
      <w:r w:rsidR="00B9078C">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410D4177" w:rsidR="00B9078C" w:rsidRPr="00656E09" w:rsidRDefault="00B16387" w:rsidP="00656E09">
      <w:pPr>
        <w:tabs>
          <w:tab w:val="left" w:pos="567"/>
        </w:tabs>
        <w:spacing w:after="0" w:line="240" w:lineRule="auto"/>
        <w:ind w:left="567"/>
        <w:contextualSpacing/>
        <w:jc w:val="both"/>
        <w:rPr>
          <w:rFonts w:ascii="Museo Sans 300" w:eastAsia="Times New Roman" w:hAnsi="Museo Sans 300"/>
          <w:sz w:val="20"/>
          <w:szCs w:val="20"/>
          <w:lang w:eastAsia="es-ES"/>
        </w:rPr>
      </w:pPr>
      <w:r w:rsidRPr="00B16387">
        <w:rPr>
          <w:rFonts w:ascii="Museo Sans 300" w:eastAsia="Times New Roman" w:hAnsi="Museo Sans 300"/>
          <w:sz w:val="20"/>
          <w:szCs w:val="20"/>
          <w:lang w:eastAsia="es-ES"/>
        </w:rPr>
        <w:t>En el mismo proveído, se comisionó al Centro de Atención al Usuario (CAU) de esta Superintendencia para que, una vez vencido el plazo de la distribuidora</w:t>
      </w:r>
      <w:r w:rsidR="0093386C" w:rsidRPr="005D59E0">
        <w:rPr>
          <w:rFonts w:ascii="Museo Sans 300" w:eastAsia="Times New Roman" w:hAnsi="Museo Sans 300"/>
          <w:sz w:val="20"/>
          <w:szCs w:val="20"/>
          <w:lang w:val="es-ES" w:eastAsia="es-ES"/>
        </w:rPr>
        <w:t xml:space="preserve">, </w:t>
      </w:r>
      <w:r w:rsidR="00B9078C">
        <w:rPr>
          <w:rFonts w:ascii="Museo Sans 300" w:eastAsia="Times New Roman" w:hAnsi="Museo Sans 300"/>
          <w:sz w:val="20"/>
          <w:szCs w:val="20"/>
          <w:lang w:val="es-ES" w:eastAsia="es-ES"/>
        </w:rPr>
        <w:t xml:space="preserve">en un plazo de tres días hábiles </w:t>
      </w:r>
      <w:r w:rsidR="0093386C"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00DBE376" w:rsidR="00B9078C" w:rsidRPr="00B9078C" w:rsidRDefault="007249B9"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Pr>
          <w:rFonts w:ascii="Museo Sans 300" w:hAnsi="Museo Sans 300"/>
          <w:sz w:val="20"/>
          <w:szCs w:val="20"/>
          <w:lang w:eastAsia="es-SV"/>
        </w:rPr>
        <w:t xml:space="preserve">El </w:t>
      </w:r>
      <w:r w:rsidRPr="005D59E0">
        <w:rPr>
          <w:rFonts w:ascii="Museo Sans 300" w:hAnsi="Museo Sans 300"/>
          <w:sz w:val="20"/>
          <w:szCs w:val="20"/>
        </w:rPr>
        <w:t xml:space="preserve">acuerdo </w:t>
      </w:r>
      <w:r w:rsidR="00CE0098">
        <w:rPr>
          <w:rFonts w:ascii="Museo Sans 300" w:hAnsi="Museo Sans 300"/>
          <w:sz w:val="20"/>
          <w:szCs w:val="20"/>
        </w:rPr>
        <w:t xml:space="preserve">mencionado </w:t>
      </w:r>
      <w:r w:rsidR="00B9078C" w:rsidRPr="562CE293">
        <w:rPr>
          <w:rFonts w:ascii="Museo Sans 300" w:hAnsi="Museo Sans 300"/>
          <w:sz w:val="20"/>
          <w:szCs w:val="20"/>
          <w:lang w:eastAsia="es-SV"/>
        </w:rPr>
        <w:t xml:space="preserve">fue notificado </w:t>
      </w:r>
      <w:r w:rsidR="007E794A" w:rsidRPr="562CE293">
        <w:rPr>
          <w:rFonts w:ascii="Museo Sans 300" w:hAnsi="Museo Sans 300"/>
          <w:sz w:val="20"/>
          <w:szCs w:val="20"/>
          <w:lang w:eastAsia="es-SV"/>
        </w:rPr>
        <w:t xml:space="preserve">a la sociedad </w:t>
      </w:r>
      <w:r w:rsidR="007E794A" w:rsidRPr="562CE293">
        <w:rPr>
          <w:rFonts w:ascii="Museo Sans 300" w:hAnsi="Museo Sans 300"/>
          <w:sz w:val="20"/>
          <w:szCs w:val="20"/>
        </w:rPr>
        <w:t xml:space="preserve">AES CLESA y Cía., S. en C. de C.V. </w:t>
      </w:r>
      <w:r w:rsidR="00275D15">
        <w:rPr>
          <w:rFonts w:ascii="Museo Sans 300" w:hAnsi="Museo Sans 300"/>
          <w:sz w:val="20"/>
          <w:szCs w:val="20"/>
        </w:rPr>
        <w:t xml:space="preserve">y </w:t>
      </w:r>
      <w:r w:rsidR="00275D15" w:rsidRPr="562CE293">
        <w:rPr>
          <w:rFonts w:ascii="Museo Sans 300" w:hAnsi="Museo Sans 300"/>
          <w:sz w:val="20"/>
          <w:szCs w:val="20"/>
          <w:lang w:eastAsia="es-SV"/>
        </w:rPr>
        <w:t>a</w:t>
      </w:r>
      <w:r w:rsidR="00275D15">
        <w:rPr>
          <w:rFonts w:ascii="Museo Sans 300" w:hAnsi="Museo Sans 300"/>
          <w:sz w:val="20"/>
          <w:szCs w:val="20"/>
          <w:lang w:eastAsia="es-SV"/>
        </w:rPr>
        <w:t xml:space="preserve">l </w:t>
      </w:r>
      <w:r w:rsidR="00362D08">
        <w:rPr>
          <w:rFonts w:ascii="Museo Sans 300" w:hAnsi="Museo Sans 300"/>
          <w:sz w:val="20"/>
          <w:szCs w:val="20"/>
          <w:lang w:eastAsia="es-SV"/>
        </w:rPr>
        <w:t>señor</w:t>
      </w:r>
      <w:r w:rsidR="007D698C">
        <w:rPr>
          <w:rFonts w:ascii="Museo Sans 300" w:hAnsi="Museo Sans 300"/>
          <w:sz w:val="20"/>
          <w:szCs w:val="20"/>
          <w:lang w:eastAsia="es-SV"/>
        </w:rPr>
        <w:t xml:space="preserve"> </w:t>
      </w:r>
      <w:r w:rsidR="0017402E">
        <w:rPr>
          <w:rFonts w:ascii="Museo Sans 300" w:hAnsi="Museo Sans 300"/>
          <w:sz w:val="20"/>
          <w:szCs w:val="20"/>
          <w:lang w:val="es-ES"/>
        </w:rPr>
        <w:t>XXX</w:t>
      </w:r>
      <w:r w:rsidR="00362D08">
        <w:rPr>
          <w:rFonts w:ascii="Museo Sans 300" w:hAnsi="Museo Sans 300"/>
          <w:sz w:val="20"/>
          <w:szCs w:val="20"/>
          <w:lang w:eastAsia="es-SV"/>
        </w:rPr>
        <w:t xml:space="preserve"> </w:t>
      </w:r>
      <w:r w:rsidR="00656E09">
        <w:rPr>
          <w:rFonts w:ascii="Museo Sans 300" w:hAnsi="Museo Sans 300"/>
          <w:sz w:val="20"/>
          <w:szCs w:val="20"/>
        </w:rPr>
        <w:t>los</w:t>
      </w:r>
      <w:r>
        <w:rPr>
          <w:rFonts w:ascii="Museo Sans 300" w:hAnsi="Museo Sans 300"/>
          <w:sz w:val="20"/>
          <w:szCs w:val="20"/>
        </w:rPr>
        <w:t xml:space="preserve"> día</w:t>
      </w:r>
      <w:r w:rsidR="00656E09">
        <w:rPr>
          <w:rFonts w:ascii="Museo Sans 300" w:hAnsi="Museo Sans 300"/>
          <w:sz w:val="20"/>
          <w:szCs w:val="20"/>
        </w:rPr>
        <w:t>s</w:t>
      </w:r>
      <w:r>
        <w:rPr>
          <w:rFonts w:ascii="Museo Sans 300" w:hAnsi="Museo Sans 300"/>
          <w:sz w:val="20"/>
          <w:szCs w:val="20"/>
        </w:rPr>
        <w:t xml:space="preserve"> </w:t>
      </w:r>
      <w:r w:rsidR="00656E09">
        <w:rPr>
          <w:rFonts w:ascii="Museo Sans 300" w:hAnsi="Museo Sans 300"/>
          <w:sz w:val="20"/>
          <w:szCs w:val="20"/>
        </w:rPr>
        <w:t>cuatro y cinco</w:t>
      </w:r>
      <w:r>
        <w:rPr>
          <w:rFonts w:ascii="Museo Sans 300" w:hAnsi="Museo Sans 300"/>
          <w:sz w:val="20"/>
          <w:szCs w:val="20"/>
        </w:rPr>
        <w:t xml:space="preserve"> de </w:t>
      </w:r>
      <w:r w:rsidR="00656E09">
        <w:rPr>
          <w:rFonts w:ascii="Museo Sans 300" w:hAnsi="Museo Sans 300"/>
          <w:sz w:val="20"/>
          <w:szCs w:val="20"/>
        </w:rPr>
        <w:t>marzo</w:t>
      </w:r>
      <w:r>
        <w:rPr>
          <w:rFonts w:ascii="Museo Sans 300" w:hAnsi="Museo Sans 300"/>
          <w:sz w:val="20"/>
          <w:szCs w:val="20"/>
        </w:rPr>
        <w:t xml:space="preserve"> de dos mil veinte</w:t>
      </w:r>
      <w:r w:rsidR="00362D08">
        <w:rPr>
          <w:rFonts w:ascii="Museo Sans 300" w:hAnsi="Museo Sans 300"/>
          <w:sz w:val="20"/>
          <w:szCs w:val="20"/>
          <w:lang w:eastAsia="es-SV"/>
        </w:rPr>
        <w:t>,</w:t>
      </w:r>
      <w:r w:rsidR="00656E09">
        <w:rPr>
          <w:rFonts w:ascii="Museo Sans 300" w:hAnsi="Museo Sans 300"/>
          <w:sz w:val="20"/>
          <w:szCs w:val="20"/>
          <w:lang w:eastAsia="es-SV"/>
        </w:rPr>
        <w:t xml:space="preserve"> respectivamente,</w:t>
      </w:r>
      <w:r w:rsidR="00362D08">
        <w:rPr>
          <w:rFonts w:ascii="Museo Sans 300" w:hAnsi="Museo Sans 300"/>
          <w:sz w:val="20"/>
          <w:szCs w:val="20"/>
          <w:lang w:eastAsia="es-SV"/>
        </w:rPr>
        <w:t xml:space="preserve"> por lo que el</w:t>
      </w:r>
      <w:r w:rsidR="00E95512" w:rsidRPr="562CE293">
        <w:rPr>
          <w:rFonts w:ascii="Museo Sans 300" w:hAnsi="Museo Sans 300"/>
          <w:sz w:val="20"/>
          <w:szCs w:val="20"/>
          <w:lang w:eastAsia="es-SV"/>
        </w:rPr>
        <w:t xml:space="preserve"> plazo para </w:t>
      </w:r>
      <w:r w:rsidR="00E46060" w:rsidRPr="562CE293">
        <w:rPr>
          <w:rFonts w:ascii="Museo Sans 300" w:hAnsi="Museo Sans 300"/>
          <w:sz w:val="20"/>
          <w:szCs w:val="20"/>
          <w:lang w:eastAsia="es-SV"/>
        </w:rPr>
        <w:t xml:space="preserve">que </w:t>
      </w:r>
      <w:r w:rsidR="00E95512" w:rsidRPr="562CE293">
        <w:rPr>
          <w:rFonts w:ascii="Museo Sans 300" w:hAnsi="Museo Sans 300"/>
          <w:sz w:val="20"/>
          <w:szCs w:val="20"/>
          <w:lang w:eastAsia="es-SV"/>
        </w:rPr>
        <w:t xml:space="preserve">la distribuidora </w:t>
      </w:r>
      <w:r w:rsidR="00B9078C" w:rsidRPr="562CE293">
        <w:rPr>
          <w:rFonts w:ascii="Museo Sans 300" w:hAnsi="Museo Sans 300"/>
          <w:sz w:val="20"/>
          <w:szCs w:val="20"/>
          <w:lang w:eastAsia="es-SV"/>
        </w:rPr>
        <w:t>remiti</w:t>
      </w:r>
      <w:r w:rsidR="00E46060" w:rsidRPr="562CE293">
        <w:rPr>
          <w:rFonts w:ascii="Museo Sans 300" w:hAnsi="Museo Sans 300"/>
          <w:sz w:val="20"/>
          <w:szCs w:val="20"/>
          <w:lang w:eastAsia="es-SV"/>
        </w:rPr>
        <w:t>era</w:t>
      </w:r>
      <w:r w:rsidR="00B9078C" w:rsidRPr="562CE293">
        <w:rPr>
          <w:rFonts w:ascii="Museo Sans 300" w:hAnsi="Museo Sans 300"/>
          <w:sz w:val="20"/>
          <w:szCs w:val="20"/>
          <w:lang w:eastAsia="es-SV"/>
        </w:rPr>
        <w:t xml:space="preserve"> lo requerido finalizó el día </w:t>
      </w:r>
      <w:r>
        <w:rPr>
          <w:rFonts w:ascii="Museo Sans 300" w:hAnsi="Museo Sans 300"/>
          <w:sz w:val="20"/>
          <w:szCs w:val="20"/>
          <w:lang w:eastAsia="es-SV"/>
        </w:rPr>
        <w:t>diec</w:t>
      </w:r>
      <w:r w:rsidR="00636F3F">
        <w:rPr>
          <w:rFonts w:ascii="Museo Sans 300" w:hAnsi="Museo Sans 300"/>
          <w:sz w:val="20"/>
          <w:szCs w:val="20"/>
          <w:lang w:eastAsia="es-SV"/>
        </w:rPr>
        <w:t>iocho</w:t>
      </w:r>
      <w:r w:rsidR="00B9078C" w:rsidRPr="562CE293">
        <w:rPr>
          <w:rFonts w:ascii="Museo Sans 300" w:hAnsi="Museo Sans 300"/>
          <w:sz w:val="20"/>
          <w:szCs w:val="20"/>
          <w:lang w:eastAsia="es-SV"/>
        </w:rPr>
        <w:t xml:space="preserve"> del mismo </w:t>
      </w:r>
      <w:r>
        <w:rPr>
          <w:rFonts w:ascii="Museo Sans 300" w:hAnsi="Museo Sans 300"/>
          <w:sz w:val="20"/>
          <w:szCs w:val="20"/>
          <w:lang w:eastAsia="es-SV"/>
        </w:rPr>
        <w:t xml:space="preserve">mes y </w:t>
      </w:r>
      <w:r w:rsidR="00B9078C" w:rsidRPr="562CE293">
        <w:rPr>
          <w:rFonts w:ascii="Museo Sans 300" w:hAnsi="Museo Sans 300"/>
          <w:sz w:val="20"/>
          <w:szCs w:val="20"/>
          <w:lang w:eastAsia="es-SV"/>
        </w:rPr>
        <w:t xml:space="preserve">año. </w:t>
      </w:r>
    </w:p>
    <w:p w14:paraId="487CC18A" w14:textId="77777777" w:rsidR="00B9078C" w:rsidRDefault="00B9078C" w:rsidP="1837F8E0">
      <w:pPr>
        <w:pStyle w:val="Prrafodelista"/>
        <w:spacing w:line="0" w:lineRule="atLeast"/>
        <w:ind w:left="567"/>
        <w:contextualSpacing/>
        <w:jc w:val="both"/>
        <w:rPr>
          <w:rFonts w:ascii="Museo Sans 300" w:hAnsi="Museo Sans 300"/>
          <w:sz w:val="20"/>
          <w:szCs w:val="20"/>
          <w:lang w:val="es-SV"/>
        </w:rPr>
      </w:pPr>
    </w:p>
    <w:p w14:paraId="2BCAA9C0" w14:textId="7DFEC683" w:rsidR="00D9234E" w:rsidRPr="005D59E0"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A817BA">
        <w:rPr>
          <w:rFonts w:ascii="Museo Sans 300" w:hAnsi="Museo Sans 300"/>
          <w:sz w:val="20"/>
          <w:szCs w:val="20"/>
          <w:lang w:val="es-SV"/>
        </w:rPr>
        <w:t>dieciocho</w:t>
      </w:r>
      <w:r w:rsidR="00275D15">
        <w:rPr>
          <w:rFonts w:ascii="Museo Sans 300" w:hAnsi="Museo Sans 300"/>
          <w:sz w:val="20"/>
          <w:szCs w:val="20"/>
          <w:lang w:val="es-SV"/>
        </w:rPr>
        <w:t xml:space="preserve"> </w:t>
      </w:r>
      <w:r w:rsidR="00F0329A">
        <w:rPr>
          <w:rFonts w:ascii="Museo Sans 300" w:hAnsi="Museo Sans 300"/>
          <w:sz w:val="20"/>
          <w:szCs w:val="20"/>
          <w:lang w:val="es-SV"/>
        </w:rPr>
        <w:t xml:space="preserve">de </w:t>
      </w:r>
      <w:r w:rsidR="00636F3F">
        <w:rPr>
          <w:rFonts w:ascii="Museo Sans 300" w:hAnsi="Museo Sans 300"/>
          <w:sz w:val="20"/>
          <w:szCs w:val="20"/>
          <w:lang w:val="es-SV"/>
        </w:rPr>
        <w:t>marzo</w:t>
      </w:r>
      <w:r w:rsidR="00A817BA">
        <w:rPr>
          <w:rFonts w:ascii="Museo Sans 300" w:hAnsi="Museo Sans 300"/>
          <w:sz w:val="20"/>
          <w:szCs w:val="20"/>
          <w:lang w:val="es-SV"/>
        </w:rPr>
        <w:t xml:space="preserve"> del año dos mil veinte</w:t>
      </w:r>
      <w:r>
        <w:rPr>
          <w:rFonts w:ascii="Museo Sans 300" w:hAnsi="Museo Sans 300"/>
          <w:sz w:val="20"/>
          <w:szCs w:val="20"/>
          <w:lang w:val="es-SV"/>
        </w:rPr>
        <w:t>, e</w:t>
      </w:r>
      <w:r w:rsidR="00D9234E" w:rsidRPr="005D59E0">
        <w:rPr>
          <w:rFonts w:ascii="Museo Sans 300" w:hAnsi="Museo Sans 300"/>
          <w:sz w:val="20"/>
          <w:szCs w:val="20"/>
          <w:lang w:val="es-SV"/>
        </w:rPr>
        <w:t xml:space="preserve">l ingeniero </w:t>
      </w:r>
      <w:r w:rsidR="0017402E">
        <w:rPr>
          <w:rFonts w:ascii="Museo Sans 300" w:hAnsi="Museo Sans 300"/>
          <w:sz w:val="20"/>
          <w:szCs w:val="20"/>
          <w:lang w:val="es-SV"/>
        </w:rPr>
        <w:t>XXX</w:t>
      </w:r>
      <w:r w:rsidR="00D9234E" w:rsidRPr="005D59E0">
        <w:rPr>
          <w:rFonts w:ascii="Museo Sans 300" w:hAnsi="Museo Sans 300"/>
          <w:sz w:val="20"/>
          <w:szCs w:val="20"/>
          <w:lang w:val="es-SV"/>
        </w:rPr>
        <w:t>, apoderado especial de la sociedad AES CLESA y C</w:t>
      </w:r>
      <w:r w:rsidR="00E11727">
        <w:rPr>
          <w:rFonts w:ascii="Museo Sans 300" w:hAnsi="Museo Sans 300"/>
          <w:sz w:val="20"/>
          <w:szCs w:val="20"/>
          <w:lang w:val="es-SV"/>
        </w:rPr>
        <w:t>ía., S. en C. de C.V. remitió un informe técnico en el cual especificó que la zona</w:t>
      </w:r>
      <w:r w:rsidR="00D9234E" w:rsidRPr="005D59E0">
        <w:rPr>
          <w:rFonts w:ascii="Museo Sans 300" w:hAnsi="Museo Sans 300"/>
          <w:sz w:val="20"/>
          <w:szCs w:val="20"/>
          <w:lang w:val="es-SV"/>
        </w:rPr>
        <w:t xml:space="preserve"> </w:t>
      </w:r>
      <w:r w:rsidR="0061048B">
        <w:rPr>
          <w:rFonts w:ascii="Museo Sans 300" w:hAnsi="Museo Sans 300"/>
          <w:sz w:val="20"/>
          <w:szCs w:val="20"/>
          <w:lang w:val="es-SV"/>
        </w:rPr>
        <w:t xml:space="preserve">donde se encuentran </w:t>
      </w:r>
      <w:r w:rsidR="00A817BA">
        <w:rPr>
          <w:rFonts w:ascii="Museo Sans 300" w:hAnsi="Museo Sans 300"/>
          <w:sz w:val="20"/>
          <w:szCs w:val="20"/>
          <w:lang w:val="es-SV"/>
        </w:rPr>
        <w:t>el</w:t>
      </w:r>
      <w:r w:rsidR="003645A6" w:rsidRPr="005D59E0">
        <w:rPr>
          <w:rFonts w:ascii="Museo Sans 300" w:hAnsi="Museo Sans 300"/>
          <w:sz w:val="20"/>
          <w:szCs w:val="20"/>
          <w:lang w:val="es-SV"/>
        </w:rPr>
        <w:t xml:space="preserve"> suministro</w:t>
      </w:r>
      <w:r w:rsidR="00F2716F" w:rsidRPr="005D59E0">
        <w:rPr>
          <w:rFonts w:ascii="Museo Sans 300" w:hAnsi="Museo Sans 300"/>
          <w:sz w:val="20"/>
          <w:szCs w:val="20"/>
          <w:lang w:val="es-SV"/>
        </w:rPr>
        <w:t xml:space="preserve"> </w:t>
      </w:r>
      <w:r w:rsidR="00B604A8" w:rsidRPr="005D59E0">
        <w:rPr>
          <w:rFonts w:ascii="Museo Sans 300" w:hAnsi="Museo Sans 300"/>
          <w:sz w:val="20"/>
          <w:szCs w:val="20"/>
          <w:lang w:val="es-SV"/>
        </w:rPr>
        <w:t xml:space="preserve">en cuestión </w:t>
      </w:r>
      <w:r w:rsidR="003645A6" w:rsidRPr="005D59E0">
        <w:rPr>
          <w:rFonts w:ascii="Museo Sans 300" w:hAnsi="Museo Sans 300"/>
          <w:sz w:val="20"/>
          <w:szCs w:val="20"/>
          <w:lang w:val="es-SV"/>
        </w:rPr>
        <w:t>es</w:t>
      </w:r>
      <w:r w:rsidR="00D9234E" w:rsidRPr="005D59E0">
        <w:rPr>
          <w:rFonts w:ascii="Museo Sans 300" w:hAnsi="Museo Sans 300"/>
          <w:sz w:val="20"/>
          <w:szCs w:val="20"/>
          <w:lang w:val="es-SV"/>
        </w:rPr>
        <w:t xml:space="preserve"> </w:t>
      </w:r>
      <w:r w:rsidR="00A817BA">
        <w:rPr>
          <w:rFonts w:ascii="Museo Sans 300" w:hAnsi="Museo Sans 300"/>
          <w:sz w:val="20"/>
          <w:szCs w:val="20"/>
          <w:lang w:val="es-SV"/>
        </w:rPr>
        <w:t xml:space="preserve">una zona de difícil acceso por razones de </w:t>
      </w:r>
      <w:r w:rsidR="00035815">
        <w:rPr>
          <w:rFonts w:ascii="Museo Sans 300" w:hAnsi="Museo Sans 300"/>
          <w:sz w:val="20"/>
          <w:szCs w:val="20"/>
          <w:lang w:val="es-SV"/>
        </w:rPr>
        <w:t>seguridad</w:t>
      </w:r>
      <w:r w:rsidR="7513ADE6" w:rsidRPr="005D59E0">
        <w:rPr>
          <w:rFonts w:ascii="Museo Sans 300" w:hAnsi="Museo Sans 300"/>
          <w:sz w:val="20"/>
          <w:szCs w:val="20"/>
          <w:lang w:val="es-SV"/>
        </w:rPr>
        <w:t>,</w:t>
      </w:r>
      <w:r w:rsidR="00D9234E" w:rsidRPr="005D59E0">
        <w:rPr>
          <w:rFonts w:ascii="Museo Sans 300" w:hAnsi="Museo Sans 300"/>
          <w:sz w:val="20"/>
          <w:szCs w:val="20"/>
          <w:lang w:val="es-SV"/>
        </w:rPr>
        <w:t xml:space="preserve"> siendo imposible realizar las lecturas mensuales en</w:t>
      </w:r>
      <w:r w:rsidR="00035815">
        <w:rPr>
          <w:rFonts w:ascii="Museo Sans 300" w:hAnsi="Museo Sans 300"/>
          <w:sz w:val="20"/>
          <w:szCs w:val="20"/>
          <w:lang w:val="es-SV"/>
        </w:rPr>
        <w:t xml:space="preserve"> el</w:t>
      </w:r>
      <w:r w:rsidR="0061048B">
        <w:rPr>
          <w:rFonts w:ascii="Museo Sans 300" w:hAnsi="Museo Sans 300"/>
          <w:sz w:val="20"/>
          <w:szCs w:val="20"/>
          <w:lang w:val="es-SV"/>
        </w:rPr>
        <w:t xml:space="preserve"> </w:t>
      </w:r>
      <w:r w:rsidR="00D9234E" w:rsidRPr="005D59E0">
        <w:rPr>
          <w:rFonts w:ascii="Museo Sans 300" w:hAnsi="Museo Sans 300"/>
          <w:sz w:val="20"/>
          <w:szCs w:val="20"/>
          <w:lang w:val="es-SV"/>
        </w:rPr>
        <w:t>equipo de medición.</w:t>
      </w:r>
    </w:p>
    <w:p w14:paraId="0E27B00A" w14:textId="77777777"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p>
    <w:p w14:paraId="1C521B15" w14:textId="0E9E7A44"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r w:rsidRPr="005D59E0">
        <w:rPr>
          <w:rFonts w:ascii="Museo Sans 300" w:hAnsi="Museo Sans 300"/>
          <w:bCs/>
          <w:sz w:val="20"/>
          <w:szCs w:val="20"/>
          <w:lang w:val="es-SV"/>
        </w:rPr>
        <w:t xml:space="preserve">Por su parte, </w:t>
      </w:r>
      <w:r w:rsidR="00625F46" w:rsidRPr="005D59E0">
        <w:rPr>
          <w:rFonts w:ascii="Museo Sans 300" w:hAnsi="Museo Sans 300"/>
          <w:sz w:val="20"/>
          <w:szCs w:val="20"/>
        </w:rPr>
        <w:t>m</w:t>
      </w:r>
      <w:r w:rsidR="00E11727">
        <w:rPr>
          <w:rFonts w:ascii="Museo Sans 300" w:hAnsi="Museo Sans 300"/>
          <w:sz w:val="20"/>
          <w:szCs w:val="20"/>
        </w:rPr>
        <w:t>ediante memorando</w:t>
      </w:r>
      <w:r w:rsidR="007416BB">
        <w:rPr>
          <w:rFonts w:ascii="Museo Sans 300" w:hAnsi="Museo Sans 300"/>
          <w:sz w:val="20"/>
          <w:szCs w:val="20"/>
        </w:rPr>
        <w:t xml:space="preserve"> </w:t>
      </w:r>
      <w:r w:rsidR="00231340">
        <w:rPr>
          <w:rFonts w:ascii="Museo Sans 300" w:hAnsi="Museo Sans 300"/>
          <w:sz w:val="20"/>
          <w:szCs w:val="20"/>
        </w:rPr>
        <w:t xml:space="preserve">N.° </w:t>
      </w:r>
      <w:r w:rsidR="00636F3F">
        <w:rPr>
          <w:rFonts w:ascii="Museo Sans 300" w:hAnsi="Museo Sans 300"/>
          <w:sz w:val="20"/>
          <w:szCs w:val="20"/>
        </w:rPr>
        <w:t>FA/CAU-239/2020</w:t>
      </w:r>
      <w:r w:rsidR="00E56C6F">
        <w:rPr>
          <w:rFonts w:ascii="Museo Sans 300" w:hAnsi="Museo Sans 300"/>
          <w:sz w:val="20"/>
          <w:szCs w:val="20"/>
        </w:rPr>
        <w:t>,</w:t>
      </w:r>
      <w:r w:rsidR="00085456">
        <w:rPr>
          <w:rFonts w:ascii="Museo Sans 300" w:hAnsi="Museo Sans 300"/>
          <w:sz w:val="20"/>
          <w:szCs w:val="20"/>
        </w:rPr>
        <w:t xml:space="preserve"> de fecha</w:t>
      </w:r>
      <w:r w:rsidR="00F0329A">
        <w:rPr>
          <w:rFonts w:ascii="Museo Sans 300" w:hAnsi="Museo Sans 300"/>
          <w:bCs/>
          <w:sz w:val="20"/>
          <w:szCs w:val="20"/>
          <w:lang w:val="es-SV"/>
        </w:rPr>
        <w:t xml:space="preserve"> </w:t>
      </w:r>
      <w:r w:rsidR="00231340">
        <w:rPr>
          <w:rFonts w:ascii="Museo Sans 300" w:hAnsi="Museo Sans 300"/>
          <w:bCs/>
          <w:sz w:val="20"/>
          <w:szCs w:val="20"/>
          <w:lang w:val="es-SV"/>
        </w:rPr>
        <w:t>veinti</w:t>
      </w:r>
      <w:r w:rsidR="00636F3F">
        <w:rPr>
          <w:rFonts w:ascii="Museo Sans 300" w:hAnsi="Museo Sans 300"/>
          <w:bCs/>
          <w:sz w:val="20"/>
          <w:szCs w:val="20"/>
          <w:lang w:val="es-SV"/>
        </w:rPr>
        <w:t>trés</w:t>
      </w:r>
      <w:r w:rsidR="007D698C">
        <w:rPr>
          <w:rFonts w:ascii="Museo Sans 300" w:hAnsi="Museo Sans 300"/>
          <w:bCs/>
          <w:sz w:val="20"/>
          <w:szCs w:val="20"/>
          <w:lang w:val="es-SV"/>
        </w:rPr>
        <w:t xml:space="preserve"> </w:t>
      </w:r>
      <w:r w:rsidR="00F0329A">
        <w:rPr>
          <w:rFonts w:ascii="Museo Sans 300" w:hAnsi="Museo Sans 300"/>
          <w:bCs/>
          <w:sz w:val="20"/>
          <w:szCs w:val="20"/>
          <w:lang w:val="es-SV"/>
        </w:rPr>
        <w:t xml:space="preserve">de </w:t>
      </w:r>
      <w:r w:rsidR="00636F3F">
        <w:rPr>
          <w:rFonts w:ascii="Museo Sans 300" w:hAnsi="Museo Sans 300"/>
          <w:bCs/>
          <w:sz w:val="20"/>
          <w:szCs w:val="20"/>
          <w:lang w:val="es-SV"/>
        </w:rPr>
        <w:t>marzo</w:t>
      </w:r>
      <w:r w:rsidR="00F0329A">
        <w:rPr>
          <w:rFonts w:ascii="Museo Sans 300" w:hAnsi="Museo Sans 300"/>
          <w:bCs/>
          <w:sz w:val="20"/>
          <w:szCs w:val="20"/>
          <w:lang w:val="es-SV"/>
        </w:rPr>
        <w:t xml:space="preserve"> del año</w:t>
      </w:r>
      <w:r w:rsidR="0061048B">
        <w:rPr>
          <w:rFonts w:ascii="Museo Sans 300" w:hAnsi="Museo Sans 300"/>
          <w:bCs/>
          <w:sz w:val="20"/>
          <w:szCs w:val="20"/>
          <w:lang w:val="es-SV"/>
        </w:rPr>
        <w:t xml:space="preserve"> </w:t>
      </w:r>
      <w:r w:rsidR="00AC61C4">
        <w:rPr>
          <w:rFonts w:ascii="Museo Sans 300" w:hAnsi="Museo Sans 300"/>
          <w:bCs/>
          <w:sz w:val="20"/>
          <w:szCs w:val="20"/>
          <w:lang w:val="es-SV"/>
        </w:rPr>
        <w:t>dos mil veinte</w:t>
      </w:r>
      <w:r w:rsidR="00F0329A">
        <w:rPr>
          <w:rFonts w:ascii="Museo Sans 300" w:hAnsi="Museo Sans 300"/>
          <w:bCs/>
          <w:sz w:val="20"/>
          <w:szCs w:val="20"/>
          <w:lang w:val="es-SV"/>
        </w:rPr>
        <w:t>, el</w:t>
      </w:r>
      <w:r w:rsidR="00F0329A" w:rsidRPr="005D59E0">
        <w:rPr>
          <w:rFonts w:ascii="Museo Sans 300" w:hAnsi="Museo Sans 300"/>
          <w:bCs/>
          <w:sz w:val="20"/>
          <w:szCs w:val="20"/>
          <w:lang w:val="es-SV"/>
        </w:rPr>
        <w:t xml:space="preserve"> CAU informó </w:t>
      </w:r>
      <w:r w:rsidRPr="005D59E0">
        <w:rPr>
          <w:rFonts w:ascii="Museo Sans 300" w:hAnsi="Museo Sans 300"/>
          <w:bCs/>
          <w:sz w:val="20"/>
          <w:szCs w:val="20"/>
          <w:lang w:val="es-SV"/>
        </w:rPr>
        <w:t>que no e</w:t>
      </w:r>
      <w:r w:rsidR="00122B6D" w:rsidRPr="005D59E0">
        <w:rPr>
          <w:rFonts w:ascii="Museo Sans 300" w:hAnsi="Museo Sans 300"/>
          <w:bCs/>
          <w:sz w:val="20"/>
          <w:szCs w:val="20"/>
          <w:lang w:val="es-SV"/>
        </w:rPr>
        <w:t>ra</w:t>
      </w:r>
      <w:r w:rsidRPr="005D59E0">
        <w:rPr>
          <w:rFonts w:ascii="Museo Sans 300" w:hAnsi="Museo Sans 300"/>
          <w:bCs/>
          <w:sz w:val="20"/>
          <w:szCs w:val="20"/>
          <w:lang w:val="es-SV"/>
        </w:rPr>
        <w:t xml:space="preserve"> necesaria la intervención de un perito externo para la resolución de</w:t>
      </w:r>
      <w:r w:rsidR="00B5148F" w:rsidRPr="005D59E0">
        <w:rPr>
          <w:rFonts w:ascii="Museo Sans 300" w:hAnsi="Museo Sans 300"/>
          <w:bCs/>
          <w:sz w:val="20"/>
          <w:szCs w:val="20"/>
          <w:lang w:val="es-SV"/>
        </w:rPr>
        <w:t>l</w:t>
      </w:r>
      <w:r w:rsidRPr="005D59E0">
        <w:rPr>
          <w:rFonts w:ascii="Museo Sans 300" w:hAnsi="Museo Sans 300"/>
          <w:bCs/>
          <w:sz w:val="20"/>
          <w:szCs w:val="20"/>
          <w:lang w:val="es-SV"/>
        </w:rPr>
        <w:t xml:space="preserve"> reclamo.</w:t>
      </w:r>
    </w:p>
    <w:p w14:paraId="4BCC6AC6" w14:textId="551DCB52" w:rsidR="00131358" w:rsidRPr="00131358" w:rsidRDefault="00131358" w:rsidP="00636F3F">
      <w:pPr>
        <w:spacing w:after="0" w:line="240" w:lineRule="auto"/>
        <w:rPr>
          <w:rFonts w:ascii="Museo Sans 300" w:hAnsi="Museo Sans 300"/>
          <w:sz w:val="20"/>
          <w:szCs w:val="20"/>
          <w:lang w:val="es-ES_tradnl"/>
        </w:rPr>
      </w:pPr>
    </w:p>
    <w:p w14:paraId="70E77C10" w14:textId="77777777" w:rsidR="003A6052" w:rsidRPr="00153D3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153D3B">
        <w:rPr>
          <w:rFonts w:ascii="Museo Sans 500" w:eastAsia="Times New Roman" w:hAnsi="Museo Sans 500"/>
          <w:b/>
          <w:sz w:val="20"/>
          <w:szCs w:val="20"/>
          <w:lang w:val="es-ES" w:eastAsia="es-ES"/>
        </w:rPr>
        <w:t>Informe técnico</w:t>
      </w:r>
    </w:p>
    <w:p w14:paraId="3DEEC669"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02007653" w14:textId="46AE9134" w:rsidR="00D17E4E" w:rsidRDefault="00D17E4E" w:rsidP="00C32DD7">
      <w:pPr>
        <w:tabs>
          <w:tab w:val="left" w:pos="567"/>
        </w:tabs>
        <w:spacing w:after="0" w:line="240" w:lineRule="auto"/>
        <w:ind w:left="567"/>
        <w:contextualSpacing/>
        <w:jc w:val="both"/>
        <w:rPr>
          <w:rFonts w:ascii="Museo Sans 300" w:eastAsia="Times New Roman" w:hAnsi="Museo Sans 300"/>
          <w:sz w:val="20"/>
          <w:szCs w:val="20"/>
          <w:lang w:eastAsia="es-ES"/>
        </w:rPr>
      </w:pPr>
      <w:r>
        <w:rPr>
          <w:rFonts w:ascii="Museo Sans 300" w:hAnsi="Museo Sans 300"/>
          <w:sz w:val="20"/>
          <w:szCs w:val="20"/>
        </w:rPr>
        <w:t>Mediante el acuerdo N.° E-</w:t>
      </w:r>
      <w:r w:rsidR="00D9746F">
        <w:rPr>
          <w:rFonts w:ascii="Museo Sans 300" w:hAnsi="Museo Sans 300"/>
          <w:sz w:val="20"/>
          <w:szCs w:val="20"/>
        </w:rPr>
        <w:t>522</w:t>
      </w:r>
      <w:r>
        <w:rPr>
          <w:rFonts w:ascii="Museo Sans 300" w:hAnsi="Museo Sans 300"/>
          <w:sz w:val="20"/>
          <w:szCs w:val="20"/>
        </w:rPr>
        <w:t>-202</w:t>
      </w:r>
      <w:r w:rsidR="00D9746F">
        <w:rPr>
          <w:rFonts w:ascii="Museo Sans 300" w:hAnsi="Museo Sans 300"/>
          <w:sz w:val="20"/>
          <w:szCs w:val="20"/>
        </w:rPr>
        <w:t>0</w:t>
      </w:r>
      <w:r>
        <w:rPr>
          <w:rFonts w:ascii="Museo Sans 300" w:hAnsi="Museo Sans 300"/>
          <w:sz w:val="20"/>
          <w:szCs w:val="20"/>
        </w:rPr>
        <w:t>-CAU, de fecha </w:t>
      </w:r>
      <w:r w:rsidR="00D9746F">
        <w:rPr>
          <w:rFonts w:ascii="Museo Sans 300" w:hAnsi="Museo Sans 300"/>
          <w:sz w:val="20"/>
          <w:szCs w:val="20"/>
        </w:rPr>
        <w:t>catorce</w:t>
      </w:r>
      <w:r w:rsidR="00726CE5" w:rsidRPr="00726CE5">
        <w:rPr>
          <w:rFonts w:ascii="Museo Sans 300" w:hAnsi="Museo Sans 300"/>
          <w:sz w:val="20"/>
          <w:szCs w:val="20"/>
        </w:rPr>
        <w:t xml:space="preserve"> de </w:t>
      </w:r>
      <w:r w:rsidR="00D9746F">
        <w:rPr>
          <w:rFonts w:ascii="Museo Sans 300" w:hAnsi="Museo Sans 300"/>
          <w:sz w:val="20"/>
          <w:szCs w:val="20"/>
        </w:rPr>
        <w:t>abril</w:t>
      </w:r>
      <w:r w:rsidR="00726CE5" w:rsidRPr="00726CE5">
        <w:rPr>
          <w:rFonts w:ascii="Museo Sans 300" w:hAnsi="Museo Sans 300"/>
          <w:sz w:val="20"/>
          <w:szCs w:val="20"/>
        </w:rPr>
        <w:t xml:space="preserve"> de</w:t>
      </w:r>
      <w:r w:rsidR="00D9746F">
        <w:rPr>
          <w:rFonts w:ascii="Museo Sans 300" w:hAnsi="Museo Sans 300"/>
          <w:sz w:val="20"/>
          <w:szCs w:val="20"/>
        </w:rPr>
        <w:t xml:space="preserve"> dos mil veinte</w:t>
      </w:r>
      <w:r w:rsidR="00726CE5" w:rsidRPr="00726CE5">
        <w:rPr>
          <w:rFonts w:ascii="Museo Sans 300" w:hAnsi="Museo Sans 300"/>
          <w:sz w:val="20"/>
          <w:szCs w:val="20"/>
        </w:rPr>
        <w:t xml:space="preserve">, se comisionó </w:t>
      </w:r>
      <w:r>
        <w:rPr>
          <w:rFonts w:ascii="Museo Sans 300" w:hAnsi="Museo Sans 300"/>
          <w:sz w:val="20"/>
          <w:szCs w:val="20"/>
        </w:rPr>
        <w:t>a la Gerencia de Electricidad de esta Superintendencia p</w:t>
      </w:r>
      <w:r w:rsidR="00726CE5" w:rsidRPr="00726CE5">
        <w:rPr>
          <w:rFonts w:ascii="Museo Sans 300" w:hAnsi="Museo Sans 300"/>
          <w:sz w:val="20"/>
          <w:szCs w:val="20"/>
        </w:rPr>
        <w:t>ara que rindiera un informe técnico en el cual estableciera</w:t>
      </w:r>
      <w:r>
        <w:rPr>
          <w:rFonts w:ascii="Museo Sans 300" w:hAnsi="Museo Sans 300"/>
          <w:sz w:val="20"/>
          <w:szCs w:val="20"/>
        </w:rPr>
        <w:t xml:space="preserve"> </w:t>
      </w:r>
      <w:r w:rsidR="003715A1">
        <w:rPr>
          <w:rFonts w:ascii="Museo Sans 300" w:hAnsi="Museo Sans 300"/>
          <w:sz w:val="20"/>
          <w:szCs w:val="20"/>
        </w:rPr>
        <w:t xml:space="preserve">si los argumentos y pruebas presentados por la sociedad </w:t>
      </w:r>
      <w:r w:rsidR="003715A1" w:rsidRPr="562CE293">
        <w:rPr>
          <w:rFonts w:ascii="Museo Sans 300" w:hAnsi="Museo Sans 300"/>
          <w:sz w:val="20"/>
          <w:szCs w:val="20"/>
        </w:rPr>
        <w:t>AES CLESA y Cía., S. en C. de C.V</w:t>
      </w:r>
      <w:r w:rsidR="00726CE5" w:rsidRPr="00726CE5">
        <w:rPr>
          <w:rFonts w:ascii="Museo Sans 300" w:hAnsi="Museo Sans 300"/>
          <w:sz w:val="20"/>
          <w:szCs w:val="20"/>
        </w:rPr>
        <w:t>.</w:t>
      </w:r>
      <w:r w:rsidR="003715A1">
        <w:rPr>
          <w:rFonts w:ascii="Museo Sans 300" w:hAnsi="Museo Sans 300"/>
          <w:sz w:val="20"/>
          <w:szCs w:val="20"/>
        </w:rPr>
        <w:t>, para comprobar la existencia de un alto riesgo delincuencial de la zona donde se encuentra instalado el suministro identificado con el NIC</w:t>
      </w:r>
      <w:r w:rsidR="00D9746F">
        <w:rPr>
          <w:rFonts w:ascii="Museo Sans 300" w:hAnsi="Museo Sans 300"/>
          <w:sz w:val="20"/>
          <w:szCs w:val="20"/>
        </w:rPr>
        <w:t xml:space="preserve"> </w:t>
      </w:r>
      <w:r w:rsidR="0017402E">
        <w:rPr>
          <w:rFonts w:ascii="Museo Sans 300" w:hAnsi="Museo Sans 300"/>
          <w:sz w:val="20"/>
          <w:szCs w:val="20"/>
        </w:rPr>
        <w:t>XXX</w:t>
      </w:r>
      <w:r w:rsidR="003715A1">
        <w:rPr>
          <w:rFonts w:ascii="Museo Sans 300" w:eastAsia="Times New Roman" w:hAnsi="Museo Sans 300"/>
          <w:sz w:val="20"/>
          <w:szCs w:val="20"/>
          <w:lang w:eastAsia="es-ES"/>
        </w:rPr>
        <w:t xml:space="preserve">, constituyen una causal de fuerza mayor. </w:t>
      </w:r>
    </w:p>
    <w:p w14:paraId="4E0FFD58" w14:textId="77777777" w:rsidR="003715A1" w:rsidRDefault="003715A1" w:rsidP="00C32DD7">
      <w:pPr>
        <w:tabs>
          <w:tab w:val="left" w:pos="567"/>
        </w:tabs>
        <w:spacing w:after="0" w:line="240" w:lineRule="auto"/>
        <w:ind w:left="567"/>
        <w:contextualSpacing/>
        <w:jc w:val="both"/>
        <w:rPr>
          <w:rFonts w:ascii="Museo Sans 300" w:hAnsi="Museo Sans 300"/>
          <w:sz w:val="20"/>
          <w:szCs w:val="20"/>
        </w:rPr>
      </w:pPr>
    </w:p>
    <w:p w14:paraId="0E42A1B3" w14:textId="02CA2015" w:rsidR="00726CE5" w:rsidRDefault="00D17E4E" w:rsidP="00C32DD7">
      <w:pPr>
        <w:tabs>
          <w:tab w:val="left" w:pos="567"/>
        </w:tabs>
        <w:spacing w:after="0" w:line="240" w:lineRule="auto"/>
        <w:ind w:left="567"/>
        <w:contextualSpacing/>
        <w:jc w:val="both"/>
        <w:rPr>
          <w:rFonts w:ascii="Museo Sans 300" w:hAnsi="Museo Sans 300"/>
          <w:sz w:val="20"/>
          <w:szCs w:val="20"/>
        </w:rPr>
      </w:pPr>
      <w:r w:rsidRPr="00D17E4E">
        <w:rPr>
          <w:rFonts w:ascii="Museo Sans 300" w:hAnsi="Museo Sans 300"/>
          <w:sz w:val="20"/>
          <w:szCs w:val="20"/>
        </w:rPr>
        <w:t>El citado acuerdo fue notificado a la distribuidora y al usuario </w:t>
      </w:r>
      <w:r w:rsidR="003715A1">
        <w:rPr>
          <w:rFonts w:ascii="Museo Sans 300" w:hAnsi="Museo Sans 300"/>
          <w:sz w:val="20"/>
          <w:szCs w:val="20"/>
        </w:rPr>
        <w:t xml:space="preserve">los </w:t>
      </w:r>
      <w:r w:rsidRPr="00D17E4E">
        <w:rPr>
          <w:rFonts w:ascii="Museo Sans 300" w:hAnsi="Museo Sans 300"/>
          <w:sz w:val="20"/>
          <w:szCs w:val="20"/>
        </w:rPr>
        <w:t>día</w:t>
      </w:r>
      <w:r w:rsidR="003715A1">
        <w:rPr>
          <w:rFonts w:ascii="Museo Sans 300" w:hAnsi="Museo Sans 300"/>
          <w:sz w:val="20"/>
          <w:szCs w:val="20"/>
        </w:rPr>
        <w:t xml:space="preserve">s </w:t>
      </w:r>
      <w:r w:rsidR="00D9746F">
        <w:rPr>
          <w:rFonts w:ascii="Museo Sans 300" w:hAnsi="Museo Sans 300"/>
          <w:sz w:val="20"/>
          <w:szCs w:val="20"/>
        </w:rPr>
        <w:t>veintidós de abril y veinticinco de mayo de ese año</w:t>
      </w:r>
      <w:r w:rsidR="003715A1">
        <w:rPr>
          <w:rFonts w:ascii="Museo Sans 300" w:hAnsi="Museo Sans 300"/>
          <w:sz w:val="20"/>
          <w:szCs w:val="20"/>
        </w:rPr>
        <w:t>, respectivamente.</w:t>
      </w:r>
    </w:p>
    <w:p w14:paraId="56AD3322" w14:textId="77777777" w:rsidR="00726CE5" w:rsidRDefault="00726CE5" w:rsidP="00C32DD7">
      <w:pPr>
        <w:tabs>
          <w:tab w:val="left" w:pos="567"/>
        </w:tabs>
        <w:spacing w:after="0" w:line="240" w:lineRule="auto"/>
        <w:ind w:left="567"/>
        <w:contextualSpacing/>
        <w:jc w:val="both"/>
        <w:rPr>
          <w:rFonts w:ascii="Museo Sans 300" w:hAnsi="Museo Sans 300"/>
          <w:sz w:val="20"/>
          <w:szCs w:val="20"/>
        </w:rPr>
      </w:pPr>
    </w:p>
    <w:p w14:paraId="4C55E12A" w14:textId="77777777" w:rsidR="00812B06" w:rsidRDefault="00812B06" w:rsidP="00C32DD7">
      <w:pPr>
        <w:tabs>
          <w:tab w:val="left" w:pos="567"/>
        </w:tabs>
        <w:spacing w:after="0" w:line="240" w:lineRule="auto"/>
        <w:ind w:left="567"/>
        <w:contextualSpacing/>
        <w:jc w:val="both"/>
        <w:rPr>
          <w:rFonts w:ascii="Museo Sans 300" w:hAnsi="Museo Sans 300"/>
          <w:sz w:val="20"/>
          <w:szCs w:val="20"/>
        </w:rPr>
      </w:pPr>
    </w:p>
    <w:p w14:paraId="3F08BD22" w14:textId="0E76E321" w:rsidR="003A6052" w:rsidRPr="00F12B17" w:rsidRDefault="00C76AE7"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r>
        <w:rPr>
          <w:rFonts w:ascii="Museo Sans 300" w:hAnsi="Museo Sans 300"/>
          <w:sz w:val="20"/>
          <w:szCs w:val="20"/>
        </w:rPr>
        <w:lastRenderedPageBreak/>
        <w:t>M</w:t>
      </w:r>
      <w:r w:rsidR="002A1EF7" w:rsidRPr="562CE293">
        <w:rPr>
          <w:rFonts w:ascii="Museo Sans 300" w:hAnsi="Museo Sans 300"/>
          <w:sz w:val="20"/>
          <w:szCs w:val="20"/>
        </w:rPr>
        <w:t xml:space="preserve">ediante </w:t>
      </w:r>
      <w:r w:rsidR="00537456" w:rsidRPr="562CE293">
        <w:rPr>
          <w:rFonts w:ascii="Museo Sans 300" w:hAnsi="Museo Sans 300"/>
          <w:sz w:val="20"/>
          <w:szCs w:val="20"/>
        </w:rPr>
        <w:t>informe técnico</w:t>
      </w:r>
      <w:r w:rsidR="0078371E" w:rsidRPr="562CE293">
        <w:rPr>
          <w:rFonts w:ascii="Museo Sans 300" w:hAnsi="Museo Sans 300"/>
          <w:sz w:val="20"/>
          <w:szCs w:val="20"/>
        </w:rPr>
        <w:t xml:space="preserve"> N.° </w:t>
      </w:r>
      <w:r w:rsidR="00153D3B" w:rsidRPr="562CE293">
        <w:rPr>
          <w:rFonts w:ascii="Museo Sans 300" w:hAnsi="Museo Sans 300"/>
          <w:sz w:val="20"/>
          <w:szCs w:val="20"/>
        </w:rPr>
        <w:t>IT-NT-202</w:t>
      </w:r>
      <w:r w:rsidR="00D9746F">
        <w:rPr>
          <w:rFonts w:ascii="Museo Sans 300" w:hAnsi="Museo Sans 300"/>
          <w:sz w:val="20"/>
          <w:szCs w:val="20"/>
        </w:rPr>
        <w:t>0</w:t>
      </w:r>
      <w:r w:rsidR="00153D3B" w:rsidRPr="562CE293">
        <w:rPr>
          <w:rFonts w:ascii="Museo Sans 300" w:hAnsi="Museo Sans 300"/>
          <w:sz w:val="20"/>
          <w:szCs w:val="20"/>
        </w:rPr>
        <w:t>-</w:t>
      </w:r>
      <w:r w:rsidR="00D9746F">
        <w:rPr>
          <w:rFonts w:ascii="Museo Sans 300" w:hAnsi="Museo Sans 300"/>
          <w:sz w:val="20"/>
          <w:szCs w:val="20"/>
        </w:rPr>
        <w:t>10</w:t>
      </w:r>
      <w:r w:rsidR="00672418">
        <w:rPr>
          <w:rFonts w:ascii="Museo Sans 300" w:hAnsi="Museo Sans 300"/>
          <w:sz w:val="20"/>
          <w:szCs w:val="20"/>
        </w:rPr>
        <w:t>-</w:t>
      </w:r>
      <w:r w:rsidR="00D9746F">
        <w:rPr>
          <w:rFonts w:ascii="Museo Sans 300" w:hAnsi="Museo Sans 300"/>
          <w:sz w:val="20"/>
          <w:szCs w:val="20"/>
        </w:rPr>
        <w:t>115</w:t>
      </w:r>
      <w:r w:rsidR="002E430C" w:rsidRPr="562CE293">
        <w:rPr>
          <w:rFonts w:ascii="Museo Sans 300" w:hAnsi="Museo Sans 300"/>
          <w:sz w:val="20"/>
          <w:szCs w:val="20"/>
        </w:rPr>
        <w:t>,</w:t>
      </w:r>
      <w:r w:rsidR="003A6052" w:rsidRPr="562CE293">
        <w:rPr>
          <w:rFonts w:ascii="Museo Sans 300" w:hAnsi="Museo Sans 300"/>
          <w:sz w:val="20"/>
          <w:szCs w:val="20"/>
        </w:rPr>
        <w:t xml:space="preserve"> </w:t>
      </w:r>
      <w:r w:rsidR="00623C5C" w:rsidRPr="562CE293">
        <w:rPr>
          <w:rFonts w:ascii="Museo Sans 300" w:hAnsi="Museo Sans 300"/>
          <w:sz w:val="20"/>
          <w:szCs w:val="20"/>
        </w:rPr>
        <w:t xml:space="preserve">de fecha </w:t>
      </w:r>
      <w:r w:rsidR="00776031">
        <w:rPr>
          <w:rFonts w:ascii="Museo Sans 300" w:hAnsi="Museo Sans 300"/>
          <w:sz w:val="20"/>
          <w:szCs w:val="20"/>
        </w:rPr>
        <w:t>veinte</w:t>
      </w:r>
      <w:r w:rsidR="007F28B2">
        <w:rPr>
          <w:rFonts w:ascii="Museo Sans 300" w:hAnsi="Museo Sans 300"/>
          <w:sz w:val="20"/>
          <w:szCs w:val="20"/>
        </w:rPr>
        <w:t xml:space="preserve"> de </w:t>
      </w:r>
      <w:r w:rsidR="00776031">
        <w:rPr>
          <w:rFonts w:ascii="Museo Sans 300" w:hAnsi="Museo Sans 300"/>
          <w:sz w:val="20"/>
          <w:szCs w:val="20"/>
        </w:rPr>
        <w:t>octubre</w:t>
      </w:r>
      <w:r w:rsidR="00672418" w:rsidRPr="00672418">
        <w:rPr>
          <w:rFonts w:ascii="Museo Sans 300" w:hAnsi="Museo Sans 300"/>
          <w:sz w:val="20"/>
          <w:szCs w:val="20"/>
        </w:rPr>
        <w:t> </w:t>
      </w:r>
      <w:r w:rsidR="00623C5C" w:rsidRPr="562CE293">
        <w:rPr>
          <w:rFonts w:ascii="Museo Sans 300" w:hAnsi="Museo Sans 300"/>
          <w:sz w:val="20"/>
          <w:szCs w:val="20"/>
        </w:rPr>
        <w:t>de</w:t>
      </w:r>
      <w:r w:rsidR="00776031">
        <w:rPr>
          <w:rFonts w:ascii="Museo Sans 300" w:hAnsi="Museo Sans 300"/>
          <w:sz w:val="20"/>
          <w:szCs w:val="20"/>
        </w:rPr>
        <w:t xml:space="preserve"> dos mil veinte</w:t>
      </w:r>
      <w:r w:rsidR="00623C5C">
        <w:rPr>
          <w:rFonts w:ascii="Museo Sans 300" w:hAnsi="Museo Sans 300"/>
          <w:sz w:val="20"/>
          <w:szCs w:val="20"/>
        </w:rPr>
        <w:t>,</w:t>
      </w:r>
      <w:r w:rsidR="003A6052" w:rsidRPr="562CE293">
        <w:rPr>
          <w:rFonts w:ascii="Museo Sans 300" w:hAnsi="Museo Sans 300"/>
          <w:sz w:val="20"/>
          <w:szCs w:val="20"/>
        </w:rPr>
        <w:t xml:space="preserve"> </w:t>
      </w:r>
      <w:r>
        <w:rPr>
          <w:rFonts w:ascii="Museo Sans 300" w:hAnsi="Museo Sans 300"/>
          <w:sz w:val="20"/>
          <w:szCs w:val="20"/>
        </w:rPr>
        <w:t xml:space="preserve">la Gerencia de Electricidad </w:t>
      </w:r>
      <w:r w:rsidR="003A6052" w:rsidRPr="562CE293">
        <w:rPr>
          <w:rFonts w:ascii="Museo Sans 300" w:hAnsi="Museo Sans 300"/>
          <w:sz w:val="20"/>
          <w:szCs w:val="20"/>
        </w:rPr>
        <w:t>dictamin</w:t>
      </w:r>
      <w:r w:rsidR="007B4100" w:rsidRPr="562CE293">
        <w:rPr>
          <w:rFonts w:ascii="Museo Sans 300" w:hAnsi="Museo Sans 300"/>
          <w:sz w:val="20"/>
          <w:szCs w:val="20"/>
        </w:rPr>
        <w:t>ó</w:t>
      </w:r>
      <w:r w:rsidR="003A6052" w:rsidRPr="562CE293">
        <w:rPr>
          <w:rFonts w:ascii="Museo Sans 300" w:hAnsi="Museo Sans 300"/>
          <w:sz w:val="20"/>
          <w:szCs w:val="20"/>
        </w:rPr>
        <w:t xml:space="preserve"> que el argumento </w:t>
      </w:r>
      <w:r w:rsidR="00D73ADE">
        <w:rPr>
          <w:rFonts w:ascii="Museo Sans 300" w:hAnsi="Museo Sans 300"/>
          <w:sz w:val="20"/>
          <w:szCs w:val="20"/>
        </w:rPr>
        <w:t xml:space="preserve">de </w:t>
      </w:r>
      <w:r w:rsidR="003A6052" w:rsidRPr="562CE293">
        <w:rPr>
          <w:rFonts w:ascii="Museo Sans 300" w:hAnsi="Museo Sans 300"/>
          <w:sz w:val="20"/>
          <w:szCs w:val="20"/>
        </w:rPr>
        <w:t xml:space="preserve">la sociedad </w:t>
      </w:r>
      <w:r w:rsidR="0078371E" w:rsidRPr="562CE293">
        <w:rPr>
          <w:rFonts w:ascii="Museo Sans 300" w:hAnsi="Museo Sans 300"/>
          <w:sz w:val="20"/>
          <w:szCs w:val="20"/>
        </w:rPr>
        <w:t>AES CLESA y Cía., S. en C. de C.V.</w:t>
      </w:r>
      <w:r w:rsidR="007F28B2">
        <w:rPr>
          <w:rFonts w:ascii="Museo Sans 300" w:hAnsi="Museo Sans 300"/>
          <w:sz w:val="20"/>
          <w:szCs w:val="20"/>
        </w:rPr>
        <w:t>,</w:t>
      </w:r>
      <w:r w:rsidR="0078371E" w:rsidRPr="562CE293">
        <w:rPr>
          <w:rFonts w:ascii="Museo Sans 300" w:hAnsi="Museo Sans 300"/>
          <w:sz w:val="20"/>
          <w:szCs w:val="20"/>
        </w:rPr>
        <w:t xml:space="preserve"> relacionado con el alto riesgo delincuencial en </w:t>
      </w:r>
      <w:r w:rsidR="00537456" w:rsidRPr="562CE293">
        <w:rPr>
          <w:rFonts w:ascii="Museo Sans 300" w:hAnsi="Museo Sans 300"/>
          <w:sz w:val="20"/>
          <w:szCs w:val="20"/>
        </w:rPr>
        <w:t xml:space="preserve">la zona donde se encuentra </w:t>
      </w:r>
      <w:r w:rsidR="007F28B2">
        <w:rPr>
          <w:rFonts w:ascii="Museo Sans 300" w:hAnsi="Museo Sans 300"/>
          <w:sz w:val="20"/>
          <w:szCs w:val="20"/>
        </w:rPr>
        <w:t>el</w:t>
      </w:r>
      <w:r w:rsidR="00F12B17">
        <w:rPr>
          <w:rFonts w:ascii="Museo Sans 300" w:eastAsia="Times New Roman" w:hAnsi="Museo Sans 300"/>
          <w:sz w:val="20"/>
          <w:szCs w:val="20"/>
          <w:lang w:val="es-ES" w:eastAsia="es-ES"/>
        </w:rPr>
        <w:t xml:space="preserve"> suministro</w:t>
      </w:r>
      <w:r w:rsidR="007F28B2">
        <w:rPr>
          <w:rFonts w:ascii="Museo Sans 300" w:eastAsia="Times New Roman" w:hAnsi="Museo Sans 300"/>
          <w:sz w:val="20"/>
          <w:szCs w:val="20"/>
          <w:lang w:val="es-ES" w:eastAsia="es-ES"/>
        </w:rPr>
        <w:t xml:space="preserve"> identificado</w:t>
      </w:r>
      <w:r w:rsidR="00F12B17">
        <w:rPr>
          <w:rFonts w:ascii="Museo Sans 300" w:eastAsia="Times New Roman" w:hAnsi="Museo Sans 300"/>
          <w:sz w:val="20"/>
          <w:szCs w:val="20"/>
          <w:lang w:val="es-ES" w:eastAsia="es-ES"/>
        </w:rPr>
        <w:t xml:space="preserve"> con </w:t>
      </w:r>
      <w:r w:rsidR="007F28B2">
        <w:rPr>
          <w:rFonts w:ascii="Museo Sans 300" w:eastAsia="Times New Roman" w:hAnsi="Museo Sans 300"/>
          <w:sz w:val="20"/>
          <w:szCs w:val="20"/>
          <w:lang w:val="es-ES" w:eastAsia="es-ES"/>
        </w:rPr>
        <w:t>el</w:t>
      </w:r>
      <w:r w:rsidR="00F12B17">
        <w:rPr>
          <w:rFonts w:ascii="Museo Sans 300" w:eastAsia="Times New Roman" w:hAnsi="Museo Sans 300"/>
          <w:sz w:val="20"/>
          <w:szCs w:val="20"/>
          <w:lang w:val="es-ES" w:eastAsia="es-ES"/>
        </w:rPr>
        <w:t xml:space="preserve"> NIC </w:t>
      </w:r>
      <w:r w:rsidR="0017402E">
        <w:rPr>
          <w:rFonts w:ascii="Museo Sans 300" w:eastAsia="Times New Roman" w:hAnsi="Museo Sans 300"/>
          <w:sz w:val="20"/>
          <w:szCs w:val="20"/>
          <w:lang w:val="es-ES" w:eastAsia="es-ES"/>
        </w:rPr>
        <w:t>XXX</w:t>
      </w:r>
      <w:r w:rsidR="003A6052" w:rsidRPr="00F12B17">
        <w:rPr>
          <w:rFonts w:ascii="Museo Sans 300" w:hAnsi="Museo Sans 300"/>
          <w:sz w:val="20"/>
          <w:szCs w:val="20"/>
        </w:rPr>
        <w:t>, no se enmarca dentro de un evento constitutivo de fuerza mayor, de conformidad con lo establecido en el Procedimiento para la Determinación de Causales de Casos Fortuitos y Fuerza Mayor, así como lo regulado en el artículo 29 de los Términos y Condiciones del Pliego Tarifario</w:t>
      </w:r>
      <w:r w:rsidR="00D73ADE">
        <w:rPr>
          <w:rFonts w:ascii="Museo Sans 300" w:hAnsi="Museo Sans 300"/>
          <w:sz w:val="20"/>
          <w:szCs w:val="20"/>
        </w:rPr>
        <w:t xml:space="preserve"> aplicable para el 2020</w:t>
      </w:r>
      <w:r w:rsidR="00521C43" w:rsidRPr="00F12B17">
        <w:rPr>
          <w:rFonts w:ascii="Museo Sans 300" w:hAnsi="Museo Sans 300"/>
          <w:sz w:val="20"/>
          <w:szCs w:val="20"/>
        </w:rPr>
        <w:t>.</w:t>
      </w:r>
    </w:p>
    <w:p w14:paraId="3656B9AB" w14:textId="77777777" w:rsidR="003A6052" w:rsidRDefault="003A6052" w:rsidP="003A6052">
      <w:pPr>
        <w:spacing w:line="0" w:lineRule="atLeast"/>
        <w:ind w:left="851" w:right="565"/>
        <w:contextualSpacing/>
        <w:jc w:val="both"/>
        <w:rPr>
          <w:rFonts w:ascii="Museo 300" w:hAnsi="Museo 300"/>
          <w:sz w:val="23"/>
          <w:szCs w:val="23"/>
          <w:lang w:eastAsia="es-SV"/>
        </w:rPr>
      </w:pPr>
    </w:p>
    <w:p w14:paraId="3A2D2090" w14:textId="77777777" w:rsidR="003A6052" w:rsidRPr="00AD2F89"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49D17ABD"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N.° </w:t>
      </w:r>
      <w:r w:rsidR="001760E1" w:rsidRPr="00AD2F89">
        <w:rPr>
          <w:rFonts w:ascii="Museo Sans 300" w:hAnsi="Museo Sans 300"/>
          <w:sz w:val="20"/>
          <w:szCs w:val="20"/>
        </w:rPr>
        <w:t>E-</w:t>
      </w:r>
      <w:r w:rsidR="00776031">
        <w:rPr>
          <w:rFonts w:ascii="Museo Sans 300" w:hAnsi="Museo Sans 300"/>
          <w:sz w:val="20"/>
          <w:szCs w:val="20"/>
        </w:rPr>
        <w:t>1179</w:t>
      </w:r>
      <w:r w:rsidR="005B19EE" w:rsidRPr="00AD2F89">
        <w:rPr>
          <w:rFonts w:ascii="Museo Sans 300" w:hAnsi="Museo Sans 300"/>
          <w:sz w:val="20"/>
          <w:szCs w:val="20"/>
        </w:rPr>
        <w:t>-202</w:t>
      </w:r>
      <w:r w:rsidR="00776031">
        <w:rPr>
          <w:rFonts w:ascii="Museo Sans 300" w:hAnsi="Museo Sans 300"/>
          <w:sz w:val="20"/>
          <w:szCs w:val="20"/>
        </w:rPr>
        <w:t>0</w:t>
      </w:r>
      <w:r w:rsidR="001760E1" w:rsidRPr="00AD2F89">
        <w:rPr>
          <w:rFonts w:ascii="Museo Sans 300" w:hAnsi="Museo Sans 300"/>
          <w:sz w:val="20"/>
          <w:szCs w:val="20"/>
        </w:rPr>
        <w:t>-CAU</w:t>
      </w:r>
      <w:r w:rsidR="003F2612" w:rsidRPr="00AD2F89">
        <w:rPr>
          <w:rFonts w:ascii="Museo Sans 300" w:hAnsi="Museo Sans 300"/>
          <w:sz w:val="20"/>
          <w:szCs w:val="20"/>
        </w:rPr>
        <w:t>,</w:t>
      </w:r>
      <w:r w:rsidR="00AD2F89">
        <w:rPr>
          <w:rFonts w:ascii="Museo Sans 300" w:hAnsi="Museo Sans 300"/>
          <w:sz w:val="20"/>
          <w:szCs w:val="20"/>
        </w:rPr>
        <w:t xml:space="preserve"> de fecha </w:t>
      </w:r>
      <w:r w:rsidR="00776031">
        <w:rPr>
          <w:rFonts w:ascii="Museo Sans 300" w:hAnsi="Museo Sans 300"/>
          <w:sz w:val="20"/>
          <w:szCs w:val="20"/>
        </w:rPr>
        <w:t>trece</w:t>
      </w:r>
      <w:r w:rsidR="003371BF">
        <w:rPr>
          <w:rFonts w:ascii="Museo Sans 300" w:hAnsi="Museo Sans 300"/>
          <w:sz w:val="20"/>
          <w:szCs w:val="20"/>
        </w:rPr>
        <w:t xml:space="preserve"> de </w:t>
      </w:r>
      <w:r w:rsidR="00776031">
        <w:rPr>
          <w:rFonts w:ascii="Museo Sans 300" w:hAnsi="Museo Sans 300"/>
          <w:sz w:val="20"/>
          <w:szCs w:val="20"/>
        </w:rPr>
        <w:t>noviembre</w:t>
      </w:r>
      <w:r w:rsidR="00AD2F89">
        <w:rPr>
          <w:rFonts w:ascii="Museo Sans 300" w:hAnsi="Museo Sans 300"/>
          <w:sz w:val="20"/>
          <w:szCs w:val="20"/>
        </w:rPr>
        <w:t xml:space="preserve"> de</w:t>
      </w:r>
      <w:r w:rsidR="002373FA">
        <w:rPr>
          <w:rFonts w:ascii="Museo Sans 300" w:hAnsi="Museo Sans 300"/>
          <w:sz w:val="20"/>
          <w:szCs w:val="20"/>
        </w:rPr>
        <w:t>l</w:t>
      </w:r>
      <w:r w:rsidR="00AD2F89">
        <w:rPr>
          <w:rFonts w:ascii="Museo Sans 300" w:hAnsi="Museo Sans 300"/>
          <w:sz w:val="20"/>
          <w:szCs w:val="20"/>
        </w:rPr>
        <w:t xml:space="preserve"> año</w:t>
      </w:r>
      <w:r w:rsidR="00AC61C4">
        <w:rPr>
          <w:rFonts w:ascii="Museo Sans 300" w:hAnsi="Museo Sans 300"/>
          <w:sz w:val="20"/>
          <w:szCs w:val="20"/>
        </w:rPr>
        <w:t xml:space="preserve"> dos mil vei</w:t>
      </w:r>
      <w:r w:rsidR="00776031">
        <w:rPr>
          <w:rFonts w:ascii="Museo Sans 300" w:hAnsi="Museo Sans 300"/>
          <w:sz w:val="20"/>
          <w:szCs w:val="20"/>
        </w:rPr>
        <w:t>nte</w:t>
      </w:r>
      <w:r w:rsidR="00AD2F89">
        <w:rPr>
          <w:rFonts w:ascii="Museo Sans 300" w:hAnsi="Museo Sans 300"/>
          <w:sz w:val="20"/>
          <w:szCs w:val="20"/>
        </w:rPr>
        <w:t>,</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r w:rsidR="003371BF" w:rsidRPr="562CE293">
        <w:rPr>
          <w:rFonts w:ascii="Museo Sans 300" w:hAnsi="Museo Sans 300"/>
          <w:sz w:val="20"/>
          <w:szCs w:val="20"/>
        </w:rPr>
        <w:t>N.° IT-NT-202</w:t>
      </w:r>
      <w:r w:rsidR="00776031">
        <w:rPr>
          <w:rFonts w:ascii="Museo Sans 300" w:hAnsi="Museo Sans 300"/>
          <w:sz w:val="20"/>
          <w:szCs w:val="20"/>
        </w:rPr>
        <w:t>0</w:t>
      </w:r>
      <w:r w:rsidR="003371BF" w:rsidRPr="562CE293">
        <w:rPr>
          <w:rFonts w:ascii="Museo Sans 300" w:hAnsi="Museo Sans 300"/>
          <w:sz w:val="20"/>
          <w:szCs w:val="20"/>
        </w:rPr>
        <w:t>-</w:t>
      </w:r>
      <w:r w:rsidR="00776031">
        <w:rPr>
          <w:rFonts w:ascii="Museo Sans 300" w:hAnsi="Museo Sans 300"/>
          <w:sz w:val="20"/>
          <w:szCs w:val="20"/>
        </w:rPr>
        <w:t>10</w:t>
      </w:r>
      <w:r w:rsidR="003371BF">
        <w:rPr>
          <w:rFonts w:ascii="Museo Sans 300" w:hAnsi="Museo Sans 300"/>
          <w:sz w:val="20"/>
          <w:szCs w:val="20"/>
        </w:rPr>
        <w:t>-</w:t>
      </w:r>
      <w:r w:rsidR="00776031">
        <w:rPr>
          <w:rFonts w:ascii="Museo Sans 300" w:hAnsi="Museo Sans 300"/>
          <w:sz w:val="20"/>
          <w:szCs w:val="20"/>
        </w:rPr>
        <w:t>115</w:t>
      </w:r>
      <w:r w:rsidR="003371BF">
        <w:rPr>
          <w:rFonts w:ascii="Museo Sans 300" w:hAnsi="Museo Sans 300"/>
          <w:sz w:val="20"/>
          <w:szCs w:val="20"/>
        </w:rPr>
        <w:t xml:space="preserve"> </w:t>
      </w:r>
      <w:r w:rsidRPr="00AD2F89">
        <w:rPr>
          <w:rFonts w:ascii="Museo Sans 300" w:hAnsi="Museo Sans 300"/>
          <w:sz w:val="20"/>
          <w:szCs w:val="20"/>
        </w:rPr>
        <w:t>rendido por la Gerencia de Electricidad, para que 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7CB94C3E" w14:textId="55F1ED67" w:rsidR="00776031" w:rsidRPr="00776031" w:rsidRDefault="00BE4109" w:rsidP="00776031">
      <w:pPr>
        <w:pStyle w:val="Prrafodelista"/>
        <w:spacing w:line="0" w:lineRule="atLeast"/>
        <w:ind w:left="567"/>
        <w:contextualSpacing/>
        <w:jc w:val="both"/>
        <w:rPr>
          <w:rFonts w:ascii="Museo Sans 300" w:hAnsi="Museo Sans 300"/>
          <w:sz w:val="20"/>
          <w:szCs w:val="20"/>
        </w:rPr>
      </w:pPr>
      <w:r>
        <w:rPr>
          <w:rStyle w:val="normaltextrun"/>
          <w:rFonts w:ascii="Museo Sans 300" w:hAnsi="Museo Sans 300" w:cs="Segoe UI"/>
          <w:sz w:val="20"/>
          <w:szCs w:val="20"/>
        </w:rPr>
        <w:t>El citado acuerdo</w:t>
      </w:r>
      <w:r w:rsidR="002803BD" w:rsidRPr="00D84FAE">
        <w:rPr>
          <w:rStyle w:val="normaltextrun"/>
          <w:rFonts w:ascii="Museo Sans 300" w:hAnsi="Museo Sans 300" w:cs="Segoe UI"/>
          <w:sz w:val="20"/>
          <w:szCs w:val="20"/>
        </w:rPr>
        <w:t xml:space="preserve"> fue notificado a la distribuidora y al </w:t>
      </w:r>
      <w:r w:rsidR="00237268">
        <w:rPr>
          <w:rStyle w:val="normaltextrun"/>
          <w:rFonts w:ascii="Museo Sans 300" w:hAnsi="Museo Sans 300" w:cs="Segoe UI"/>
          <w:sz w:val="20"/>
          <w:szCs w:val="20"/>
        </w:rPr>
        <w:t xml:space="preserve">señor </w:t>
      </w:r>
      <w:r w:rsidR="0017402E">
        <w:rPr>
          <w:rStyle w:val="normaltextrun"/>
          <w:rFonts w:ascii="Museo Sans 300" w:hAnsi="Museo Sans 300" w:cs="Segoe UI"/>
          <w:sz w:val="20"/>
          <w:szCs w:val="20"/>
        </w:rPr>
        <w:t>XXX</w:t>
      </w:r>
      <w:r w:rsidR="00776031" w:rsidRPr="00776031">
        <w:rPr>
          <w:rFonts w:ascii="Museo Sans 300" w:hAnsi="Museo Sans 300"/>
          <w:sz w:val="20"/>
          <w:szCs w:val="20"/>
        </w:rPr>
        <w:t xml:space="preserve"> los días </w:t>
      </w:r>
      <w:r w:rsidR="00776031">
        <w:rPr>
          <w:rFonts w:ascii="Museo Sans 300" w:hAnsi="Museo Sans 300"/>
          <w:sz w:val="20"/>
          <w:szCs w:val="20"/>
        </w:rPr>
        <w:t>dieciocho</w:t>
      </w:r>
      <w:r w:rsidR="00776031" w:rsidRPr="00776031">
        <w:rPr>
          <w:rFonts w:ascii="Museo Sans 300" w:hAnsi="Museo Sans 300"/>
          <w:sz w:val="20"/>
          <w:szCs w:val="20"/>
        </w:rPr>
        <w:t xml:space="preserve"> y </w:t>
      </w:r>
      <w:r w:rsidR="00776031">
        <w:rPr>
          <w:rFonts w:ascii="Museo Sans 300" w:hAnsi="Museo Sans 300"/>
          <w:sz w:val="20"/>
          <w:szCs w:val="20"/>
        </w:rPr>
        <w:t>veinte de noviembre de dos mil veinte</w:t>
      </w:r>
      <w:r w:rsidR="00776031" w:rsidRPr="00776031">
        <w:rPr>
          <w:rFonts w:ascii="Museo Sans 300" w:eastAsia="Museo Sans" w:hAnsi="Museo Sans 300" w:cs="Segoe UI"/>
          <w:sz w:val="20"/>
          <w:szCs w:val="20"/>
        </w:rPr>
        <w:t xml:space="preserve">, respectivamente, por lo que el plazo finalizó, en el mismo orden, los </w:t>
      </w:r>
      <w:r w:rsidR="00776031" w:rsidRPr="00776031">
        <w:rPr>
          <w:rFonts w:ascii="Museo Sans 300" w:hAnsi="Museo Sans 300"/>
          <w:sz w:val="20"/>
          <w:szCs w:val="20"/>
        </w:rPr>
        <w:t xml:space="preserve">días </w:t>
      </w:r>
      <w:r w:rsidR="00776031">
        <w:rPr>
          <w:rFonts w:ascii="Museo Sans 300" w:hAnsi="Museo Sans 300"/>
          <w:sz w:val="20"/>
          <w:szCs w:val="20"/>
        </w:rPr>
        <w:t>dos y cuatro de diciembre</w:t>
      </w:r>
      <w:r w:rsidR="00776031" w:rsidRPr="00776031">
        <w:rPr>
          <w:rFonts w:ascii="Museo Sans 300" w:hAnsi="Museo Sans 300"/>
          <w:sz w:val="20"/>
          <w:szCs w:val="20"/>
        </w:rPr>
        <w:t xml:space="preserve"> de </w:t>
      </w:r>
      <w:r w:rsidR="00776031">
        <w:rPr>
          <w:rFonts w:ascii="Museo Sans 300" w:hAnsi="Museo Sans 300"/>
          <w:sz w:val="20"/>
          <w:szCs w:val="20"/>
        </w:rPr>
        <w:t>dicho</w:t>
      </w:r>
      <w:r w:rsidR="00776031" w:rsidRPr="00776031">
        <w:rPr>
          <w:rFonts w:ascii="Museo Sans 300" w:hAnsi="Museo Sans 300"/>
          <w:sz w:val="20"/>
          <w:szCs w:val="20"/>
        </w:rPr>
        <w:t xml:space="preserve"> año</w:t>
      </w:r>
      <w:r w:rsidR="00741AB8">
        <w:rPr>
          <w:rFonts w:ascii="Museo Sans 300" w:hAnsi="Museo Sans 300"/>
          <w:sz w:val="20"/>
          <w:szCs w:val="20"/>
        </w:rPr>
        <w:t>, sin que los intervinientes hicieran uso de su derecho de defensa.</w:t>
      </w:r>
    </w:p>
    <w:p w14:paraId="75A65F03" w14:textId="77777777" w:rsidR="00776031" w:rsidRDefault="00776031" w:rsidP="1837F8E0">
      <w:pPr>
        <w:pStyle w:val="Prrafodelista"/>
        <w:spacing w:line="0" w:lineRule="atLeast"/>
        <w:ind w:left="567"/>
        <w:contextualSpacing/>
        <w:jc w:val="both"/>
        <w:rPr>
          <w:rFonts w:ascii="Museo Sans 300" w:hAnsi="Museo Sans 300"/>
          <w:sz w:val="20"/>
          <w:szCs w:val="20"/>
        </w:rPr>
      </w:pPr>
    </w:p>
    <w:p w14:paraId="61CAA1E5" w14:textId="77777777" w:rsidR="003A6052" w:rsidRPr="00392E0D" w:rsidRDefault="003A6052" w:rsidP="003A6052">
      <w:pPr>
        <w:numPr>
          <w:ilvl w:val="0"/>
          <w:numId w:val="18"/>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5EE0E983" w14:textId="5D73CB9A" w:rsidR="003A6052" w:rsidRPr="00392E0D" w:rsidRDefault="003A6052" w:rsidP="00AB143C">
      <w:pPr>
        <w:pStyle w:val="Prrafodelista"/>
        <w:numPr>
          <w:ilvl w:val="0"/>
          <w:numId w:val="39"/>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 xml:space="preserve">Encontrándose el presente procedimiento en etapa de dictar sentencia, esta </w:t>
      </w:r>
      <w:r w:rsidR="00F07CBE">
        <w:rPr>
          <w:rFonts w:ascii="Museo Sans 300" w:hAnsi="Museo Sans 300"/>
          <w:sz w:val="20"/>
          <w:szCs w:val="20"/>
        </w:rPr>
        <w:t>S</w:t>
      </w:r>
      <w:r w:rsidRPr="00392E0D">
        <w:rPr>
          <w:rFonts w:ascii="Museo Sans 300" w:hAnsi="Museo Sans 300"/>
          <w:sz w:val="20"/>
          <w:szCs w:val="20"/>
        </w:rPr>
        <w:t>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0034CD36" w14:textId="77777777" w:rsidR="003421D1" w:rsidRDefault="003421D1" w:rsidP="003A6052">
      <w:pPr>
        <w:spacing w:after="0" w:line="0" w:lineRule="atLeast"/>
        <w:ind w:left="567"/>
        <w:contextualSpacing/>
        <w:jc w:val="both"/>
        <w:rPr>
          <w:rFonts w:ascii="Museo Sans 300" w:eastAsia="Times New Roman" w:hAnsi="Museo Sans 300"/>
          <w:lang w:val="es-ES" w:eastAsia="es-ES"/>
        </w:rPr>
      </w:pPr>
    </w:p>
    <w:p w14:paraId="52136B51" w14:textId="77777777" w:rsidR="003A6052" w:rsidRPr="00392E0D" w:rsidRDefault="003A6052" w:rsidP="003A6052">
      <w:pPr>
        <w:numPr>
          <w:ilvl w:val="0"/>
          <w:numId w:val="30"/>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7AB02BAE"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r w:rsidR="00C76AE7">
        <w:rPr>
          <w:rFonts w:ascii="Museo Sans 500" w:hAnsi="Museo Sans 500"/>
          <w:b/>
          <w:bCs/>
          <w:sz w:val="20"/>
          <w:szCs w:val="20"/>
        </w:rPr>
        <w:t>.</w:t>
      </w:r>
    </w:p>
    <w:p w14:paraId="35264B5E" w14:textId="2EE4D7A3"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3F1272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461D77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13905DEB"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p>
    <w:p w14:paraId="15A66FAE" w14:textId="77777777" w:rsidR="00C67AF0" w:rsidRDefault="00C67AF0" w:rsidP="00C67AF0">
      <w:pPr>
        <w:tabs>
          <w:tab w:val="left" w:pos="993"/>
        </w:tabs>
        <w:spacing w:after="0" w:line="0" w:lineRule="atLeast"/>
        <w:ind w:left="567"/>
        <w:jc w:val="both"/>
        <w:rPr>
          <w:rFonts w:ascii="Museo Sans 500" w:hAnsi="Museo Sans 500"/>
          <w:b/>
          <w:bCs/>
          <w:sz w:val="20"/>
          <w:szCs w:val="20"/>
        </w:rPr>
      </w:pPr>
    </w:p>
    <w:p w14:paraId="4B6D4F72" w14:textId="09A18CE2" w:rsidR="003A6052" w:rsidRPr="00392E0D" w:rsidRDefault="003A6052" w:rsidP="00A77D62">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Términos y Condiciones al Consumidor Final del Pliego Tarifario aplicable a la         distribuidora</w:t>
      </w:r>
      <w:r w:rsidR="00782B0D">
        <w:rPr>
          <w:rFonts w:ascii="Museo Sans 500" w:hAnsi="Museo Sans 500"/>
          <w:b/>
          <w:bCs/>
          <w:sz w:val="20"/>
          <w:szCs w:val="20"/>
        </w:rPr>
        <w:t xml:space="preserve"> para el año dos mil veinte</w:t>
      </w:r>
      <w:r w:rsidR="00C76AE7">
        <w:rPr>
          <w:rFonts w:ascii="Museo Sans 500" w:hAnsi="Museo Sans 500"/>
          <w:b/>
          <w:bCs/>
          <w:sz w:val="20"/>
          <w:szCs w:val="20"/>
        </w:rPr>
        <w:t>.</w:t>
      </w: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1309206C" w14:textId="77777777" w:rsidR="003A6052" w:rsidRPr="00392E0D"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62EBF3C5" w14:textId="77777777" w:rsidR="003A6052" w:rsidRPr="00392E0D" w:rsidRDefault="003A6052" w:rsidP="003A6052">
      <w:pPr>
        <w:spacing w:after="0" w:line="0" w:lineRule="atLeast"/>
        <w:ind w:left="567"/>
        <w:jc w:val="both"/>
        <w:rPr>
          <w:rFonts w:ascii="Museo Sans 300" w:hAnsi="Museo Sans 300"/>
          <w:sz w:val="20"/>
          <w:szCs w:val="20"/>
        </w:rPr>
      </w:pPr>
    </w:p>
    <w:p w14:paraId="4B953528" w14:textId="77777777" w:rsidR="003A6052" w:rsidRPr="00392E0D"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6D98A12B" w14:textId="77777777" w:rsidR="003A6052" w:rsidRDefault="003A6052" w:rsidP="003A6052">
      <w:pPr>
        <w:tabs>
          <w:tab w:val="left" w:pos="993"/>
        </w:tabs>
        <w:spacing w:after="0" w:line="0" w:lineRule="atLeast"/>
        <w:ind w:left="567"/>
        <w:jc w:val="both"/>
        <w:rPr>
          <w:rFonts w:ascii="Museo Sans 500" w:hAnsi="Museo Sans 500"/>
          <w:b/>
        </w:rPr>
      </w:pPr>
    </w:p>
    <w:p w14:paraId="3962FDA8" w14:textId="77777777" w:rsidR="003A6052" w:rsidRPr="00392E0D" w:rsidRDefault="003A6052" w:rsidP="003A6052">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w:t>
      </w:r>
      <w:r w:rsidR="003073F7" w:rsidRPr="00392E0D">
        <w:rPr>
          <w:rFonts w:ascii="Museo Sans 500" w:hAnsi="Museo Sans 500"/>
          <w:b/>
          <w:sz w:val="20"/>
          <w:szCs w:val="20"/>
        </w:rPr>
        <w:t>.</w:t>
      </w:r>
      <w:r w:rsidRPr="00392E0D">
        <w:rPr>
          <w:rFonts w:ascii="Museo Sans 500" w:hAnsi="Museo Sans 500"/>
          <w:b/>
          <w:sz w:val="20"/>
          <w:szCs w:val="20"/>
        </w:rPr>
        <w:t xml:space="preserve"> 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64E4EA08" w:rsidR="003A6052" w:rsidRPr="00392E0D"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14D57EB3"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5997CC1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110FFD37"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7044E056"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suministrante de pagar, sin distinción del lugar o ubicación de la falla. […]”</w:t>
      </w:r>
    </w:p>
    <w:p w14:paraId="6B699379" w14:textId="77777777" w:rsidR="003A6052"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14:paraId="3386EB89" w14:textId="77777777"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77777777"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085E554F" w14:textId="3CF316EA"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t>1.D</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8296292"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Asimismo, el Capítulo III. Niveles de Ca</w:t>
      </w:r>
      <w:r w:rsidR="00DB32A4">
        <w:rPr>
          <w:rFonts w:ascii="Museo Sans 300" w:hAnsi="Museo Sans 300"/>
          <w:sz w:val="20"/>
          <w:szCs w:val="20"/>
        </w:rPr>
        <w:t>lidad Comercial Garantizados a c</w:t>
      </w:r>
      <w:r w:rsidRPr="00FE6895">
        <w:rPr>
          <w:rFonts w:ascii="Museo Sans 300" w:hAnsi="Museo Sans 300"/>
          <w:sz w:val="20"/>
          <w:szCs w:val="20"/>
        </w:rPr>
        <w:t xml:space="preserve">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75A82F37" w14:textId="252E4BA8"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Por su parte, el artículo 80.c. denominado Compensación por Incumplimiento a los Niveles de la Calidad de Se</w:t>
      </w:r>
      <w:r w:rsidR="00DB32A4">
        <w:rPr>
          <w:rFonts w:ascii="Museo Sans 300" w:hAnsi="Museo Sans 300"/>
          <w:sz w:val="20"/>
          <w:szCs w:val="20"/>
        </w:rPr>
        <w:t>rvicio Comercial Garantizado a c</w:t>
      </w:r>
      <w:r w:rsidRPr="00FE6895">
        <w:rPr>
          <w:rFonts w:ascii="Museo Sans 300" w:hAnsi="Museo Sans 300"/>
          <w:sz w:val="20"/>
          <w:szCs w:val="20"/>
        </w:rPr>
        <w:t xml:space="preserve">ada Cliente, establece que </w:t>
      </w:r>
      <w:r w:rsidRPr="00FE6895">
        <w:rPr>
          <w:rFonts w:ascii="Museo Sans 300"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5FB8B09C" w:rsidR="003A6052" w:rsidRPr="00FE6895" w:rsidRDefault="003A6052" w:rsidP="1837F8E0">
      <w:pPr>
        <w:spacing w:line="0" w:lineRule="atLeast"/>
        <w:ind w:left="567"/>
        <w:jc w:val="both"/>
        <w:rPr>
          <w:rFonts w:ascii="Museo Sans 500" w:hAnsi="Museo Sans 500"/>
          <w:b/>
          <w:bCs/>
          <w:sz w:val="20"/>
          <w:szCs w:val="20"/>
        </w:rPr>
      </w:pPr>
      <w:r w:rsidRPr="00FE6895">
        <w:rPr>
          <w:rFonts w:ascii="Museo Sans 500" w:hAnsi="Museo Sans 500"/>
          <w:b/>
          <w:bCs/>
          <w:sz w:val="20"/>
          <w:szCs w:val="20"/>
        </w:rPr>
        <w:t>1.E</w:t>
      </w:r>
      <w:r w:rsidR="00D74FA4" w:rsidRPr="00FE6895">
        <w:rPr>
          <w:rFonts w:ascii="Museo Sans 500" w:hAnsi="Museo Sans 500"/>
          <w:b/>
          <w:bCs/>
          <w:sz w:val="20"/>
          <w:szCs w:val="20"/>
        </w:rPr>
        <w:t>.</w:t>
      </w:r>
      <w:r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623C5C">
        <w:rPr>
          <w:rFonts w:ascii="Museo Sans 500" w:hAnsi="Museo Sans 500"/>
          <w:b/>
          <w:bCs/>
          <w:sz w:val="20"/>
          <w:szCs w:val="20"/>
        </w:rPr>
        <w:t>.</w:t>
      </w:r>
    </w:p>
    <w:p w14:paraId="1EE15587"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23DE523C"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152B081B" w14:textId="1B7B6987" w:rsidR="00EF56C3" w:rsidRDefault="00F228E1"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75A78FC">
        <w:rPr>
          <w:rFonts w:ascii="Museo Sans 300" w:hAnsi="Museo Sans 300"/>
          <w:sz w:val="20"/>
          <w:szCs w:val="20"/>
          <w:lang w:val="es-MX"/>
        </w:rPr>
        <w:t xml:space="preserve">Por su parte, el apartado 3.3 indica </w:t>
      </w:r>
      <w:r w:rsidR="2010BADA" w:rsidRPr="075A78FC">
        <w:rPr>
          <w:rFonts w:ascii="Museo Sans 300" w:hAnsi="Museo Sans 300"/>
          <w:sz w:val="20"/>
          <w:szCs w:val="20"/>
          <w:lang w:val="es-MX"/>
        </w:rPr>
        <w:t>que,</w:t>
      </w:r>
      <w:r w:rsidRPr="075A78FC">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75A78FC">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1B6AA4FE" w14:textId="34780A9F" w:rsidR="00782B0D" w:rsidRDefault="00782B0D" w:rsidP="00EF56C3">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6BCD3BF9" w14:textId="77777777" w:rsidR="00782B0D" w:rsidRDefault="00782B0D" w:rsidP="00782B0D">
      <w:pPr>
        <w:spacing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3B62624C" w14:textId="6A1DF320" w:rsidR="00824DA1" w:rsidRDefault="00782B0D" w:rsidP="00782B0D">
      <w:pPr>
        <w:spacing w:line="0" w:lineRule="atLeast"/>
        <w:ind w:left="567"/>
        <w:jc w:val="both"/>
        <w:rPr>
          <w:rFonts w:ascii="Museo Sans 300" w:hAnsi="Museo Sans 300"/>
          <w:color w:val="000000"/>
          <w:sz w:val="20"/>
          <w:szCs w:val="20"/>
          <w:lang w:eastAsia="es-SV"/>
        </w:rPr>
      </w:pPr>
      <w:r w:rsidRPr="075A78FC">
        <w:rPr>
          <w:rFonts w:ascii="Museo Sans 300" w:hAnsi="Museo Sans 300"/>
          <w:color w:val="000000" w:themeColor="text1"/>
          <w:sz w:val="20"/>
          <w:szCs w:val="20"/>
          <w:lang w:eastAsia="es-SV"/>
        </w:rPr>
        <w:t xml:space="preserve">Por su parte, el artículo 166 de la LPA dispone que todo procedimiento deberá adecuarse a la Ley en referencia. Es por ello, </w:t>
      </w:r>
      <w:r w:rsidR="4F0C2935" w:rsidRPr="075A78FC">
        <w:rPr>
          <w:rFonts w:ascii="Museo Sans 300" w:hAnsi="Museo Sans 300"/>
          <w:color w:val="000000" w:themeColor="text1"/>
          <w:sz w:val="20"/>
          <w:szCs w:val="20"/>
          <w:lang w:eastAsia="es-SV"/>
        </w:rPr>
        <w:t>que,</w:t>
      </w:r>
      <w:r w:rsidRPr="075A78FC">
        <w:rPr>
          <w:rFonts w:ascii="Museo Sans 300" w:hAnsi="Museo Sans 300"/>
          <w:color w:val="000000" w:themeColor="text1"/>
          <w:sz w:val="20"/>
          <w:szCs w:val="20"/>
          <w:lang w:eastAsia="es-SV"/>
        </w:rPr>
        <w:t xml:space="preserve"> a fin de garantizar los derechos de los administrados, se aplicaron los plazos que eran de mayor beneficio en relación con lo establecido en</w:t>
      </w:r>
      <w:r w:rsidR="005D5301" w:rsidRPr="075A78FC">
        <w:rPr>
          <w:rFonts w:ascii="Museo Sans 300" w:hAnsi="Museo Sans 300"/>
          <w:color w:val="000000" w:themeColor="text1"/>
          <w:sz w:val="20"/>
          <w:szCs w:val="20"/>
          <w:lang w:eastAsia="es-SV"/>
        </w:rPr>
        <w:t xml:space="preserve"> el Procedimiento para la Resolución de Reclamos de los Usuarios Finales del Servicio de Energía Eléctrica ante SIGET que no requieren Intervención de Perito Externo.</w:t>
      </w:r>
      <w:r w:rsidRPr="075A78FC">
        <w:rPr>
          <w:rFonts w:ascii="Museo Sans 300" w:hAnsi="Museo Sans 300"/>
          <w:color w:val="000000" w:themeColor="text1"/>
          <w:sz w:val="20"/>
          <w:szCs w:val="20"/>
          <w:lang w:eastAsia="es-SV"/>
        </w:rPr>
        <w:t xml:space="preserve">  </w:t>
      </w:r>
    </w:p>
    <w:p w14:paraId="69B08EA4" w14:textId="5338ED8C" w:rsidR="002803BD" w:rsidRPr="00937F60" w:rsidRDefault="002803BD" w:rsidP="002803BD">
      <w:pPr>
        <w:spacing w:line="0" w:lineRule="atLeast"/>
        <w:ind w:left="567"/>
        <w:jc w:val="both"/>
        <w:rPr>
          <w:rFonts w:ascii="Museo Sans 500" w:hAnsi="Museo Sans 500" w:cs="Arial"/>
          <w:b/>
          <w:bCs/>
          <w:sz w:val="20"/>
          <w:szCs w:val="20"/>
          <w:lang w:eastAsia="es-SV"/>
        </w:rPr>
      </w:pPr>
      <w:r>
        <w:rPr>
          <w:rFonts w:ascii="Museo Sans 500" w:hAnsi="Museo Sans 500" w:cs="Arial"/>
          <w:b/>
          <w:sz w:val="20"/>
          <w:szCs w:val="20"/>
          <w:lang w:eastAsia="es-SV"/>
        </w:rPr>
        <w:t xml:space="preserve">1.G.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291570BE" w14:textId="0D05C5FD" w:rsidR="002803BD" w:rsidRDefault="002803BD" w:rsidP="00F75F92">
      <w:pPr>
        <w:spacing w:line="0" w:lineRule="atLeast"/>
        <w:ind w:left="567"/>
        <w:jc w:val="both"/>
        <w:rPr>
          <w:rStyle w:val="eop"/>
          <w:rFonts w:ascii="Museo Sans 300" w:hAnsi="Museo Sans 300" w:cs="Segoe UI"/>
          <w:sz w:val="20"/>
          <w:szCs w:val="20"/>
        </w:rPr>
      </w:pPr>
      <w:r w:rsidRPr="002803BD">
        <w:rPr>
          <w:rFonts w:ascii="Museo Sans 300" w:hAnsi="Museo Sans 300"/>
          <w:color w:val="000000"/>
          <w:sz w:val="20"/>
          <w:szCs w:val="20"/>
          <w:lang w:eastAsia="es-SV"/>
        </w:rPr>
        <w:t>Mediante</w:t>
      </w:r>
      <w:r w:rsidRPr="002803BD">
        <w:rPr>
          <w:rStyle w:val="normaltextrun"/>
          <w:rFonts w:ascii="Museo Sans 300" w:hAnsi="Museo Sans 300" w:cs="Segoe UI"/>
          <w:sz w:val="20"/>
          <w:szCs w:val="20"/>
        </w:rPr>
        <w:t xml:space="preserve">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de fecha catorce de marzo de dos mil veinte, publicado en el Diario Oficial</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52, Tomo 426 de la misma fecha, se decret</w:t>
      </w:r>
      <w:r w:rsidRPr="002803BD">
        <w:rPr>
          <w:rStyle w:val="normaltextrun"/>
          <w:rFonts w:ascii="Museo Sans 300" w:hAnsi="Museo Sans 300" w:cs="Museo Sans 300"/>
          <w:sz w:val="20"/>
          <w:szCs w:val="20"/>
        </w:rPr>
        <w:t>ó</w:t>
      </w:r>
      <w:r w:rsidRPr="002803BD">
        <w:rPr>
          <w:rStyle w:val="normaltextrun"/>
          <w:rFonts w:ascii="Cambria Math" w:hAnsi="Cambria Math" w:cs="Cambria Math"/>
          <w:sz w:val="20"/>
          <w:szCs w:val="20"/>
        </w:rPr>
        <w:t> </w:t>
      </w:r>
      <w:r w:rsidRPr="002803BD">
        <w:rPr>
          <w:rStyle w:val="normaltextrun"/>
          <w:rFonts w:ascii="Museo Sans 300" w:hAnsi="Museo Sans 300" w:cs="Segoe UI"/>
          <w:b/>
          <w:bCs/>
          <w:sz w:val="20"/>
          <w:szCs w:val="20"/>
        </w:rPr>
        <w:t>“Estado de Emergencia Nacional de la Pandemia por COVID-19</w:t>
      </w:r>
      <w:r w:rsidRPr="002803BD">
        <w:rPr>
          <w:rStyle w:val="normaltextrun"/>
          <w:rFonts w:ascii="Museo Sans 300" w:hAnsi="Museo Sans 300" w:cs="Segoe UI"/>
          <w:sz w:val="20"/>
          <w:szCs w:val="20"/>
        </w:rPr>
        <w:t>”, el cual fue prorrogado por la</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Asamblea Legislativa, en tres ocasiones; cuyos efectos concluyeron el dieciséis de mayo del dos mil veinte.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3939438C" w14:textId="5B488BD5" w:rsidR="002803BD" w:rsidRPr="00937F60" w:rsidRDefault="002803BD" w:rsidP="002803BD">
      <w:pPr>
        <w:spacing w:line="0" w:lineRule="atLeast"/>
        <w:ind w:left="567"/>
        <w:jc w:val="both"/>
        <w:rPr>
          <w:rFonts w:ascii="Museo Sans 300" w:hAnsi="Museo Sans 300" w:cs="Segoe UI"/>
          <w:sz w:val="20"/>
          <w:szCs w:val="20"/>
        </w:rPr>
      </w:pPr>
      <w:r w:rsidRPr="075A78FC">
        <w:rPr>
          <w:rStyle w:val="normaltextrun"/>
          <w:rFonts w:ascii="Museo Sans 300" w:hAnsi="Museo Sans 300" w:cs="Segoe UI"/>
          <w:sz w:val="20"/>
          <w:szCs w:val="20"/>
        </w:rPr>
        <w:t>No</w:t>
      </w:r>
      <w:r w:rsidRPr="075A78FC">
        <w:rPr>
          <w:rStyle w:val="normaltextrun"/>
          <w:rFonts w:ascii="Cambria Math" w:hAnsi="Cambria Math" w:cs="Cambria Math"/>
          <w:sz w:val="20"/>
          <w:szCs w:val="20"/>
        </w:rPr>
        <w:t> </w:t>
      </w:r>
      <w:r w:rsidR="3161D600" w:rsidRPr="075A78FC">
        <w:rPr>
          <w:rStyle w:val="normaltextrun"/>
          <w:rFonts w:ascii="Museo Sans 300" w:hAnsi="Museo Sans 300" w:cs="Segoe UI"/>
          <w:sz w:val="20"/>
          <w:szCs w:val="20"/>
        </w:rPr>
        <w:t>obstante,</w:t>
      </w:r>
      <w:r w:rsidRPr="075A78FC">
        <w:rPr>
          <w:rStyle w:val="normaltextrun"/>
          <w:rFonts w:ascii="Cambria Math" w:hAnsi="Cambria Math" w:cs="Cambria Math"/>
          <w:sz w:val="20"/>
          <w:szCs w:val="20"/>
        </w:rPr>
        <w:t> </w:t>
      </w:r>
      <w:r w:rsidRPr="075A78FC">
        <w:rPr>
          <w:rStyle w:val="normaltextrun"/>
          <w:rFonts w:ascii="Museo Sans 300" w:hAnsi="Museo Sans 300" w:cs="Segoe UI"/>
          <w:sz w:val="20"/>
          <w:szCs w:val="20"/>
        </w:rPr>
        <w:t>lo anterior, por medio de la resoluci</w:t>
      </w:r>
      <w:r w:rsidRPr="075A78FC">
        <w:rPr>
          <w:rStyle w:val="normaltextrun"/>
          <w:rFonts w:ascii="Museo Sans 300" w:hAnsi="Museo Sans 300" w:cs="Museo Sans 300"/>
          <w:sz w:val="20"/>
          <w:szCs w:val="20"/>
        </w:rPr>
        <w:t>ó</w:t>
      </w:r>
      <w:r w:rsidRPr="075A78FC">
        <w:rPr>
          <w:rStyle w:val="normaltextrun"/>
          <w:rFonts w:ascii="Museo Sans 300" w:hAnsi="Museo Sans 300" w:cs="Segoe UI"/>
          <w:sz w:val="20"/>
          <w:szCs w:val="20"/>
        </w:rPr>
        <w:t>n de las diecis</w:t>
      </w:r>
      <w:r w:rsidRPr="075A78FC">
        <w:rPr>
          <w:rStyle w:val="normaltextrun"/>
          <w:rFonts w:ascii="Museo Sans 300" w:hAnsi="Museo Sans 300" w:cs="Museo Sans 300"/>
          <w:sz w:val="20"/>
          <w:szCs w:val="20"/>
        </w:rPr>
        <w:t>é</w:t>
      </w:r>
      <w:r w:rsidRPr="075A78FC">
        <w:rPr>
          <w:rStyle w:val="normaltextrun"/>
          <w:rFonts w:ascii="Museo Sans 300" w:hAnsi="Museo Sans 300" w:cs="Segoe UI"/>
          <w:sz w:val="20"/>
          <w:szCs w:val="20"/>
        </w:rPr>
        <w:t>is horas con treinta y seis minutos del d</w:t>
      </w:r>
      <w:r w:rsidRPr="075A78FC">
        <w:rPr>
          <w:rStyle w:val="normaltextrun"/>
          <w:rFonts w:ascii="Museo Sans 300" w:hAnsi="Museo Sans 300" w:cs="Museo Sans 300"/>
          <w:sz w:val="20"/>
          <w:szCs w:val="20"/>
        </w:rPr>
        <w:t>í</w:t>
      </w:r>
      <w:r w:rsidRPr="075A78FC">
        <w:rPr>
          <w:rStyle w:val="normaltextrun"/>
          <w:rFonts w:ascii="Museo Sans 300" w:hAnsi="Museo Sans 300" w:cs="Segoe UI"/>
          <w:sz w:val="20"/>
          <w:szCs w:val="20"/>
        </w:rPr>
        <w:t>a veintid</w:t>
      </w:r>
      <w:r w:rsidRPr="075A78FC">
        <w:rPr>
          <w:rStyle w:val="normaltextrun"/>
          <w:rFonts w:ascii="Museo Sans 300" w:hAnsi="Museo Sans 300" w:cs="Museo Sans 300"/>
          <w:sz w:val="20"/>
          <w:szCs w:val="20"/>
        </w:rPr>
        <w:t>ó</w:t>
      </w:r>
      <w:r w:rsidRPr="075A78FC">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75A78FC">
        <w:rPr>
          <w:rStyle w:val="normaltextrun"/>
          <w:rFonts w:ascii="Cambria Math" w:hAnsi="Cambria Math" w:cs="Cambria Math"/>
          <w:sz w:val="20"/>
          <w:szCs w:val="20"/>
        </w:rPr>
        <w:t> </w:t>
      </w:r>
      <w:r w:rsidRPr="075A78FC">
        <w:rPr>
          <w:rStyle w:val="eop"/>
          <w:rFonts w:ascii="Museo Sans 300" w:hAnsi="Museo Sans 300" w:cs="Segoe UI"/>
          <w:sz w:val="20"/>
          <w:szCs w:val="20"/>
        </w:rPr>
        <w:t> </w:t>
      </w:r>
    </w:p>
    <w:p w14:paraId="528D4966" w14:textId="77777777" w:rsidR="002803BD" w:rsidRPr="002803BD" w:rsidRDefault="002803BD" w:rsidP="002803BD">
      <w:pPr>
        <w:pStyle w:val="paragraph"/>
        <w:shd w:val="clear" w:color="auto" w:fill="FFFFFF"/>
        <w:spacing w:before="0" w:beforeAutospacing="0" w:after="0" w:afterAutospacing="0"/>
        <w:ind w:left="1275" w:right="555"/>
        <w:jc w:val="both"/>
        <w:textAlignment w:val="baseline"/>
        <w:rPr>
          <w:rFonts w:ascii="Museo 300" w:hAnsi="Museo 300" w:cs="Segoe UI"/>
          <w:sz w:val="16"/>
          <w:szCs w:val="16"/>
        </w:rPr>
      </w:pPr>
      <w:r w:rsidRPr="002803BD">
        <w:rPr>
          <w:rStyle w:val="normaltextrun"/>
          <w:rFonts w:ascii="Museo 300" w:hAnsi="Museo 300" w:cs="Segoe UI"/>
          <w:sz w:val="16"/>
          <w:szCs w:val="16"/>
        </w:rPr>
        <w:t>“”5.</w:t>
      </w:r>
      <w:r w:rsidRPr="002803BD">
        <w:rPr>
          <w:rStyle w:val="normaltextrun"/>
          <w:rFonts w:ascii="Cambria Math" w:hAnsi="Cambria Math" w:cs="Cambria Math"/>
          <w:sz w:val="16"/>
          <w:szCs w:val="16"/>
        </w:rPr>
        <w:t> </w:t>
      </w:r>
      <w:proofErr w:type="spellStart"/>
      <w:r w:rsidRPr="002803BD">
        <w:rPr>
          <w:rStyle w:val="normaltextrun"/>
          <w:rFonts w:ascii="Museo 300" w:hAnsi="Museo 300" w:cs="Segoe UI"/>
          <w:sz w:val="16"/>
          <w:szCs w:val="16"/>
        </w:rPr>
        <w:t>Revívese</w:t>
      </w:r>
      <w:proofErr w:type="spellEnd"/>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aprobado el 14 de marzo de 2020 y publicado en el Diario Oficial</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52, tomo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426, de 14 de marzo de 2020, por medio del cual la Asamblea Legislativa decret</w:t>
      </w:r>
      <w:r w:rsidRPr="002803BD">
        <w:rPr>
          <w:rStyle w:val="normaltextrun"/>
          <w:rFonts w:ascii="Museo 300" w:hAnsi="Museo 300" w:cs="Museo Sans 300"/>
          <w:sz w:val="16"/>
          <w:szCs w:val="16"/>
        </w:rPr>
        <w:t>ó</w:t>
      </w:r>
      <w:r w:rsidRPr="002803BD">
        <w:rPr>
          <w:rStyle w:val="normaltextrun"/>
          <w:rFonts w:ascii="Museo 300" w:hAnsi="Museo 300" w:cs="Segoe UI"/>
          <w:sz w:val="16"/>
          <w:szCs w:val="16"/>
        </w:rPr>
        <w:t xml:space="preserve"> el Estado de Emergencia Nacional de la Pandemia por COVID-19. La reviviscencia del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salvo que antes se cuente con una nueva ley, estar</w:t>
      </w:r>
      <w:r w:rsidRPr="002803BD">
        <w:rPr>
          <w:rStyle w:val="normaltextrun"/>
          <w:rFonts w:ascii="Museo 300" w:hAnsi="Museo 300" w:cs="Museo Sans 300"/>
          <w:sz w:val="16"/>
          <w:szCs w:val="16"/>
        </w:rPr>
        <w:t>á</w:t>
      </w:r>
      <w:r w:rsidRPr="002803BD">
        <w:rPr>
          <w:rStyle w:val="normaltextrun"/>
          <w:rFonts w:ascii="Museo 300" w:hAnsi="Museo 300" w:cs="Segoe UI"/>
          <w:sz w:val="16"/>
          <w:szCs w:val="16"/>
        </w:rPr>
        <w:t xml:space="preserve"> vigente hasta el d</w:t>
      </w:r>
      <w:r w:rsidRPr="002803BD">
        <w:rPr>
          <w:rStyle w:val="normaltextrun"/>
          <w:rFonts w:ascii="Museo 300" w:hAnsi="Museo 300" w:cs="Museo Sans 300"/>
          <w:sz w:val="16"/>
          <w:szCs w:val="16"/>
        </w:rPr>
        <w:t>í</w:t>
      </w:r>
      <w:r w:rsidRPr="002803BD">
        <w:rPr>
          <w:rStyle w:val="normaltextrun"/>
          <w:rFonts w:ascii="Museo 300" w:hAnsi="Museo 300" w:cs="Segoe UI"/>
          <w:sz w:val="16"/>
          <w:szCs w:val="16"/>
        </w:rPr>
        <w:t>a 29 de mayo de 2020 (</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Cambria Math" w:hAnsi="Cambria Math" w:cs="Cambria Math"/>
          <w:sz w:val="16"/>
          <w:szCs w:val="16"/>
        </w:rPr>
        <w:t> </w:t>
      </w:r>
      <w:r w:rsidRPr="002803BD">
        <w:rPr>
          <w:rStyle w:val="eop"/>
          <w:rFonts w:ascii="Museo 300" w:hAnsi="Museo 300" w:cs="Segoe UI"/>
          <w:sz w:val="16"/>
          <w:szCs w:val="16"/>
        </w:rPr>
        <w:t> </w:t>
      </w:r>
    </w:p>
    <w:p w14:paraId="1145A6B3"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AEDD26D" w14:textId="47C5EEAC"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Si bien, los efectos del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finalizaron; sin embargo, la emergencia por la Pandemia de la COVID-19 a</w:t>
      </w:r>
      <w:r w:rsidRPr="002803BD">
        <w:rPr>
          <w:rStyle w:val="normaltextrun"/>
          <w:rFonts w:ascii="Museo Sans 300" w:hAnsi="Museo Sans 300" w:cs="Museo Sans 300"/>
          <w:sz w:val="20"/>
          <w:szCs w:val="20"/>
        </w:rPr>
        <w:t>ú</w:t>
      </w:r>
      <w:r w:rsidRPr="002803BD">
        <w:rPr>
          <w:rStyle w:val="normaltextrun"/>
          <w:rFonts w:ascii="Museo Sans 300" w:hAnsi="Museo Sans 300" w:cs="Segoe UI"/>
          <w:sz w:val="20"/>
          <w:szCs w:val="20"/>
        </w:rPr>
        <w:t>n subsiste, y as</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0AE67D5" w14:textId="77777777" w:rsidR="002803BD" w:rsidRPr="00937F60" w:rsidRDefault="002803BD" w:rsidP="002803BD">
      <w:pPr>
        <w:pStyle w:val="paragraph"/>
        <w:shd w:val="clear" w:color="auto" w:fill="FFFFFF"/>
        <w:spacing w:before="0" w:beforeAutospacing="0" w:after="0" w:afterAutospacing="0"/>
        <w:ind w:left="1275"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DD20DC0"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8B78699" w14:textId="5163460C" w:rsidR="002803BD" w:rsidRPr="002803BD" w:rsidRDefault="002803BD" w:rsidP="002803B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2803BD">
        <w:rPr>
          <w:rStyle w:val="normaltextrun"/>
          <w:rFonts w:ascii="Museo Sans 300" w:hAnsi="Museo Sans 300" w:cs="Segoe UI"/>
          <w:sz w:val="20"/>
          <w:szCs w:val="20"/>
        </w:rPr>
        <w:t>  </w:t>
      </w:r>
    </w:p>
    <w:p w14:paraId="3D5F642F" w14:textId="34FD8431" w:rsidR="002803BD" w:rsidRDefault="002803BD" w:rsidP="00782B0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2803BD">
        <w:rPr>
          <w:rStyle w:val="normaltextrun"/>
          <w:rFonts w:ascii="Museo Sans 300" w:hAnsi="Museo Sans 300" w:cs="Segoe UI"/>
          <w:sz w:val="20"/>
          <w:szCs w:val="20"/>
        </w:rPr>
        <w:t> </w:t>
      </w:r>
    </w:p>
    <w:p w14:paraId="29BBCED8" w14:textId="28FF2DDB" w:rsidR="003A6052" w:rsidRPr="00FE6895"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r w:rsidR="00EA1E65" w:rsidRPr="00FE6895">
        <w:rPr>
          <w:rFonts w:ascii="Museo Sans 500" w:hAnsi="Museo Sans 500"/>
          <w:b/>
          <w:sz w:val="20"/>
          <w:szCs w:val="20"/>
        </w:rPr>
        <w:t>JURÍDICO DEL CAU</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04A1B93C" w:rsidR="003A6052" w:rsidRPr="00FE6895"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3A6052" w:rsidRPr="00FE6895">
        <w:rPr>
          <w:rFonts w:ascii="Museo Sans 500" w:hAnsi="Museo Sans 500"/>
          <w:b/>
          <w:bCs/>
          <w:sz w:val="20"/>
          <w:szCs w:val="20"/>
        </w:rPr>
        <w:t>Documentación presentada por la sociedad AES CLESA y Cía., S. en C. de C.V. para demostrar la existencia de caso fortuito o fuerza mayor</w:t>
      </w:r>
      <w:r w:rsidR="00623C5C">
        <w:rPr>
          <w:rFonts w:ascii="Museo Sans 500" w:hAnsi="Museo Sans 500"/>
          <w:b/>
          <w:bCs/>
          <w:sz w:val="20"/>
          <w:szCs w:val="20"/>
        </w:rPr>
        <w:t>.</w:t>
      </w:r>
    </w:p>
    <w:p w14:paraId="149AE98E" w14:textId="7C7A6722"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La sociedad AES CLESA y Cía., S. en C. de C.V. manifestó que no realizó las actividades</w:t>
      </w:r>
      <w:r w:rsidR="00AB59D7">
        <w:rPr>
          <w:rFonts w:ascii="Museo Sans 300" w:hAnsi="Museo Sans 300"/>
          <w:sz w:val="20"/>
          <w:szCs w:val="20"/>
        </w:rPr>
        <w:t xml:space="preserve"> de toma de lectura de medición</w:t>
      </w:r>
      <w:r w:rsidR="00E2121F">
        <w:rPr>
          <w:rFonts w:ascii="Museo Sans 300" w:hAnsi="Museo Sans 300"/>
          <w:sz w:val="20"/>
          <w:szCs w:val="20"/>
        </w:rPr>
        <w:t xml:space="preserve"> desde enero del dos mil diecisiete</w:t>
      </w:r>
      <w:r w:rsidR="00AB59D7">
        <w:rPr>
          <w:rFonts w:ascii="Museo Sans 300" w:hAnsi="Museo Sans 300"/>
          <w:sz w:val="20"/>
          <w:szCs w:val="20"/>
        </w:rPr>
        <w:t xml:space="preserve"> </w:t>
      </w:r>
      <w:r w:rsidRPr="00FE6895">
        <w:rPr>
          <w:rFonts w:ascii="Museo Sans 300" w:hAnsi="Museo Sans 300"/>
          <w:sz w:val="20"/>
          <w:szCs w:val="20"/>
        </w:rPr>
        <w:t xml:space="preserve">en </w:t>
      </w:r>
      <w:r w:rsidR="00AB59D7">
        <w:rPr>
          <w:rFonts w:ascii="Museo Sans 300" w:hAnsi="Museo Sans 300"/>
          <w:sz w:val="20"/>
          <w:szCs w:val="20"/>
        </w:rPr>
        <w:t xml:space="preserve">el suministro identificado con el </w:t>
      </w:r>
      <w:r w:rsidR="00AB59D7" w:rsidRPr="007249B9">
        <w:rPr>
          <w:rFonts w:ascii="Museo Sans 300" w:eastAsia="Times New Roman" w:hAnsi="Museo Sans 300"/>
          <w:sz w:val="20"/>
          <w:szCs w:val="20"/>
          <w:lang w:eastAsia="es-ES"/>
        </w:rPr>
        <w:t>NIC</w:t>
      </w:r>
      <w:r w:rsidR="00B64315">
        <w:rPr>
          <w:rFonts w:ascii="Museo Sans 300" w:eastAsia="Times New Roman" w:hAnsi="Museo Sans 300"/>
          <w:sz w:val="20"/>
          <w:szCs w:val="20"/>
          <w:lang w:eastAsia="es-ES"/>
        </w:rPr>
        <w:t xml:space="preserve"> </w:t>
      </w:r>
      <w:r w:rsidR="0017402E">
        <w:rPr>
          <w:rFonts w:ascii="Museo Sans 300" w:eastAsia="Times New Roman" w:hAnsi="Museo Sans 300"/>
          <w:sz w:val="20"/>
          <w:szCs w:val="20"/>
          <w:lang w:eastAsia="es-ES"/>
        </w:rPr>
        <w:t>XXX</w:t>
      </w:r>
      <w:r w:rsidR="00AB59D7">
        <w:rPr>
          <w:rFonts w:ascii="Museo Sans 300" w:hAnsi="Museo Sans 300"/>
          <w:sz w:val="20"/>
          <w:szCs w:val="20"/>
        </w:rPr>
        <w:t xml:space="preserve"> </w:t>
      </w:r>
      <w:r w:rsidRPr="00FE6895">
        <w:rPr>
          <w:rFonts w:ascii="Museo Sans 300" w:hAnsi="Museo Sans 300"/>
          <w:sz w:val="20"/>
          <w:szCs w:val="20"/>
        </w:rPr>
        <w:t>instalado</w:t>
      </w:r>
      <w:r w:rsidR="00373552">
        <w:rPr>
          <w:rFonts w:ascii="Museo Sans 300" w:hAnsi="Museo Sans 300"/>
          <w:sz w:val="20"/>
          <w:szCs w:val="20"/>
        </w:rPr>
        <w:t xml:space="preserve"> en el cas</w:t>
      </w:r>
      <w:r w:rsidR="00B64315">
        <w:rPr>
          <w:rFonts w:ascii="Museo Sans 300" w:hAnsi="Museo Sans 300"/>
          <w:sz w:val="20"/>
          <w:szCs w:val="20"/>
        </w:rPr>
        <w:t xml:space="preserve">erío </w:t>
      </w:r>
      <w:r w:rsidR="0017402E">
        <w:rPr>
          <w:rFonts w:ascii="Museo Sans 300" w:hAnsi="Museo Sans 300"/>
          <w:sz w:val="20"/>
          <w:szCs w:val="20"/>
        </w:rPr>
        <w:t>XXX</w:t>
      </w:r>
      <w:r w:rsidR="00373552">
        <w:rPr>
          <w:rFonts w:ascii="Museo Sans 300" w:hAnsi="Museo Sans 300"/>
          <w:sz w:val="20"/>
          <w:szCs w:val="20"/>
        </w:rPr>
        <w:t xml:space="preserve">, cantón </w:t>
      </w:r>
      <w:r w:rsidR="0017402E">
        <w:rPr>
          <w:rFonts w:ascii="Museo Sans 300" w:hAnsi="Museo Sans 300"/>
          <w:sz w:val="20"/>
          <w:szCs w:val="20"/>
        </w:rPr>
        <w:t>XXX</w:t>
      </w:r>
      <w:r w:rsidR="00B64315">
        <w:rPr>
          <w:rFonts w:ascii="Museo Sans 300" w:hAnsi="Museo Sans 300"/>
          <w:sz w:val="20"/>
          <w:szCs w:val="20"/>
        </w:rPr>
        <w:t>,</w:t>
      </w:r>
      <w:r w:rsidR="00AB59D7">
        <w:rPr>
          <w:rFonts w:ascii="Museo Sans 300" w:hAnsi="Museo Sans 300"/>
          <w:sz w:val="20"/>
          <w:szCs w:val="20"/>
        </w:rPr>
        <w:t xml:space="preserve"> municipio </w:t>
      </w:r>
      <w:r w:rsidR="00373552">
        <w:rPr>
          <w:rFonts w:ascii="Museo Sans 300" w:hAnsi="Museo Sans 300"/>
          <w:sz w:val="20"/>
          <w:szCs w:val="20"/>
        </w:rPr>
        <w:t>d</w:t>
      </w:r>
      <w:r w:rsidR="00AB59D7">
        <w:rPr>
          <w:rFonts w:ascii="Museo Sans 300" w:hAnsi="Museo Sans 300"/>
          <w:sz w:val="20"/>
          <w:szCs w:val="20"/>
        </w:rPr>
        <w:t xml:space="preserve">e </w:t>
      </w:r>
      <w:r w:rsidR="0017402E">
        <w:rPr>
          <w:rFonts w:ascii="Museo Sans 300" w:hAnsi="Museo Sans 300"/>
          <w:sz w:val="20"/>
          <w:szCs w:val="20"/>
        </w:rPr>
        <w:t>XXX</w:t>
      </w:r>
      <w:r w:rsidR="00AB59D7">
        <w:rPr>
          <w:rFonts w:ascii="Museo Sans 300" w:hAnsi="Museo Sans 300"/>
          <w:sz w:val="20"/>
          <w:szCs w:val="20"/>
        </w:rPr>
        <w:t xml:space="preserve">, departamento de </w:t>
      </w:r>
      <w:r w:rsidR="0017402E">
        <w:rPr>
          <w:rFonts w:ascii="Museo Sans 300" w:hAnsi="Museo Sans 300"/>
          <w:sz w:val="20"/>
          <w:szCs w:val="20"/>
        </w:rPr>
        <w:t>XXX</w:t>
      </w:r>
      <w:r w:rsidR="00AB59D7">
        <w:rPr>
          <w:rFonts w:ascii="Museo Sans 300" w:hAnsi="Museo Sans 300"/>
          <w:sz w:val="20"/>
          <w:szCs w:val="20"/>
        </w:rPr>
        <w:t xml:space="preserve">, donde se encuentra el inmueble propiedad del señor </w:t>
      </w:r>
      <w:r w:rsidR="0017402E">
        <w:rPr>
          <w:rFonts w:ascii="Museo Sans 300" w:hAnsi="Museo Sans 300"/>
          <w:sz w:val="20"/>
          <w:szCs w:val="20"/>
        </w:rPr>
        <w:t>XXX</w:t>
      </w:r>
      <w:r w:rsidR="005C2E1E">
        <w:rPr>
          <w:rFonts w:ascii="Museo Sans 300" w:hAnsi="Museo Sans 300"/>
          <w:sz w:val="20"/>
          <w:szCs w:val="20"/>
        </w:rPr>
        <w:t xml:space="preserve">, debido a </w:t>
      </w:r>
      <w:r w:rsidR="00C84B12">
        <w:rPr>
          <w:rFonts w:ascii="Museo Sans 300" w:hAnsi="Museo Sans 300"/>
          <w:sz w:val="20"/>
          <w:szCs w:val="20"/>
        </w:rPr>
        <w:t>que la zona es de alto</w:t>
      </w:r>
      <w:r w:rsidR="001B1C43">
        <w:rPr>
          <w:rFonts w:ascii="Museo Sans 300" w:hAnsi="Museo Sans 300"/>
          <w:sz w:val="20"/>
          <w:szCs w:val="20"/>
        </w:rPr>
        <w:t xml:space="preserve"> índice delincuencial.</w:t>
      </w:r>
    </w:p>
    <w:p w14:paraId="7FDBE661" w14:textId="32221472" w:rsidR="00B64315" w:rsidRDefault="00B64315" w:rsidP="003A6052">
      <w:pPr>
        <w:tabs>
          <w:tab w:val="left" w:pos="284"/>
        </w:tabs>
        <w:spacing w:after="0" w:line="240" w:lineRule="auto"/>
        <w:ind w:left="567"/>
        <w:jc w:val="both"/>
        <w:rPr>
          <w:rFonts w:ascii="Museo Sans 300" w:hAnsi="Museo Sans 300"/>
          <w:sz w:val="20"/>
          <w:szCs w:val="20"/>
        </w:rPr>
      </w:pPr>
    </w:p>
    <w:p w14:paraId="53322B35" w14:textId="26ABA1DB" w:rsidR="003A6052" w:rsidRPr="00FE6895" w:rsidRDefault="003A6052" w:rsidP="003A6052">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Para respaldar su argumento, la distribuidora presentó declaraciones testimoniales y formato</w:t>
      </w:r>
      <w:r w:rsidR="00F221DB">
        <w:rPr>
          <w:rFonts w:ascii="Museo Sans 300" w:hAnsi="Museo Sans 300"/>
          <w:sz w:val="20"/>
          <w:szCs w:val="20"/>
        </w:rPr>
        <w:t>s</w:t>
      </w:r>
      <w:r w:rsidRPr="075A78FC">
        <w:rPr>
          <w:rFonts w:ascii="Museo Sans 300" w:hAnsi="Museo Sans 300"/>
          <w:sz w:val="20"/>
          <w:szCs w:val="20"/>
        </w:rPr>
        <w:t xml:space="preserve"> de reporte</w:t>
      </w:r>
      <w:r w:rsidR="00F221DB">
        <w:rPr>
          <w:rFonts w:ascii="Museo Sans 300" w:hAnsi="Museo Sans 300"/>
          <w:sz w:val="20"/>
          <w:szCs w:val="20"/>
        </w:rPr>
        <w:t>s</w:t>
      </w:r>
      <w:r w:rsidRPr="075A78FC">
        <w:rPr>
          <w:rFonts w:ascii="Museo Sans 300" w:hAnsi="Museo Sans 300"/>
          <w:sz w:val="20"/>
          <w:szCs w:val="20"/>
        </w:rPr>
        <w:t xml:space="preserve"> de suceso</w:t>
      </w:r>
      <w:r w:rsidR="00F221DB">
        <w:rPr>
          <w:rFonts w:ascii="Museo Sans 300" w:hAnsi="Museo Sans 300"/>
          <w:sz w:val="20"/>
          <w:szCs w:val="20"/>
        </w:rPr>
        <w:t>s</w:t>
      </w:r>
      <w:r w:rsidRPr="075A78FC">
        <w:rPr>
          <w:rFonts w:ascii="Museo Sans 300" w:hAnsi="Museo Sans 300"/>
          <w:sz w:val="20"/>
          <w:szCs w:val="20"/>
        </w:rPr>
        <w:t xml:space="preserve"> peligroso</w:t>
      </w:r>
      <w:r w:rsidR="00F221DB">
        <w:rPr>
          <w:rFonts w:ascii="Museo Sans 300" w:hAnsi="Museo Sans 300"/>
          <w:sz w:val="20"/>
          <w:szCs w:val="20"/>
        </w:rPr>
        <w:t>s</w:t>
      </w:r>
      <w:r w:rsidRPr="075A78FC">
        <w:rPr>
          <w:rFonts w:ascii="Museo Sans 300" w:hAnsi="Museo Sans 300"/>
          <w:sz w:val="20"/>
          <w:szCs w:val="20"/>
        </w:rPr>
        <w:t>, en los cuales personal de campo contratado por la distribuidora, describen condiciones de inseguridad que ocurrieron mientras realizan la toma de lectura de</w:t>
      </w:r>
      <w:r w:rsidR="75D0480E" w:rsidRPr="075A78FC">
        <w:rPr>
          <w:rFonts w:ascii="Museo Sans 300" w:hAnsi="Museo Sans 300"/>
          <w:sz w:val="20"/>
          <w:szCs w:val="20"/>
        </w:rPr>
        <w:t>l</w:t>
      </w:r>
      <w:r w:rsidRPr="075A78FC">
        <w:rPr>
          <w:rFonts w:ascii="Museo Sans 300" w:hAnsi="Museo Sans 300"/>
          <w:sz w:val="20"/>
          <w:szCs w:val="20"/>
        </w:rPr>
        <w:t xml:space="preserve"> medidor</w:t>
      </w:r>
      <w:r w:rsidRPr="075A78FC">
        <w:rPr>
          <w:rFonts w:ascii="Museo Sans 300" w:hAnsi="Museo Sans 300"/>
          <w:sz w:val="20"/>
          <w:szCs w:val="20"/>
          <w:lang w:val="es-ES"/>
        </w:rPr>
        <w:t xml:space="preserve">. </w:t>
      </w:r>
    </w:p>
    <w:p w14:paraId="5043CB0F" w14:textId="77777777" w:rsidR="003A6052" w:rsidRPr="00FE6895" w:rsidRDefault="003A6052" w:rsidP="003A6052">
      <w:pPr>
        <w:tabs>
          <w:tab w:val="left" w:pos="284"/>
        </w:tabs>
        <w:spacing w:after="0" w:line="240" w:lineRule="auto"/>
        <w:jc w:val="both"/>
        <w:rPr>
          <w:rFonts w:ascii="Museo Sans 300" w:hAnsi="Museo Sans 300"/>
          <w:sz w:val="20"/>
          <w:szCs w:val="20"/>
        </w:rPr>
      </w:pPr>
    </w:p>
    <w:p w14:paraId="6A58A587" w14:textId="77777777" w:rsidR="003A6052" w:rsidRPr="00FE6895" w:rsidRDefault="003A6052" w:rsidP="003A6052">
      <w:pPr>
        <w:autoSpaceDE w:val="0"/>
        <w:autoSpaceDN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que el servicio público de energía eléctrica se preste en las condiciones que se establece en las distintas 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0745931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C4DE088"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En ese sentido y respaldado por el marco regulatorio, el usuario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6537F28F"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653A684" w14:textId="64F94FA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0CF1AD50"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w:t>
      </w:r>
      <w:r w:rsidR="00FC3237">
        <w:rPr>
          <w:rFonts w:ascii="Museo Sans 300" w:hAnsi="Museo Sans 300"/>
          <w:color w:val="000000"/>
          <w:sz w:val="20"/>
          <w:szCs w:val="20"/>
        </w:rPr>
        <w:t>aso fortuito por parte de esta S</w:t>
      </w:r>
      <w:r w:rsidRPr="00FE6895">
        <w:rPr>
          <w:rFonts w:ascii="Museo Sans 300" w:hAnsi="Museo Sans 300"/>
          <w:color w:val="000000"/>
          <w:sz w:val="20"/>
          <w:szCs w:val="20"/>
        </w:rPr>
        <w:t>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B143C">
      <w:pPr>
        <w:numPr>
          <w:ilvl w:val="2"/>
          <w:numId w:val="35"/>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18BFEC82" w:rsidR="003A6052" w:rsidRPr="00FE6895" w:rsidRDefault="00F30854"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Pr>
          <w:rFonts w:ascii="Museo Sans 300" w:hAnsi="Museo Sans 300"/>
          <w:color w:val="000000"/>
          <w:sz w:val="20"/>
          <w:szCs w:val="20"/>
        </w:rPr>
        <w:t>Compensar o no al usuario</w:t>
      </w:r>
      <w:r w:rsidR="003A6052" w:rsidRPr="00FE6895">
        <w:rPr>
          <w:rFonts w:ascii="Museo Sans 300" w:hAnsi="Museo Sans 300"/>
          <w:color w:val="000000"/>
          <w:sz w:val="20"/>
          <w:szCs w:val="20"/>
        </w:rPr>
        <w:t xml:space="preserve">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2E96DBCC" w14:textId="77777777" w:rsidR="003A6052" w:rsidRPr="00FE6895" w:rsidRDefault="003A6052"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463F29E8" w14:textId="77777777" w:rsidR="003A6052" w:rsidRPr="00FE6895" w:rsidRDefault="003A6052" w:rsidP="003A6052">
      <w:pPr>
        <w:pStyle w:val="Prrafodelista"/>
        <w:rPr>
          <w:rFonts w:ascii="Museo Sans 300" w:hAnsi="Museo Sans 300"/>
          <w:sz w:val="20"/>
          <w:szCs w:val="20"/>
        </w:rPr>
      </w:pPr>
    </w:p>
    <w:p w14:paraId="7F46D1A7" w14:textId="73A8233E" w:rsidR="003A6052" w:rsidRDefault="003A6052" w:rsidP="002803BD">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 xml:space="preserve">De lo expuesto, debe entenderse que las pruebas incorporadas por las distribuidoras son indispensables, debido a </w:t>
      </w:r>
      <w:r w:rsidR="138E1F99" w:rsidRPr="075A78FC">
        <w:rPr>
          <w:rFonts w:ascii="Museo Sans 300" w:hAnsi="Museo Sans 300"/>
          <w:sz w:val="20"/>
          <w:szCs w:val="20"/>
        </w:rPr>
        <w:t>que,</w:t>
      </w:r>
      <w:r w:rsidRPr="075A78FC">
        <w:rPr>
          <w:rFonts w:ascii="Museo Sans 300" w:hAnsi="Museo Sans 300"/>
          <w:sz w:val="20"/>
          <w:szCs w:val="20"/>
        </w:rPr>
        <w:t xml:space="preserve"> con base en ellas, la Gerencia de Electricidad de esta </w:t>
      </w:r>
      <w:r w:rsidR="00F221DB">
        <w:rPr>
          <w:rFonts w:ascii="Museo Sans 300" w:hAnsi="Museo Sans 300"/>
          <w:sz w:val="20"/>
          <w:szCs w:val="20"/>
        </w:rPr>
        <w:t>S</w:t>
      </w:r>
      <w:r w:rsidRPr="075A78FC">
        <w:rPr>
          <w:rFonts w:ascii="Museo Sans 300" w:hAnsi="Museo Sans 300"/>
          <w:sz w:val="20"/>
          <w:szCs w:val="20"/>
        </w:rPr>
        <w:t>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1B3A1EA5"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N.° </w:t>
      </w:r>
      <w:r w:rsidR="00FE6895">
        <w:rPr>
          <w:rFonts w:ascii="Museo Sans 300" w:hAnsi="Museo Sans 300"/>
          <w:sz w:val="20"/>
          <w:szCs w:val="20"/>
        </w:rPr>
        <w:t>IT-NT-202</w:t>
      </w:r>
      <w:r w:rsidR="00F221DB">
        <w:rPr>
          <w:rFonts w:ascii="Museo Sans 300" w:hAnsi="Museo Sans 300"/>
          <w:sz w:val="20"/>
          <w:szCs w:val="20"/>
        </w:rPr>
        <w:t>0</w:t>
      </w:r>
      <w:r w:rsidR="00FE6895">
        <w:rPr>
          <w:rFonts w:ascii="Museo Sans 300" w:hAnsi="Museo Sans 300"/>
          <w:sz w:val="20"/>
          <w:szCs w:val="20"/>
        </w:rPr>
        <w:t>-</w:t>
      </w:r>
      <w:r w:rsidR="00F221DB">
        <w:rPr>
          <w:rFonts w:ascii="Museo Sans 300" w:hAnsi="Museo Sans 300"/>
          <w:sz w:val="20"/>
          <w:szCs w:val="20"/>
        </w:rPr>
        <w:t>10</w:t>
      </w:r>
      <w:r w:rsidR="00672418">
        <w:rPr>
          <w:rFonts w:ascii="Museo Sans 300" w:hAnsi="Museo Sans 300"/>
          <w:sz w:val="20"/>
          <w:szCs w:val="20"/>
        </w:rPr>
        <w:t>-</w:t>
      </w:r>
      <w:r w:rsidR="00F221DB">
        <w:rPr>
          <w:rFonts w:ascii="Museo Sans 300" w:hAnsi="Museo Sans 300"/>
          <w:sz w:val="20"/>
          <w:szCs w:val="20"/>
        </w:rPr>
        <w:t>115</w:t>
      </w:r>
      <w:r w:rsidRPr="00FE6895">
        <w:rPr>
          <w:rFonts w:ascii="Museo Sans 300" w:hAnsi="Museo Sans 300"/>
          <w:sz w:val="20"/>
          <w:szCs w:val="20"/>
        </w:rPr>
        <w:t>, concluyó que las pruebas eran deficientes y no cumplían con los requisitos necesarios para poder ser enmarcadas como constitutivo de fuerza mayor, y ser exonerados de responsabilidad atribuible a la distribuidora.</w:t>
      </w:r>
    </w:p>
    <w:p w14:paraId="1C8B630B" w14:textId="7777777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presente caso, la distribuidora no presentó las pruebas idóneas que demostraran los hechos que le impidieron efectuar lecturas de medición, por lo que debe entenderse que en el presente caso existió por parte de la empresa distribuidora un incumplimiento a las disposiciones legales, atribuciones y deberes que le competen en razón de sus funciones específicas.</w:t>
      </w:r>
    </w:p>
    <w:p w14:paraId="5167A528" w14:textId="1156E856" w:rsidR="00F221DB" w:rsidRDefault="003A6052" w:rsidP="00F221DB">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Conforme a lo anterior, bajo el marco regulatorio aplicable y ponderando lo determinad</w:t>
      </w:r>
      <w:r w:rsidR="00FC3237">
        <w:rPr>
          <w:rFonts w:ascii="Museo Sans 300" w:hAnsi="Museo Sans 300"/>
          <w:sz w:val="20"/>
          <w:szCs w:val="20"/>
        </w:rPr>
        <w:t>o en el informe señalado, esta S</w:t>
      </w:r>
      <w:r w:rsidRPr="00FE6895">
        <w:rPr>
          <w:rFonts w:ascii="Museo Sans 300" w:hAnsi="Museo Sans 300"/>
          <w:sz w:val="20"/>
          <w:szCs w:val="20"/>
        </w:rPr>
        <w:t>uperintendencia es del criterio que la sociedad AES CLESA y Cía., S. en C. de C.V. no demostró mediante las pruebas remitidas que haya</w:t>
      </w:r>
      <w:r w:rsidR="00D968AE" w:rsidRPr="00FE6895">
        <w:rPr>
          <w:rFonts w:ascii="Museo Sans 300" w:hAnsi="Museo Sans 300"/>
          <w:sz w:val="20"/>
          <w:szCs w:val="20"/>
        </w:rPr>
        <w:t>n</w:t>
      </w:r>
      <w:r w:rsidRPr="00FE6895">
        <w:rPr>
          <w:rFonts w:ascii="Museo Sans 300" w:hAnsi="Museo Sans 300"/>
          <w:sz w:val="20"/>
          <w:szCs w:val="20"/>
        </w:rPr>
        <w:t xml:space="preserve"> existido causales constitutivas de fuerza mayor para no realizar las lecturas a</w:t>
      </w:r>
      <w:r w:rsidR="00E6198A">
        <w:rPr>
          <w:rFonts w:ascii="Museo Sans 300" w:hAnsi="Museo Sans 300"/>
          <w:sz w:val="20"/>
          <w:szCs w:val="20"/>
        </w:rPr>
        <w:t>l</w:t>
      </w:r>
      <w:r w:rsidR="00E6198A" w:rsidRPr="00E6198A">
        <w:rPr>
          <w:rFonts w:ascii="Museo Sans 300" w:hAnsi="Museo Sans 300"/>
          <w:sz w:val="20"/>
          <w:szCs w:val="20"/>
        </w:rPr>
        <w:t xml:space="preserve"> suministro identificado con el NIC </w:t>
      </w:r>
      <w:r w:rsidR="0017402E">
        <w:rPr>
          <w:rFonts w:ascii="Museo Sans 300" w:hAnsi="Museo Sans 300"/>
          <w:sz w:val="20"/>
          <w:szCs w:val="20"/>
        </w:rPr>
        <w:t>XXX</w:t>
      </w:r>
      <w:r w:rsidR="00E6198A" w:rsidRPr="00E6198A">
        <w:rPr>
          <w:rFonts w:ascii="Museo Sans 300" w:hAnsi="Museo Sans 300"/>
          <w:sz w:val="20"/>
          <w:szCs w:val="20"/>
        </w:rPr>
        <w:t xml:space="preserve"> instalado </w:t>
      </w:r>
      <w:r w:rsidR="00F221DB">
        <w:rPr>
          <w:rFonts w:ascii="Museo Sans 300" w:hAnsi="Museo Sans 300"/>
          <w:sz w:val="20"/>
          <w:szCs w:val="20"/>
        </w:rPr>
        <w:t xml:space="preserve">en el caserío </w:t>
      </w:r>
      <w:r w:rsidR="0017402E">
        <w:rPr>
          <w:rFonts w:ascii="Museo Sans 300" w:hAnsi="Museo Sans 300"/>
          <w:sz w:val="20"/>
          <w:szCs w:val="20"/>
        </w:rPr>
        <w:t>XXX</w:t>
      </w:r>
      <w:r w:rsidR="00F221DB">
        <w:rPr>
          <w:rFonts w:ascii="Museo Sans 300" w:hAnsi="Museo Sans 300"/>
          <w:sz w:val="20"/>
          <w:szCs w:val="20"/>
        </w:rPr>
        <w:t xml:space="preserve">, cantón </w:t>
      </w:r>
      <w:r w:rsidR="0017402E">
        <w:rPr>
          <w:rFonts w:ascii="Museo Sans 300" w:hAnsi="Museo Sans 300"/>
          <w:sz w:val="20"/>
          <w:szCs w:val="20"/>
        </w:rPr>
        <w:t>XXX</w:t>
      </w:r>
      <w:r w:rsidR="00F221DB">
        <w:rPr>
          <w:rFonts w:ascii="Museo Sans 300" w:hAnsi="Museo Sans 300"/>
          <w:sz w:val="20"/>
          <w:szCs w:val="20"/>
        </w:rPr>
        <w:t xml:space="preserve">, municipio de </w:t>
      </w:r>
      <w:r w:rsidR="0017402E">
        <w:rPr>
          <w:rFonts w:ascii="Museo Sans 300" w:hAnsi="Museo Sans 300"/>
          <w:sz w:val="20"/>
          <w:szCs w:val="20"/>
        </w:rPr>
        <w:t>XXX</w:t>
      </w:r>
      <w:r w:rsidR="00F221DB">
        <w:rPr>
          <w:rFonts w:ascii="Museo Sans 300" w:hAnsi="Museo Sans 300"/>
          <w:sz w:val="20"/>
          <w:szCs w:val="20"/>
        </w:rPr>
        <w:t xml:space="preserve">, departamento de </w:t>
      </w:r>
      <w:r w:rsidR="0017402E">
        <w:rPr>
          <w:rFonts w:ascii="Museo Sans 300" w:hAnsi="Museo Sans 300"/>
          <w:sz w:val="20"/>
          <w:szCs w:val="20"/>
        </w:rPr>
        <w:t>XXX</w:t>
      </w:r>
      <w:r w:rsidR="00F221DB">
        <w:rPr>
          <w:rFonts w:ascii="Museo Sans 300" w:hAnsi="Museo Sans 300"/>
          <w:sz w:val="20"/>
          <w:szCs w:val="20"/>
        </w:rPr>
        <w:t xml:space="preserve">, donde se encuentra el inmueble propiedad del señor </w:t>
      </w:r>
      <w:r w:rsidR="0017402E">
        <w:rPr>
          <w:rFonts w:ascii="Museo Sans 300" w:hAnsi="Museo Sans 300"/>
          <w:sz w:val="20"/>
          <w:szCs w:val="20"/>
        </w:rPr>
        <w:t>XXX</w:t>
      </w:r>
      <w:r w:rsidR="00F221DB" w:rsidRPr="00FE6895">
        <w:rPr>
          <w:rFonts w:ascii="Museo Sans 300" w:hAnsi="Museo Sans 300"/>
          <w:sz w:val="20"/>
          <w:szCs w:val="20"/>
        </w:rPr>
        <w:t>.</w:t>
      </w:r>
    </w:p>
    <w:p w14:paraId="313CB42B" w14:textId="77777777" w:rsidR="00C67AF0" w:rsidRDefault="00C67AF0" w:rsidP="00F221DB">
      <w:pPr>
        <w:tabs>
          <w:tab w:val="left" w:pos="284"/>
        </w:tabs>
        <w:spacing w:after="0" w:line="240" w:lineRule="auto"/>
        <w:ind w:left="567"/>
        <w:jc w:val="both"/>
        <w:rPr>
          <w:rFonts w:ascii="Museo Sans 300" w:hAnsi="Museo Sans 300"/>
          <w:sz w:val="20"/>
          <w:szCs w:val="20"/>
        </w:rPr>
      </w:pPr>
    </w:p>
    <w:p w14:paraId="32CDBA03" w14:textId="77777777" w:rsidR="00F221DB" w:rsidRDefault="00F221DB" w:rsidP="00F221DB">
      <w:pPr>
        <w:tabs>
          <w:tab w:val="left" w:pos="284"/>
        </w:tabs>
        <w:spacing w:after="0" w:line="240" w:lineRule="auto"/>
        <w:ind w:left="567"/>
        <w:jc w:val="both"/>
        <w:rPr>
          <w:rFonts w:ascii="Museo Sans 300" w:hAnsi="Museo Sans 300"/>
          <w:sz w:val="20"/>
          <w:szCs w:val="20"/>
        </w:rPr>
      </w:pPr>
    </w:p>
    <w:p w14:paraId="3A738B77" w14:textId="7B39954D" w:rsidR="003A6052" w:rsidRPr="00E4250A" w:rsidRDefault="003767E4" w:rsidP="003A6052">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2.B</w:t>
      </w:r>
      <w:r w:rsidR="0063424E" w:rsidRPr="00E4250A">
        <w:rPr>
          <w:rFonts w:ascii="Museo Sans 500" w:hAnsi="Museo Sans 500"/>
          <w:b/>
          <w:sz w:val="20"/>
          <w:szCs w:val="20"/>
        </w:rPr>
        <w:t>.</w:t>
      </w:r>
      <w:r w:rsidR="003A6052" w:rsidRPr="00E4250A">
        <w:rPr>
          <w:rFonts w:ascii="Museo Sans 500" w:hAnsi="Museo Sans 500"/>
          <w:b/>
          <w:sz w:val="20"/>
          <w:szCs w:val="20"/>
        </w:rPr>
        <w:t xml:space="preserve"> Circunstancias excepcionales a ponderar </w:t>
      </w:r>
    </w:p>
    <w:p w14:paraId="67301850" w14:textId="77777777" w:rsidR="003A6052" w:rsidRPr="00E4250A" w:rsidRDefault="003A6052" w:rsidP="003A6052">
      <w:pPr>
        <w:pStyle w:val="Prrafodelista"/>
        <w:ind w:left="567"/>
        <w:jc w:val="both"/>
        <w:rPr>
          <w:rFonts w:ascii="Museo Sans 300" w:hAnsi="Museo Sans 300"/>
          <w:sz w:val="20"/>
          <w:szCs w:val="20"/>
        </w:rPr>
      </w:pPr>
      <w:r w:rsidRPr="00E4250A">
        <w:rPr>
          <w:rFonts w:ascii="Museo Sans 300" w:hAnsi="Museo Sans 300"/>
          <w:sz w:val="20"/>
          <w:szCs w:val="20"/>
        </w:rPr>
        <w:t xml:space="preserve">Corresponde mencionar que, a pesar de no haberse presentado las pruebas pertinentes y conducentes por parte de la distribuidora para demostrar los eventos de caso fortuito o fuerza mayor, la SIGET no es ajena a los hechos descritos en las declaraciones testimoniales e incidentes relatados por el personal encargados de realizar el trabajo de campo, siendo necesario señalar que la naturaleza de la causal invocada por la distribuidora obliga a esta institución a realizar un análisis de dicha situación. </w:t>
      </w:r>
    </w:p>
    <w:p w14:paraId="3B7B4B86"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041026C2"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14:paraId="29D6B04F"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 xml:space="preserve"> </w:t>
      </w:r>
    </w:p>
    <w:p w14:paraId="133A1B2B"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este punto, corresponde establecer que no existe punto de interés más importante en el derecho que la interpretación constitucional, que encuentra su expresión en la jurisprudencia de los órganos de la Corte Suprema de Justicia.</w:t>
      </w:r>
    </w:p>
    <w:p w14:paraId="3A0FF5F2" w14:textId="77777777" w:rsidR="003A6052" w:rsidRPr="00E4250A" w:rsidRDefault="003A6052" w:rsidP="003A6052">
      <w:pPr>
        <w:tabs>
          <w:tab w:val="left" w:pos="284"/>
        </w:tabs>
        <w:spacing w:after="0" w:line="0" w:lineRule="atLeast"/>
        <w:ind w:left="567" w:firstLine="141"/>
        <w:jc w:val="both"/>
        <w:rPr>
          <w:rFonts w:ascii="Museo Sans 300" w:hAnsi="Museo Sans 300"/>
          <w:sz w:val="20"/>
          <w:szCs w:val="20"/>
        </w:rPr>
      </w:pPr>
    </w:p>
    <w:p w14:paraId="4BDC5198" w14:textId="4270D829"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razón de lo anterior, </w:t>
      </w:r>
      <w:r w:rsidRPr="00E4250A">
        <w:rPr>
          <w:rFonts w:ascii="Museo Sans 300" w:hAnsi="Museo Sans 300"/>
          <w:sz w:val="20"/>
          <w:szCs w:val="20"/>
          <w:lang w:val="es-MX"/>
        </w:rPr>
        <w:t xml:space="preserve">la jurisprudencia constitucional salvadoreña ha expresado lo siguiente: </w:t>
      </w:r>
      <w:r w:rsidRPr="00E4250A">
        <w:rPr>
          <w:rFonts w:ascii="Museo Sans 300" w:hAnsi="Museo Sans 300"/>
          <w:i/>
          <w:sz w:val="20"/>
          <w:szCs w:val="20"/>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E4250A">
        <w:rPr>
          <w:rFonts w:ascii="Museo Sans 300" w:hAnsi="Museo Sans 300"/>
          <w:sz w:val="20"/>
          <w:szCs w:val="20"/>
          <w:lang w:val="es-MX"/>
        </w:rPr>
        <w:t>(Sentencia de 23-III-2001, Inc. 8-97, Considerando IX 2).</w:t>
      </w:r>
    </w:p>
    <w:p w14:paraId="7F31F44F" w14:textId="76E51A0F"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relación con la jurisprudencia citada, </w:t>
      </w:r>
      <w:r w:rsidR="00FC3237">
        <w:rPr>
          <w:rFonts w:ascii="Museo Sans 300" w:hAnsi="Museo Sans 300"/>
          <w:sz w:val="20"/>
          <w:szCs w:val="20"/>
        </w:rPr>
        <w:t>la Junta de Directores de esta S</w:t>
      </w:r>
      <w:r w:rsidRPr="00E4250A">
        <w:rPr>
          <w:rFonts w:ascii="Museo Sans 300" w:hAnsi="Museo Sans 300"/>
          <w:sz w:val="20"/>
          <w:szCs w:val="20"/>
        </w:rPr>
        <w:t xml:space="preserve">uperintendencia en un caso similar al planteado, emitió la sentencia N.° 055-E-2017, </w:t>
      </w:r>
      <w:r w:rsidR="68B3B169" w:rsidRPr="00E4250A">
        <w:rPr>
          <w:rFonts w:ascii="Museo Sans 300" w:hAnsi="Museo Sans 300"/>
          <w:sz w:val="20"/>
          <w:szCs w:val="20"/>
        </w:rPr>
        <w:t xml:space="preserve">en el cual </w:t>
      </w:r>
      <w:r w:rsidRPr="00E4250A">
        <w:rPr>
          <w:rFonts w:ascii="Museo Sans 300" w:hAnsi="Museo Sans 300"/>
          <w:sz w:val="20"/>
          <w:szCs w:val="20"/>
        </w:rPr>
        <w:t>estableci</w:t>
      </w:r>
      <w:r w:rsidR="00EF56C3" w:rsidRPr="00E4250A">
        <w:rPr>
          <w:rFonts w:ascii="Museo Sans 300" w:hAnsi="Museo Sans 300"/>
          <w:sz w:val="20"/>
          <w:szCs w:val="20"/>
        </w:rPr>
        <w:t>ó</w:t>
      </w:r>
      <w:r w:rsidRPr="00E4250A">
        <w:rPr>
          <w:rFonts w:ascii="Museo Sans 300" w:hAnsi="Museo Sans 300"/>
          <w:sz w:val="20"/>
          <w:szCs w:val="20"/>
        </w:rPr>
        <w:t xml:space="preserve"> lo siguiente:</w:t>
      </w:r>
    </w:p>
    <w:p w14:paraId="4FDE0DFB" w14:textId="77777777" w:rsidR="003A6052" w:rsidRPr="00E4250A" w:rsidRDefault="003A6052" w:rsidP="003A6052">
      <w:pPr>
        <w:pStyle w:val="Prrafodelista"/>
        <w:ind w:left="851" w:right="567"/>
        <w:jc w:val="both"/>
        <w:rPr>
          <w:rFonts w:ascii="Museo 300" w:hAnsi="Museo 300"/>
          <w:sz w:val="16"/>
          <w:szCs w:val="16"/>
        </w:rPr>
      </w:pPr>
      <w:r w:rsidRPr="00E4250A">
        <w:rPr>
          <w:rFonts w:ascii="Museo 300" w:hAnsi="Museo 300"/>
          <w:sz w:val="16"/>
          <w:szCs w:val="16"/>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5630AD66" w14:textId="77777777" w:rsidR="003A6052" w:rsidRDefault="003A6052" w:rsidP="003A6052">
      <w:pPr>
        <w:spacing w:after="0" w:line="240" w:lineRule="auto"/>
        <w:ind w:left="851" w:right="567"/>
        <w:jc w:val="both"/>
        <w:rPr>
          <w:rFonts w:ascii="Museo 300" w:hAnsi="Museo 300"/>
          <w:sz w:val="18"/>
          <w:szCs w:val="18"/>
        </w:rPr>
      </w:pPr>
    </w:p>
    <w:p w14:paraId="546785CB" w14:textId="77777777" w:rsidR="003A6052" w:rsidRPr="00E4250A" w:rsidRDefault="003A6052" w:rsidP="003A6052">
      <w:pPr>
        <w:spacing w:after="0" w:line="240" w:lineRule="auto"/>
        <w:ind w:left="851" w:right="567"/>
        <w:jc w:val="both"/>
        <w:rPr>
          <w:rFonts w:ascii="Museo 300" w:hAnsi="Museo 300"/>
          <w:sz w:val="16"/>
          <w:szCs w:val="16"/>
        </w:rPr>
      </w:pPr>
      <w:r w:rsidRPr="00E4250A">
        <w:rPr>
          <w:rFonts w:ascii="Museo 300" w:hAnsi="Museo 300"/>
          <w:sz w:val="16"/>
          <w:szCs w:val="16"/>
        </w:rPr>
        <w:t>CONCLUSIONES […]</w:t>
      </w:r>
    </w:p>
    <w:p w14:paraId="61829076" w14:textId="77777777" w:rsidR="003A6052" w:rsidRPr="00E4250A" w:rsidRDefault="003A6052" w:rsidP="003A6052">
      <w:pPr>
        <w:spacing w:after="0" w:line="240" w:lineRule="auto"/>
        <w:ind w:left="851" w:right="567"/>
        <w:jc w:val="both"/>
        <w:rPr>
          <w:rFonts w:ascii="Museo 300" w:hAnsi="Museo 300"/>
          <w:sz w:val="16"/>
          <w:szCs w:val="16"/>
        </w:rPr>
      </w:pPr>
    </w:p>
    <w:p w14:paraId="789267F3" w14:textId="00D89983" w:rsidR="008B3F06" w:rsidRDefault="003A6052" w:rsidP="00F221DB">
      <w:pPr>
        <w:pStyle w:val="Prrafodelista"/>
        <w:numPr>
          <w:ilvl w:val="0"/>
          <w:numId w:val="16"/>
        </w:numPr>
        <w:tabs>
          <w:tab w:val="left" w:pos="567"/>
        </w:tabs>
        <w:ind w:left="1134" w:right="567" w:hanging="141"/>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1085D96F" w14:textId="77777777" w:rsidR="00C67AF0" w:rsidRPr="00F221DB" w:rsidRDefault="00C67AF0" w:rsidP="00C67AF0">
      <w:pPr>
        <w:pStyle w:val="Prrafodelista"/>
        <w:tabs>
          <w:tab w:val="left" w:pos="567"/>
        </w:tabs>
        <w:ind w:left="1134" w:right="567"/>
        <w:jc w:val="both"/>
        <w:rPr>
          <w:rFonts w:ascii="Museo 300" w:hAnsi="Museo 300"/>
          <w:sz w:val="16"/>
          <w:szCs w:val="16"/>
        </w:rPr>
      </w:pPr>
    </w:p>
    <w:p w14:paraId="65CE5B03" w14:textId="7E216D4A" w:rsidR="003A6052" w:rsidRPr="00E4250A" w:rsidRDefault="003A6052" w:rsidP="003A6052">
      <w:pPr>
        <w:pStyle w:val="Prrafodelista"/>
        <w:spacing w:line="0" w:lineRule="atLeast"/>
        <w:ind w:left="567"/>
        <w:contextualSpacing/>
        <w:jc w:val="both"/>
        <w:rPr>
          <w:rFonts w:ascii="Museo Sans 300" w:hAnsi="Museo Sans 300"/>
          <w:sz w:val="20"/>
          <w:szCs w:val="20"/>
        </w:rPr>
      </w:pPr>
      <w:r w:rsidRPr="00E4250A">
        <w:rPr>
          <w:rFonts w:ascii="Museo Sans 300" w:hAnsi="Museo Sans 300"/>
          <w:sz w:val="20"/>
          <w:szCs w:val="20"/>
        </w:rPr>
        <w:t xml:space="preserve">En este punto, </w:t>
      </w:r>
      <w:r w:rsidR="00F6085B">
        <w:rPr>
          <w:rFonts w:ascii="Museo Sans 300" w:hAnsi="Museo Sans 300"/>
          <w:sz w:val="20"/>
          <w:szCs w:val="20"/>
        </w:rPr>
        <w:t>debe exponerse</w:t>
      </w:r>
      <w:r w:rsidRPr="00E4250A">
        <w:rPr>
          <w:rFonts w:ascii="Museo Sans 300" w:hAnsi="Museo Sans 300"/>
          <w:sz w:val="20"/>
          <w:szCs w:val="20"/>
        </w:rPr>
        <w:t xml:space="preserv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14:paraId="17AD93B2"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p>
    <w:p w14:paraId="63C6E30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E4250A">
        <w:rPr>
          <w:rFonts w:ascii="Museo Sans 300" w:eastAsia="Times New Roman" w:hAnsi="Museo Sans 300"/>
          <w:sz w:val="20"/>
          <w:szCs w:val="20"/>
          <w:lang w:val="es-ES" w:eastAsia="es-ES"/>
        </w:rPr>
        <w:t>Respecto de lo anterior, la SIGET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14:paraId="0DE4B5B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p>
    <w:p w14:paraId="764C3E9E"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el presente caso, debe tenerse en cuenta los hechos siguientes:</w:t>
      </w:r>
    </w:p>
    <w:p w14:paraId="66204FF1"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78898722" w14:textId="7A6ECAF3" w:rsidR="003A6052"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A pesar de que las pruebas presentadas por la sociedad AES CLESA y Cía., S. en C. de C.V.</w:t>
      </w:r>
      <w:r w:rsidR="001B15D4">
        <w:rPr>
          <w:rFonts w:ascii="Museo Sans 300" w:hAnsi="Museo Sans 300"/>
          <w:sz w:val="20"/>
          <w:szCs w:val="20"/>
        </w:rPr>
        <w:t>,</w:t>
      </w:r>
      <w:r w:rsidRPr="00E4250A">
        <w:rPr>
          <w:rFonts w:ascii="Museo Sans 300" w:hAnsi="Museo Sans 300"/>
          <w:sz w:val="20"/>
          <w:szCs w:val="20"/>
        </w:rPr>
        <w:t xml:space="preserve"> no cumplieron los requisitos formales que exige la normativa para dotarla de excepcionalidad, existen evidencias de situaciones que pudieron atentar contra la integridad física de los trabajadores contratados por la distribuidora; y,</w:t>
      </w:r>
    </w:p>
    <w:p w14:paraId="076CB6FB" w14:textId="77777777" w:rsidR="00F221DB" w:rsidRPr="00E4250A" w:rsidRDefault="00F221DB" w:rsidP="00F221DB">
      <w:pPr>
        <w:pStyle w:val="Prrafodelista"/>
        <w:tabs>
          <w:tab w:val="left" w:pos="1134"/>
        </w:tabs>
        <w:ind w:left="1134"/>
        <w:contextualSpacing/>
        <w:jc w:val="both"/>
        <w:rPr>
          <w:rFonts w:ascii="Museo Sans 300" w:hAnsi="Museo Sans 300"/>
          <w:sz w:val="20"/>
          <w:szCs w:val="20"/>
        </w:rPr>
      </w:pPr>
    </w:p>
    <w:p w14:paraId="18575CF8" w14:textId="7DF4F1FC"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El servicio de energía eléctric</w:t>
      </w:r>
      <w:r w:rsidR="0016111E">
        <w:rPr>
          <w:rFonts w:ascii="Museo Sans 300" w:hAnsi="Museo Sans 300"/>
          <w:sz w:val="20"/>
          <w:szCs w:val="20"/>
        </w:rPr>
        <w:t>a no d</w:t>
      </w:r>
      <w:r w:rsidR="00926E70">
        <w:rPr>
          <w:rFonts w:ascii="Museo Sans 300" w:hAnsi="Museo Sans 300"/>
          <w:sz w:val="20"/>
          <w:szCs w:val="20"/>
        </w:rPr>
        <w:t xml:space="preserve">ejó de ser suministrado </w:t>
      </w:r>
      <w:r w:rsidR="001B15D4">
        <w:rPr>
          <w:rFonts w:ascii="Museo Sans 300" w:hAnsi="Museo Sans 300"/>
          <w:sz w:val="20"/>
          <w:szCs w:val="20"/>
        </w:rPr>
        <w:t>al usuario.</w:t>
      </w:r>
    </w:p>
    <w:p w14:paraId="6B62F1B3" w14:textId="06F4CA84" w:rsidR="003A6052" w:rsidRDefault="003A6052" w:rsidP="003A6052">
      <w:pPr>
        <w:pStyle w:val="Prrafodelista"/>
        <w:rPr>
          <w:rFonts w:ascii="Museo Sans 300" w:hAnsi="Museo Sans 300"/>
          <w:sz w:val="22"/>
          <w:szCs w:val="22"/>
        </w:rPr>
      </w:pPr>
    </w:p>
    <w:p w14:paraId="7809D58F" w14:textId="2B359FA9" w:rsidR="000E5790" w:rsidRPr="0016111E" w:rsidRDefault="000E5790" w:rsidP="00824DA1">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6C8CC761" w14:textId="6155F72E" w:rsidR="003A6052" w:rsidRPr="0016111E" w:rsidRDefault="000E5790" w:rsidP="003A6052">
      <w:pPr>
        <w:tabs>
          <w:tab w:val="left" w:pos="284"/>
        </w:tabs>
        <w:spacing w:after="0" w:line="0" w:lineRule="atLeast"/>
        <w:ind w:left="567"/>
        <w:jc w:val="both"/>
        <w:rPr>
          <w:rFonts w:ascii="Museo Sans 300" w:hAnsi="Museo Sans 300"/>
          <w:sz w:val="20"/>
          <w:szCs w:val="20"/>
        </w:rPr>
      </w:pPr>
      <w:r w:rsidRPr="0016111E">
        <w:rPr>
          <w:rFonts w:ascii="Museo Sans 300" w:hAnsi="Museo Sans 300"/>
          <w:sz w:val="20"/>
          <w:szCs w:val="20"/>
        </w:rPr>
        <w:t>A</w:t>
      </w:r>
      <w:r w:rsidR="003A6052" w:rsidRPr="0016111E">
        <w:rPr>
          <w:rFonts w:ascii="Museo Sans 300" w:hAnsi="Museo Sans 300"/>
          <w:sz w:val="20"/>
          <w:szCs w:val="20"/>
        </w:rPr>
        <w:t>l aplicar el valor justicia a las situaciones descrita</w:t>
      </w:r>
      <w:r w:rsidR="001B15D4">
        <w:rPr>
          <w:rFonts w:ascii="Museo Sans 300" w:hAnsi="Museo Sans 300"/>
          <w:sz w:val="20"/>
          <w:szCs w:val="20"/>
        </w:rPr>
        <w:t>s y al marco regulatorio, esta S</w:t>
      </w:r>
      <w:r w:rsidR="003A6052" w:rsidRPr="0016111E">
        <w:rPr>
          <w:rFonts w:ascii="Museo Sans 300" w:hAnsi="Museo Sans 300"/>
          <w:sz w:val="20"/>
          <w:szCs w:val="20"/>
        </w:rPr>
        <w:t>uperintendencia considera que la sociedad AES CLESA y Cía., S. en C. de C.V.</w:t>
      </w:r>
      <w:r w:rsidR="001B15D4">
        <w:rPr>
          <w:rFonts w:ascii="Museo Sans 300" w:hAnsi="Museo Sans 300"/>
          <w:sz w:val="20"/>
          <w:szCs w:val="20"/>
        </w:rPr>
        <w:t>,</w:t>
      </w:r>
      <w:r w:rsidR="003A6052" w:rsidRPr="0016111E">
        <w:rPr>
          <w:rFonts w:ascii="Museo Sans 300" w:hAnsi="Museo Sans 300"/>
          <w:sz w:val="20"/>
          <w:szCs w:val="20"/>
        </w:rPr>
        <w:t xml:space="preserve"> tiene el derecho a que </w:t>
      </w:r>
      <w:r w:rsidR="001B15D4">
        <w:rPr>
          <w:rFonts w:ascii="Museo Sans 300" w:hAnsi="Museo Sans 300"/>
          <w:sz w:val="20"/>
          <w:szCs w:val="20"/>
        </w:rPr>
        <w:t>el usuario</w:t>
      </w:r>
      <w:r w:rsidR="00623C5C" w:rsidRPr="562CE293">
        <w:rPr>
          <w:rFonts w:ascii="Museo Sans 300" w:hAnsi="Museo Sans 300"/>
          <w:sz w:val="20"/>
          <w:szCs w:val="20"/>
          <w:lang w:val="es-ES"/>
        </w:rPr>
        <w:t xml:space="preserve"> </w:t>
      </w:r>
      <w:r w:rsidR="003A6052" w:rsidRPr="0016111E">
        <w:rPr>
          <w:rFonts w:ascii="Museo Sans 300" w:hAnsi="Museo Sans 300"/>
          <w:sz w:val="20"/>
          <w:szCs w:val="20"/>
        </w:rPr>
        <w:t>pague lo correspondiente a la energía eléctrica que consumi</w:t>
      </w:r>
      <w:r w:rsidR="00926E70">
        <w:rPr>
          <w:rFonts w:ascii="Museo Sans 300" w:hAnsi="Museo Sans 300"/>
          <w:sz w:val="20"/>
          <w:szCs w:val="20"/>
        </w:rPr>
        <w:t>eron</w:t>
      </w:r>
      <w:r w:rsidR="358F014D" w:rsidRPr="0016111E">
        <w:rPr>
          <w:rFonts w:ascii="Museo Sans 300" w:hAnsi="Museo Sans 300"/>
          <w:sz w:val="20"/>
          <w:szCs w:val="20"/>
        </w:rPr>
        <w:t xml:space="preserve"> </w:t>
      </w:r>
      <w:r w:rsidR="003A6052" w:rsidRPr="0016111E">
        <w:rPr>
          <w:rFonts w:ascii="Museo Sans 300" w:hAnsi="Museo Sans 300"/>
          <w:sz w:val="20"/>
          <w:szCs w:val="20"/>
        </w:rPr>
        <w:t>durante el período en que se acumularon los cobros</w:t>
      </w:r>
      <w:r w:rsidR="00623C5C">
        <w:rPr>
          <w:rFonts w:ascii="Museo Sans 300" w:hAnsi="Museo Sans 300"/>
          <w:sz w:val="20"/>
          <w:szCs w:val="20"/>
        </w:rPr>
        <w:t>;</w:t>
      </w:r>
      <w:r w:rsidR="00623C5C" w:rsidRPr="0016111E">
        <w:rPr>
          <w:rFonts w:ascii="Museo Sans 300" w:hAnsi="Museo Sans 300"/>
          <w:sz w:val="20"/>
          <w:szCs w:val="20"/>
        </w:rPr>
        <w:t xml:space="preserve"> </w:t>
      </w:r>
      <w:r w:rsidR="00623C5C">
        <w:rPr>
          <w:rFonts w:ascii="Museo Sans 300" w:hAnsi="Museo Sans 300"/>
          <w:sz w:val="20"/>
          <w:szCs w:val="20"/>
        </w:rPr>
        <w:t>d</w:t>
      </w:r>
      <w:r w:rsidR="003A6052" w:rsidRPr="0016111E">
        <w:rPr>
          <w:rFonts w:ascii="Museo Sans 300" w:hAnsi="Museo Sans 300"/>
          <w:sz w:val="20"/>
          <w:szCs w:val="20"/>
        </w:rPr>
        <w:t>ebiendo esta institución verificar que dicho co</w:t>
      </w:r>
      <w:r w:rsidR="0016111E" w:rsidRPr="0016111E">
        <w:rPr>
          <w:rFonts w:ascii="Museo Sans 300" w:hAnsi="Museo Sans 300"/>
          <w:sz w:val="20"/>
          <w:szCs w:val="20"/>
        </w:rPr>
        <w:t>bro obedezca al consumo real de</w:t>
      </w:r>
      <w:r w:rsidR="00926E70">
        <w:rPr>
          <w:rFonts w:ascii="Museo Sans 300" w:hAnsi="Museo Sans 300"/>
          <w:sz w:val="20"/>
          <w:szCs w:val="20"/>
        </w:rPr>
        <w:t xml:space="preserve"> cada</w:t>
      </w:r>
      <w:r w:rsidR="0016111E" w:rsidRPr="0016111E">
        <w:rPr>
          <w:rFonts w:ascii="Museo Sans 300" w:hAnsi="Museo Sans 300"/>
          <w:sz w:val="20"/>
          <w:szCs w:val="20"/>
        </w:rPr>
        <w:t xml:space="preserve"> usuario.</w:t>
      </w:r>
    </w:p>
    <w:p w14:paraId="02F2C34E" w14:textId="150366BA" w:rsidR="003A6052" w:rsidRDefault="00A0510D" w:rsidP="003A6052">
      <w:pPr>
        <w:tabs>
          <w:tab w:val="left" w:pos="284"/>
        </w:tabs>
        <w:spacing w:after="0" w:line="0" w:lineRule="atLeast"/>
        <w:ind w:left="567"/>
        <w:jc w:val="both"/>
        <w:rPr>
          <w:rFonts w:ascii="Museo Sans 300" w:hAnsi="Museo Sans 300"/>
        </w:rPr>
      </w:pPr>
      <w:r>
        <w:rPr>
          <w:rFonts w:ascii="Museo Sans 300" w:hAnsi="Museo Sans 300"/>
        </w:rPr>
        <w:t xml:space="preserve"> </w:t>
      </w:r>
    </w:p>
    <w:p w14:paraId="3E88A744" w14:textId="45B2CF3D" w:rsidR="00A0510D" w:rsidRPr="0016111E" w:rsidRDefault="00A0510D" w:rsidP="003A6052">
      <w:pPr>
        <w:tabs>
          <w:tab w:val="left" w:pos="284"/>
        </w:tabs>
        <w:spacing w:after="0" w:line="0" w:lineRule="atLeast"/>
        <w:ind w:left="567"/>
        <w:jc w:val="both"/>
        <w:rPr>
          <w:rFonts w:ascii="Museo Sans 500" w:hAnsi="Museo Sans 500"/>
          <w:b/>
          <w:bCs/>
          <w:sz w:val="20"/>
          <w:szCs w:val="20"/>
        </w:rPr>
      </w:pPr>
      <w:r w:rsidRPr="0016111E">
        <w:rPr>
          <w:rFonts w:ascii="Museo Sans 500" w:hAnsi="Museo Sans 500"/>
          <w:b/>
          <w:bCs/>
          <w:sz w:val="20"/>
          <w:szCs w:val="20"/>
        </w:rPr>
        <w:t>Sobre el cobro en concepto de energía eléctrica</w:t>
      </w:r>
    </w:p>
    <w:p w14:paraId="77C53857" w14:textId="77777777" w:rsidR="00A0510D" w:rsidRPr="0016111E" w:rsidRDefault="00A0510D" w:rsidP="003A6052">
      <w:pPr>
        <w:tabs>
          <w:tab w:val="left" w:pos="284"/>
        </w:tabs>
        <w:spacing w:after="0" w:line="0" w:lineRule="atLeast"/>
        <w:ind w:left="567"/>
        <w:jc w:val="both"/>
        <w:rPr>
          <w:rFonts w:ascii="Museo Sans 300" w:hAnsi="Museo Sans 300"/>
          <w:sz w:val="20"/>
          <w:szCs w:val="20"/>
        </w:rPr>
      </w:pPr>
    </w:p>
    <w:p w14:paraId="5388E2E0" w14:textId="1F897B84" w:rsidR="00623C5C" w:rsidRPr="001B15D4" w:rsidRDefault="00623C5C" w:rsidP="00D73621">
      <w:pPr>
        <w:tabs>
          <w:tab w:val="left" w:pos="284"/>
        </w:tabs>
        <w:spacing w:after="0" w:line="240" w:lineRule="auto"/>
        <w:ind w:left="567"/>
        <w:jc w:val="both"/>
        <w:rPr>
          <w:rFonts w:ascii="Museo Sans 300" w:hAnsi="Museo Sans 300"/>
          <w:sz w:val="20"/>
          <w:szCs w:val="20"/>
        </w:rPr>
      </w:pPr>
      <w:r>
        <w:rPr>
          <w:rFonts w:ascii="Museo Sans 300" w:hAnsi="Museo Sans 300"/>
          <w:sz w:val="20"/>
          <w:szCs w:val="20"/>
        </w:rPr>
        <w:t>Con base en lo anterior, l</w:t>
      </w:r>
      <w:r w:rsidR="003A6052" w:rsidRPr="0016111E">
        <w:rPr>
          <w:rFonts w:ascii="Museo Sans 300" w:hAnsi="Museo Sans 300"/>
          <w:sz w:val="20"/>
          <w:szCs w:val="20"/>
        </w:rPr>
        <w:t>a sociedad AES CLESA y Cía., S. en C. de C.V. debe remitir al C</w:t>
      </w:r>
      <w:r w:rsidR="008A4545" w:rsidRPr="0016111E">
        <w:rPr>
          <w:rFonts w:ascii="Museo Sans 300" w:hAnsi="Museo Sans 300"/>
          <w:sz w:val="20"/>
          <w:szCs w:val="20"/>
        </w:rPr>
        <w:t>AU</w:t>
      </w:r>
      <w:r w:rsidR="003A6052" w:rsidRPr="0016111E">
        <w:rPr>
          <w:rFonts w:ascii="Museo Sans 300" w:hAnsi="Museo Sans 300"/>
          <w:sz w:val="20"/>
          <w:szCs w:val="20"/>
        </w:rPr>
        <w:t xml:space="preserve"> </w:t>
      </w:r>
      <w:r w:rsidR="001B15D4">
        <w:rPr>
          <w:rFonts w:ascii="Museo Sans 300" w:hAnsi="Museo Sans 300"/>
          <w:sz w:val="20"/>
          <w:szCs w:val="20"/>
        </w:rPr>
        <w:t>el cálculo</w:t>
      </w:r>
      <w:r w:rsidR="003A6052" w:rsidRPr="0016111E">
        <w:rPr>
          <w:rFonts w:ascii="Museo Sans 300" w:hAnsi="Museo Sans 300"/>
          <w:sz w:val="20"/>
          <w:szCs w:val="20"/>
        </w:rPr>
        <w:t xml:space="preserve"> del consumo real en</w:t>
      </w:r>
      <w:r w:rsidR="003A6052" w:rsidRPr="0016111E">
        <w:rPr>
          <w:rFonts w:ascii="Museo Sans 300" w:hAnsi="Museo Sans 300"/>
          <w:color w:val="000000" w:themeColor="text1"/>
          <w:sz w:val="20"/>
          <w:szCs w:val="20"/>
        </w:rPr>
        <w:t xml:space="preserve"> </w:t>
      </w:r>
      <w:r w:rsidR="001B15D4">
        <w:rPr>
          <w:rFonts w:ascii="Museo Sans 300" w:hAnsi="Museo Sans 300"/>
          <w:color w:val="000000" w:themeColor="text1"/>
          <w:sz w:val="20"/>
          <w:szCs w:val="20"/>
        </w:rPr>
        <w:t>el</w:t>
      </w:r>
      <w:r w:rsidR="003645A6" w:rsidRPr="0016111E">
        <w:rPr>
          <w:rFonts w:ascii="Museo Sans 300" w:hAnsi="Museo Sans 300"/>
          <w:sz w:val="20"/>
          <w:szCs w:val="20"/>
        </w:rPr>
        <w:t xml:space="preserve"> suministro</w:t>
      </w:r>
      <w:r w:rsidR="001B15D4">
        <w:rPr>
          <w:rFonts w:ascii="Museo Sans 300" w:hAnsi="Museo Sans 300"/>
          <w:sz w:val="20"/>
          <w:szCs w:val="20"/>
        </w:rPr>
        <w:t xml:space="preserve"> identificado con el </w:t>
      </w:r>
      <w:r w:rsidR="001B15D4" w:rsidRPr="007249B9">
        <w:rPr>
          <w:rFonts w:ascii="Museo Sans 300" w:eastAsia="Times New Roman" w:hAnsi="Museo Sans 300"/>
          <w:sz w:val="20"/>
          <w:szCs w:val="20"/>
          <w:lang w:eastAsia="es-ES"/>
        </w:rPr>
        <w:t xml:space="preserve">NIC </w:t>
      </w:r>
      <w:r w:rsidR="0017402E">
        <w:rPr>
          <w:rFonts w:ascii="Museo Sans 300" w:eastAsia="Times New Roman" w:hAnsi="Museo Sans 300"/>
          <w:sz w:val="20"/>
          <w:szCs w:val="20"/>
          <w:lang w:eastAsia="es-ES"/>
        </w:rPr>
        <w:t>XXX</w:t>
      </w:r>
      <w:r w:rsidR="001B15D4">
        <w:rPr>
          <w:rFonts w:ascii="Museo Sans 300" w:hAnsi="Museo Sans 300"/>
          <w:sz w:val="20"/>
          <w:szCs w:val="20"/>
        </w:rPr>
        <w:t xml:space="preserve"> </w:t>
      </w:r>
      <w:r w:rsidR="001B15D4" w:rsidRPr="00FE6895">
        <w:rPr>
          <w:rFonts w:ascii="Museo Sans 300" w:hAnsi="Museo Sans 300"/>
          <w:sz w:val="20"/>
          <w:szCs w:val="20"/>
        </w:rPr>
        <w:t>instalado</w:t>
      </w:r>
      <w:r w:rsidR="00D73621">
        <w:rPr>
          <w:rFonts w:ascii="Museo Sans 300" w:hAnsi="Museo Sans 300"/>
          <w:sz w:val="20"/>
          <w:szCs w:val="20"/>
        </w:rPr>
        <w:t xml:space="preserve"> en el caserío </w:t>
      </w:r>
      <w:r w:rsidR="0017402E">
        <w:rPr>
          <w:rFonts w:ascii="Museo Sans 300" w:hAnsi="Museo Sans 300"/>
          <w:sz w:val="20"/>
          <w:szCs w:val="20"/>
        </w:rPr>
        <w:t>XXX</w:t>
      </w:r>
      <w:r w:rsidR="00D73621">
        <w:rPr>
          <w:rFonts w:ascii="Museo Sans 300" w:hAnsi="Museo Sans 300"/>
          <w:sz w:val="20"/>
          <w:szCs w:val="20"/>
        </w:rPr>
        <w:t xml:space="preserve">, cantón </w:t>
      </w:r>
      <w:r w:rsidR="0017402E">
        <w:rPr>
          <w:rFonts w:ascii="Museo Sans 300" w:hAnsi="Museo Sans 300"/>
          <w:sz w:val="20"/>
          <w:szCs w:val="20"/>
        </w:rPr>
        <w:t>XXX</w:t>
      </w:r>
      <w:r w:rsidR="00D73621">
        <w:rPr>
          <w:rFonts w:ascii="Museo Sans 300" w:hAnsi="Museo Sans 300"/>
          <w:sz w:val="20"/>
          <w:szCs w:val="20"/>
        </w:rPr>
        <w:t xml:space="preserve">, municipio de </w:t>
      </w:r>
      <w:r w:rsidR="0017402E">
        <w:rPr>
          <w:rFonts w:ascii="Museo Sans 300" w:hAnsi="Museo Sans 300"/>
          <w:sz w:val="20"/>
          <w:szCs w:val="20"/>
        </w:rPr>
        <w:t>XXX</w:t>
      </w:r>
      <w:r w:rsidR="00D73621">
        <w:rPr>
          <w:rFonts w:ascii="Museo Sans 300" w:hAnsi="Museo Sans 300"/>
          <w:sz w:val="20"/>
          <w:szCs w:val="20"/>
        </w:rPr>
        <w:t xml:space="preserve">, departamento de </w:t>
      </w:r>
      <w:r w:rsidR="0017402E">
        <w:rPr>
          <w:rFonts w:ascii="Museo Sans 300" w:hAnsi="Museo Sans 300"/>
          <w:sz w:val="20"/>
          <w:szCs w:val="20"/>
        </w:rPr>
        <w:t>XXX</w:t>
      </w:r>
      <w:r w:rsidR="00D73621">
        <w:rPr>
          <w:rFonts w:ascii="Museo Sans 300" w:hAnsi="Museo Sans 300"/>
          <w:sz w:val="20"/>
          <w:szCs w:val="20"/>
        </w:rPr>
        <w:t xml:space="preserve">, donde se encuentra el inmueble propiedad del señor </w:t>
      </w:r>
      <w:r w:rsidR="0017402E">
        <w:rPr>
          <w:rFonts w:ascii="Museo Sans 300" w:hAnsi="Museo Sans 300"/>
          <w:sz w:val="20"/>
          <w:szCs w:val="20"/>
        </w:rPr>
        <w:t>XXX</w:t>
      </w:r>
      <w:r w:rsidR="001B15D4" w:rsidRPr="00FE6895">
        <w:rPr>
          <w:rFonts w:ascii="Museo Sans 300" w:hAnsi="Museo Sans 300"/>
          <w:sz w:val="20"/>
          <w:szCs w:val="20"/>
        </w:rPr>
        <w:t>.</w:t>
      </w:r>
      <w:r w:rsidRPr="001B15D4">
        <w:rPr>
          <w:rFonts w:ascii="Museo Sans 300" w:hAnsi="Museo Sans 300"/>
          <w:color w:val="000000" w:themeColor="text1"/>
          <w:sz w:val="20"/>
          <w:szCs w:val="20"/>
        </w:rPr>
        <w:t xml:space="preserve"> </w:t>
      </w:r>
      <w:r w:rsidR="003A6052" w:rsidRPr="001B15D4">
        <w:rPr>
          <w:rFonts w:ascii="Museo Sans 300" w:hAnsi="Museo Sans 300"/>
          <w:sz w:val="20"/>
          <w:szCs w:val="20"/>
        </w:rPr>
        <w:t>Una vez remitido d</w:t>
      </w:r>
      <w:r w:rsidR="00AB143C" w:rsidRPr="001B15D4">
        <w:rPr>
          <w:rFonts w:ascii="Museo Sans 300" w:hAnsi="Museo Sans 300"/>
          <w:sz w:val="20"/>
          <w:szCs w:val="20"/>
        </w:rPr>
        <w:t>icho dato, el CAU debe</w:t>
      </w:r>
      <w:r w:rsidRPr="001B15D4">
        <w:rPr>
          <w:rFonts w:ascii="Museo Sans 300" w:hAnsi="Museo Sans 300"/>
          <w:sz w:val="20"/>
          <w:szCs w:val="20"/>
        </w:rPr>
        <w:t>rá</w:t>
      </w:r>
      <w:r w:rsidR="00AB143C" w:rsidRPr="001B15D4">
        <w:rPr>
          <w:rFonts w:ascii="Museo Sans 300" w:hAnsi="Museo Sans 300"/>
          <w:sz w:val="20"/>
          <w:szCs w:val="20"/>
        </w:rPr>
        <w:t xml:space="preserve"> rendir</w:t>
      </w:r>
      <w:r w:rsidR="003A6052" w:rsidRPr="001B15D4">
        <w:rPr>
          <w:rFonts w:ascii="Museo Sans 300" w:hAnsi="Museo Sans 300"/>
          <w:sz w:val="20"/>
          <w:szCs w:val="20"/>
        </w:rPr>
        <w:t xml:space="preserve"> un informe técnico en el que corrija o ratifique </w:t>
      </w:r>
      <w:r w:rsidR="001B15D4">
        <w:rPr>
          <w:rFonts w:ascii="Museo Sans 300" w:hAnsi="Museo Sans 300"/>
          <w:sz w:val="20"/>
          <w:szCs w:val="20"/>
        </w:rPr>
        <w:t>el cobro</w:t>
      </w:r>
      <w:r w:rsidR="003A6052" w:rsidRPr="001B15D4">
        <w:rPr>
          <w:rFonts w:ascii="Museo Sans 300" w:hAnsi="Museo Sans 300"/>
          <w:sz w:val="20"/>
          <w:szCs w:val="20"/>
        </w:rPr>
        <w:t xml:space="preserve"> respectivo. </w:t>
      </w:r>
    </w:p>
    <w:p w14:paraId="220AA1F3" w14:textId="77777777" w:rsidR="00623C5C" w:rsidRDefault="00623C5C" w:rsidP="003A6052">
      <w:pPr>
        <w:pStyle w:val="Prrafodelista"/>
        <w:spacing w:line="0" w:lineRule="atLeast"/>
        <w:ind w:left="567"/>
        <w:jc w:val="both"/>
        <w:rPr>
          <w:rFonts w:ascii="Museo Sans 300" w:hAnsi="Museo Sans 300"/>
          <w:sz w:val="20"/>
          <w:szCs w:val="20"/>
        </w:rPr>
      </w:pPr>
    </w:p>
    <w:p w14:paraId="52EFF863" w14:textId="061DC066"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DB3D83">
        <w:rPr>
          <w:rFonts w:ascii="Museo Sans 300" w:hAnsi="Museo Sans 300"/>
          <w:sz w:val="20"/>
          <w:szCs w:val="20"/>
        </w:rPr>
        <w:t>el usuario</w:t>
      </w:r>
      <w:r w:rsidRPr="0016111E">
        <w:rPr>
          <w:rFonts w:ascii="Museo Sans 300" w:hAnsi="Museo Sans 300"/>
          <w:sz w:val="20"/>
          <w:szCs w:val="20"/>
        </w:rPr>
        <w:t xml:space="preserve"> ya ha realizado el pago de lo cobrado retroactivamente, será preciso que verifiqu</w:t>
      </w:r>
      <w:r w:rsidR="00926E70">
        <w:rPr>
          <w:rFonts w:ascii="Museo Sans 300" w:hAnsi="Museo Sans 300"/>
          <w:sz w:val="20"/>
          <w:szCs w:val="20"/>
        </w:rPr>
        <w:t>e si lo cancelado se ajusta al</w:t>
      </w:r>
      <w:r w:rsidRPr="0016111E">
        <w:rPr>
          <w:rFonts w:ascii="Museo Sans 300" w:hAnsi="Museo Sans 300"/>
          <w:sz w:val="20"/>
          <w:szCs w:val="20"/>
        </w:rPr>
        <w:t xml:space="preserve"> consumo real de energía eléctrica. Si ha pagado cantidades mayores, la distribuidora deberá realizar el reintegro de lo cancelado en exceso; en caso contrario, si </w:t>
      </w:r>
      <w:r w:rsidR="00DB3D83">
        <w:rPr>
          <w:rFonts w:ascii="Museo Sans 300" w:hAnsi="Museo Sans 300"/>
          <w:sz w:val="20"/>
          <w:szCs w:val="20"/>
        </w:rPr>
        <w:t>el usuario</w:t>
      </w:r>
      <w:r w:rsidR="004F6D5A" w:rsidRPr="0016111E">
        <w:rPr>
          <w:rFonts w:ascii="Museo Sans 300" w:hAnsi="Museo Sans 300"/>
          <w:sz w:val="20"/>
          <w:szCs w:val="20"/>
        </w:rPr>
        <w:t xml:space="preserve"> no ha</w:t>
      </w:r>
      <w:r w:rsidRPr="0016111E">
        <w:rPr>
          <w:rFonts w:ascii="Museo Sans 300" w:hAnsi="Museo Sans 300"/>
          <w:sz w:val="20"/>
          <w:szCs w:val="20"/>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14:paraId="19219836"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11324FA5" w14:textId="3A6BA947" w:rsidR="00AB143C"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DB3D83">
        <w:rPr>
          <w:rFonts w:ascii="Museo Sans 300" w:hAnsi="Museo Sans 300"/>
          <w:sz w:val="20"/>
          <w:szCs w:val="20"/>
        </w:rPr>
        <w:t>S</w:t>
      </w:r>
      <w:r w:rsidRPr="0016111E">
        <w:rPr>
          <w:rFonts w:ascii="Museo Sans 300" w:hAnsi="Museo Sans 300"/>
          <w:sz w:val="20"/>
          <w:szCs w:val="20"/>
        </w:rPr>
        <w:t>uperintendencia, los ava</w:t>
      </w:r>
      <w:r w:rsidR="008B3F06">
        <w:rPr>
          <w:rFonts w:ascii="Museo Sans 300" w:hAnsi="Museo Sans 300"/>
          <w:sz w:val="20"/>
          <w:szCs w:val="20"/>
        </w:rPr>
        <w:t>nces en el pago o devolución del usuario</w:t>
      </w:r>
      <w:r w:rsidR="004F6D5A" w:rsidRPr="0016111E">
        <w:rPr>
          <w:rFonts w:ascii="Museo Sans 300" w:hAnsi="Museo Sans 300"/>
          <w:sz w:val="20"/>
          <w:szCs w:val="20"/>
        </w:rPr>
        <w:t xml:space="preserve"> hasta que se ponga</w:t>
      </w:r>
      <w:r w:rsidRPr="0016111E">
        <w:rPr>
          <w:rFonts w:ascii="Museo Sans 300" w:hAnsi="Museo Sans 300"/>
          <w:sz w:val="20"/>
          <w:szCs w:val="20"/>
        </w:rPr>
        <w:t xml:space="preserve"> al día. Sobre dicho plan de pagos también deberá revisarse y pronunciarse. </w:t>
      </w:r>
    </w:p>
    <w:p w14:paraId="4F49D1C6" w14:textId="5E016F9F" w:rsidR="00D73621" w:rsidRDefault="00D73621" w:rsidP="00EF56C3">
      <w:pPr>
        <w:pStyle w:val="Prrafodelista"/>
        <w:spacing w:line="0" w:lineRule="atLeast"/>
        <w:ind w:left="567"/>
        <w:jc w:val="both"/>
        <w:rPr>
          <w:rFonts w:ascii="Museo Sans 300" w:hAnsi="Museo Sans 300"/>
          <w:sz w:val="20"/>
          <w:szCs w:val="20"/>
        </w:rPr>
      </w:pPr>
    </w:p>
    <w:p w14:paraId="6AB2B1B2" w14:textId="747A1761" w:rsidR="003A6052" w:rsidRPr="0016111E" w:rsidRDefault="003A6052" w:rsidP="003A6052">
      <w:pPr>
        <w:tabs>
          <w:tab w:val="left" w:pos="993"/>
        </w:tabs>
        <w:spacing w:line="0" w:lineRule="atLeast"/>
        <w:ind w:left="993" w:hanging="426"/>
        <w:jc w:val="both"/>
        <w:rPr>
          <w:rFonts w:ascii="Museo Sans 500" w:hAnsi="Museo Sans 500"/>
          <w:b/>
          <w:sz w:val="20"/>
          <w:szCs w:val="20"/>
        </w:rPr>
      </w:pPr>
      <w:r w:rsidRPr="0016111E">
        <w:rPr>
          <w:rFonts w:ascii="Museo Sans 500" w:hAnsi="Museo Sans 500"/>
          <w:b/>
          <w:sz w:val="20"/>
          <w:szCs w:val="20"/>
        </w:rPr>
        <w:t>Incumplimiento a la gestión comercial</w:t>
      </w:r>
    </w:p>
    <w:p w14:paraId="163F753F" w14:textId="77777777"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Las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57EBE92B" w14:textId="454753FB"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Dentro de los estándares desarrollados en dichas </w:t>
      </w:r>
      <w:r w:rsidR="7D9EEB94" w:rsidRPr="0016111E">
        <w:rPr>
          <w:rFonts w:ascii="Museo Sans 300" w:hAnsi="Museo Sans 300"/>
          <w:sz w:val="20"/>
          <w:szCs w:val="20"/>
        </w:rPr>
        <w:t>n</w:t>
      </w:r>
      <w:r w:rsidRPr="0016111E">
        <w:rPr>
          <w:rFonts w:ascii="Museo Sans 300" w:hAnsi="Museo Sans 300"/>
          <w:sz w:val="20"/>
          <w:szCs w:val="20"/>
        </w:rPr>
        <w:t xml:space="preserve">ormas, se establecieron la cantidad máxima de estimaciones y/o acumulaciones de facturación que puede realizar la distribuidora en un año calendario, ya sea por errores en la facturación o hechos constitutivos de caso fortuito o fuerza mayor, determinándose </w:t>
      </w:r>
      <w:r w:rsidR="009D5836" w:rsidRPr="0016111E">
        <w:rPr>
          <w:rFonts w:ascii="Museo Sans 300" w:hAnsi="Museo Sans 300"/>
          <w:sz w:val="20"/>
          <w:szCs w:val="20"/>
        </w:rPr>
        <w:t>que,</w:t>
      </w:r>
      <w:r w:rsidRPr="0016111E">
        <w:rPr>
          <w:rFonts w:ascii="Museo Sans 300" w:hAnsi="Museo Sans 300"/>
          <w:sz w:val="20"/>
          <w:szCs w:val="20"/>
        </w:rPr>
        <w:t xml:space="preserve"> si llegase a sobrepasar esos límites, la consecuencia directa por incumplimiento en los Niveles de la Calidad de Servicio Comercial consiste en una compensación al usuario afectado. </w:t>
      </w:r>
    </w:p>
    <w:p w14:paraId="769D0D3C" w14:textId="77777777" w:rsidR="003A6052" w:rsidRPr="0016111E" w:rsidRDefault="003A6052" w:rsidP="003A6052">
      <w:pPr>
        <w:pStyle w:val="Prrafodelista"/>
        <w:tabs>
          <w:tab w:val="left" w:pos="284"/>
        </w:tabs>
        <w:spacing w:line="0" w:lineRule="atLeast"/>
        <w:ind w:left="567"/>
        <w:jc w:val="both"/>
        <w:rPr>
          <w:rFonts w:ascii="Museo Sans 300" w:hAnsi="Museo Sans 300"/>
          <w:sz w:val="20"/>
          <w:szCs w:val="20"/>
        </w:rPr>
      </w:pPr>
    </w:p>
    <w:p w14:paraId="20EB6AC0" w14:textId="7A1E8169"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En el caso concreto, se estableció que la distribuidora no realizó </w:t>
      </w:r>
      <w:r w:rsidR="1B104366" w:rsidRPr="0016111E">
        <w:rPr>
          <w:rFonts w:ascii="Museo Sans 300" w:hAnsi="Museo Sans 300"/>
          <w:sz w:val="20"/>
          <w:szCs w:val="20"/>
        </w:rPr>
        <w:t xml:space="preserve">la </w:t>
      </w:r>
      <w:r w:rsidRPr="0016111E">
        <w:rPr>
          <w:rFonts w:ascii="Museo Sans 300" w:hAnsi="Museo Sans 300"/>
          <w:sz w:val="20"/>
          <w:szCs w:val="20"/>
        </w:rPr>
        <w:t xml:space="preserve">toma de lecturas </w:t>
      </w:r>
      <w:r w:rsidR="20771DC5" w:rsidRPr="0016111E">
        <w:rPr>
          <w:rFonts w:ascii="Museo Sans 300" w:hAnsi="Museo Sans 300"/>
          <w:sz w:val="20"/>
          <w:szCs w:val="20"/>
        </w:rPr>
        <w:t xml:space="preserve">en el </w:t>
      </w:r>
      <w:r w:rsidRPr="0016111E">
        <w:rPr>
          <w:rFonts w:ascii="Museo Sans 300" w:hAnsi="Museo Sans 300"/>
          <w:sz w:val="20"/>
          <w:szCs w:val="20"/>
        </w:rPr>
        <w:t xml:space="preserve">equipo de medición y estimó consumos de energía eléctrica en </w:t>
      </w:r>
      <w:r w:rsidR="003645A6" w:rsidRPr="0016111E">
        <w:rPr>
          <w:rFonts w:ascii="Museo Sans 300" w:hAnsi="Museo Sans 300"/>
          <w:sz w:val="20"/>
          <w:szCs w:val="20"/>
        </w:rPr>
        <w:t>el suministro</w:t>
      </w:r>
      <w:r w:rsidR="004F6D5A" w:rsidRPr="0016111E">
        <w:rPr>
          <w:rFonts w:ascii="Museo Sans 300" w:hAnsi="Museo Sans 300"/>
          <w:sz w:val="20"/>
          <w:szCs w:val="20"/>
        </w:rPr>
        <w:t xml:space="preserve"> instalado</w:t>
      </w:r>
      <w:r w:rsidRPr="0016111E">
        <w:rPr>
          <w:rFonts w:ascii="Museo Sans 300" w:hAnsi="Museo Sans 300"/>
          <w:sz w:val="20"/>
          <w:szCs w:val="20"/>
        </w:rPr>
        <w:t xml:space="preserve"> en </w:t>
      </w:r>
      <w:r w:rsidRPr="0016111E">
        <w:rPr>
          <w:rFonts w:ascii="Museo Sans 300" w:hAnsi="Museo Sans 300"/>
          <w:sz w:val="20"/>
          <w:szCs w:val="20"/>
          <w:lang w:val="es-SV" w:eastAsia="es-SV"/>
        </w:rPr>
        <w:t xml:space="preserve">la zona mencionada, </w:t>
      </w:r>
      <w:r w:rsidRPr="0016111E">
        <w:rPr>
          <w:rFonts w:ascii="Museo Sans 300" w:hAnsi="Museo Sans 300"/>
          <w:sz w:val="20"/>
          <w:szCs w:val="20"/>
        </w:rPr>
        <w:t>por varios meses, por lo que existe un evidente incumplimiento a la calidad del servicio comercial. Como consecuencia de lo anterior, tie</w:t>
      </w:r>
      <w:r w:rsidR="008B3F06">
        <w:rPr>
          <w:rFonts w:ascii="Museo Sans 300" w:hAnsi="Museo Sans 300"/>
          <w:sz w:val="20"/>
          <w:szCs w:val="20"/>
        </w:rPr>
        <w:t>ne la obligación de compensar al usuario</w:t>
      </w:r>
      <w:r w:rsidRPr="0016111E">
        <w:rPr>
          <w:rFonts w:ascii="Museo Sans 300" w:hAnsi="Museo Sans 300"/>
          <w:sz w:val="20"/>
          <w:szCs w:val="20"/>
        </w:rPr>
        <w:t xml:space="preserve"> con base en lo establecido en el artículo 80.c. de las Normas de Calidad del Servicio de los Sistemas de Distribución.</w:t>
      </w:r>
    </w:p>
    <w:p w14:paraId="54CD245A" w14:textId="77777777" w:rsidR="003A6052" w:rsidRPr="0016111E" w:rsidRDefault="003A6052" w:rsidP="003A6052">
      <w:pPr>
        <w:pStyle w:val="Prrafodelista"/>
        <w:ind w:left="567"/>
        <w:jc w:val="both"/>
        <w:rPr>
          <w:rFonts w:ascii="Museo Sans 300" w:hAnsi="Museo Sans 300"/>
          <w:sz w:val="20"/>
          <w:szCs w:val="20"/>
        </w:rPr>
      </w:pPr>
    </w:p>
    <w:p w14:paraId="506FB9CA" w14:textId="52F4ACB7" w:rsidR="00D73621" w:rsidRDefault="003A6052" w:rsidP="00D73621">
      <w:pPr>
        <w:tabs>
          <w:tab w:val="left" w:pos="284"/>
        </w:tabs>
        <w:spacing w:after="0" w:line="240" w:lineRule="auto"/>
        <w:ind w:left="567"/>
        <w:jc w:val="both"/>
        <w:rPr>
          <w:rFonts w:ascii="Museo Sans 300" w:hAnsi="Museo Sans 300"/>
          <w:sz w:val="20"/>
          <w:szCs w:val="20"/>
        </w:rPr>
      </w:pPr>
      <w:r w:rsidRPr="0016111E">
        <w:rPr>
          <w:rFonts w:ascii="Museo Sans 300" w:hAnsi="Museo Sans 300"/>
          <w:sz w:val="20"/>
          <w:szCs w:val="20"/>
        </w:rPr>
        <w:t>A fin de verificar lo anterior, la sociedad AES CLESA y Cía., S. en C. de C.V. debe remitir el cálculo de la devolución y/o compensación por incumplimiento a la gestión comercial en</w:t>
      </w:r>
      <w:r w:rsidR="00DB3D83">
        <w:rPr>
          <w:rFonts w:ascii="Museo Sans 300" w:hAnsi="Museo Sans 300"/>
          <w:sz w:val="20"/>
          <w:szCs w:val="20"/>
        </w:rPr>
        <w:t xml:space="preserve"> el</w:t>
      </w:r>
      <w:r w:rsidR="003645A6" w:rsidRPr="0016111E">
        <w:rPr>
          <w:rFonts w:ascii="Museo Sans 300" w:hAnsi="Museo Sans 300"/>
          <w:sz w:val="20"/>
          <w:szCs w:val="20"/>
        </w:rPr>
        <w:t xml:space="preserve"> suministro</w:t>
      </w:r>
      <w:r w:rsidR="00DB3D83">
        <w:rPr>
          <w:rFonts w:ascii="Museo Sans 300" w:hAnsi="Museo Sans 300"/>
          <w:sz w:val="20"/>
          <w:szCs w:val="20"/>
        </w:rPr>
        <w:t xml:space="preserve"> </w:t>
      </w:r>
      <w:r w:rsidR="00D11654" w:rsidRPr="0016111E">
        <w:rPr>
          <w:rFonts w:ascii="Museo Sans 300" w:hAnsi="Museo Sans 300"/>
          <w:sz w:val="20"/>
          <w:szCs w:val="20"/>
        </w:rPr>
        <w:t>instalado</w:t>
      </w:r>
      <w:r w:rsidR="00DB3D83">
        <w:rPr>
          <w:rFonts w:ascii="Museo Sans 300" w:hAnsi="Museo Sans 300"/>
          <w:sz w:val="20"/>
          <w:szCs w:val="20"/>
        </w:rPr>
        <w:t xml:space="preserve"> en</w:t>
      </w:r>
      <w:r w:rsidR="00D73621">
        <w:rPr>
          <w:rFonts w:ascii="Museo Sans 300" w:hAnsi="Museo Sans 300"/>
          <w:sz w:val="20"/>
          <w:szCs w:val="20"/>
        </w:rPr>
        <w:t xml:space="preserve"> el caserío </w:t>
      </w:r>
      <w:r w:rsidR="0017402E">
        <w:rPr>
          <w:rFonts w:ascii="Museo Sans 300" w:hAnsi="Museo Sans 300"/>
          <w:sz w:val="20"/>
          <w:szCs w:val="20"/>
        </w:rPr>
        <w:t>XXX</w:t>
      </w:r>
      <w:r w:rsidR="00D73621">
        <w:rPr>
          <w:rFonts w:ascii="Museo Sans 300" w:hAnsi="Museo Sans 300"/>
          <w:sz w:val="20"/>
          <w:szCs w:val="20"/>
        </w:rPr>
        <w:t xml:space="preserve">, cantón </w:t>
      </w:r>
      <w:r w:rsidR="0017402E">
        <w:rPr>
          <w:rFonts w:ascii="Museo Sans 300" w:hAnsi="Museo Sans 300"/>
          <w:sz w:val="20"/>
          <w:szCs w:val="20"/>
        </w:rPr>
        <w:t>XXX</w:t>
      </w:r>
      <w:r w:rsidR="00D73621">
        <w:rPr>
          <w:rFonts w:ascii="Museo Sans 300" w:hAnsi="Museo Sans 300"/>
          <w:sz w:val="20"/>
          <w:szCs w:val="20"/>
        </w:rPr>
        <w:t xml:space="preserve">, municipio de </w:t>
      </w:r>
      <w:r w:rsidR="0017402E">
        <w:rPr>
          <w:rFonts w:ascii="Museo Sans 300" w:hAnsi="Museo Sans 300"/>
          <w:sz w:val="20"/>
          <w:szCs w:val="20"/>
        </w:rPr>
        <w:t>XXX</w:t>
      </w:r>
      <w:r w:rsidR="00D73621">
        <w:rPr>
          <w:rFonts w:ascii="Museo Sans 300" w:hAnsi="Museo Sans 300"/>
          <w:sz w:val="20"/>
          <w:szCs w:val="20"/>
        </w:rPr>
        <w:t xml:space="preserve">, departamento de </w:t>
      </w:r>
      <w:r w:rsidR="0017402E">
        <w:rPr>
          <w:rFonts w:ascii="Museo Sans 300" w:hAnsi="Museo Sans 300"/>
          <w:sz w:val="20"/>
          <w:szCs w:val="20"/>
        </w:rPr>
        <w:t>XXX</w:t>
      </w:r>
      <w:r w:rsidR="00D73621">
        <w:rPr>
          <w:rFonts w:ascii="Museo Sans 300" w:hAnsi="Museo Sans 300"/>
          <w:sz w:val="20"/>
          <w:szCs w:val="20"/>
        </w:rPr>
        <w:t xml:space="preserve">, donde se encuentra el inmueble propiedad del señor </w:t>
      </w:r>
      <w:r w:rsidR="0017402E">
        <w:rPr>
          <w:rFonts w:ascii="Museo Sans 300" w:hAnsi="Museo Sans 300"/>
          <w:sz w:val="20"/>
          <w:szCs w:val="20"/>
        </w:rPr>
        <w:t>XXX</w:t>
      </w:r>
      <w:r w:rsidR="00D73621" w:rsidRPr="00FE6895">
        <w:rPr>
          <w:rFonts w:ascii="Museo Sans 300" w:hAnsi="Museo Sans 300"/>
          <w:sz w:val="20"/>
          <w:szCs w:val="20"/>
        </w:rPr>
        <w:t>.</w:t>
      </w:r>
    </w:p>
    <w:p w14:paraId="17B83902" w14:textId="69376AEC" w:rsidR="00D73621" w:rsidRDefault="00D73621" w:rsidP="00DB3D83">
      <w:pPr>
        <w:tabs>
          <w:tab w:val="left" w:pos="284"/>
        </w:tabs>
        <w:spacing w:after="0" w:line="240" w:lineRule="auto"/>
        <w:ind w:left="567"/>
        <w:jc w:val="both"/>
        <w:rPr>
          <w:rFonts w:ascii="Museo Sans 300" w:hAnsi="Museo Sans 300"/>
          <w:sz w:val="20"/>
          <w:szCs w:val="20"/>
        </w:rPr>
      </w:pPr>
    </w:p>
    <w:p w14:paraId="0A0AFB66" w14:textId="067CD281" w:rsidR="000B5482" w:rsidRDefault="003A6052" w:rsidP="1837F8E0">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La Gerencia de Electricidad</w:t>
      </w:r>
      <w:r w:rsidR="00623C5C">
        <w:rPr>
          <w:rFonts w:ascii="Museo Sans 300" w:hAnsi="Museo Sans 300"/>
          <w:sz w:val="20"/>
          <w:szCs w:val="20"/>
        </w:rPr>
        <w:t xml:space="preserve"> de la SIGET</w:t>
      </w:r>
      <w:r w:rsidRPr="0016111E">
        <w:rPr>
          <w:rFonts w:ascii="Museo Sans 300" w:hAnsi="Museo Sans 300"/>
          <w:sz w:val="20"/>
          <w:szCs w:val="20"/>
        </w:rPr>
        <w:t xml:space="preserve"> deberá rendir un informe técnico en el cual corrija o ratifique el monto calculado en concepto de compensación por la sociedad AES CLESA y Cía., S. en C. de C.V.</w:t>
      </w:r>
    </w:p>
    <w:p w14:paraId="7DA456AE" w14:textId="77777777" w:rsidR="00D73621" w:rsidRPr="0016111E" w:rsidRDefault="00D73621" w:rsidP="1837F8E0">
      <w:pPr>
        <w:pStyle w:val="Prrafodelista"/>
        <w:spacing w:line="0" w:lineRule="atLeast"/>
        <w:ind w:left="567"/>
        <w:jc w:val="both"/>
        <w:rPr>
          <w:rFonts w:ascii="Museo Sans 500" w:hAnsi="Museo Sans 500"/>
          <w:b/>
          <w:bCs/>
          <w:sz w:val="20"/>
          <w:szCs w:val="20"/>
        </w:rPr>
      </w:pPr>
    </w:p>
    <w:p w14:paraId="3ECF48C2" w14:textId="3880DC91" w:rsidR="003A6052" w:rsidRPr="0016111E" w:rsidRDefault="005E33B2" w:rsidP="00824DA1">
      <w:pPr>
        <w:tabs>
          <w:tab w:val="left" w:pos="720"/>
        </w:tabs>
        <w:spacing w:line="0" w:lineRule="atLeast"/>
        <w:ind w:left="567"/>
        <w:contextualSpacing/>
        <w:rPr>
          <w:rFonts w:ascii="Museo Sans 500" w:hAnsi="Museo Sans 500"/>
          <w:b/>
          <w:sz w:val="20"/>
          <w:szCs w:val="20"/>
        </w:rPr>
      </w:pPr>
      <w:r w:rsidRPr="0016111E">
        <w:rPr>
          <w:rFonts w:ascii="Museo Sans 500" w:hAnsi="Museo Sans 500"/>
          <w:b/>
          <w:sz w:val="20"/>
          <w:szCs w:val="20"/>
        </w:rPr>
        <w:t>Acciones que debe implementar la distribuidora</w:t>
      </w:r>
    </w:p>
    <w:p w14:paraId="79311FF1" w14:textId="77777777" w:rsidR="000903B7"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conformidad con el marco regulatorio, le corresponde asegurar a la SIGET que las finalidades de la Ley General de Electricidad y demás normas técnicas sean cumplidas. </w:t>
      </w:r>
    </w:p>
    <w:p w14:paraId="30D7AA69" w14:textId="77777777" w:rsidR="000903B7" w:rsidRPr="0016111E" w:rsidRDefault="000903B7" w:rsidP="003A6052">
      <w:pPr>
        <w:pStyle w:val="Prrafodelista"/>
        <w:spacing w:line="0" w:lineRule="atLeast"/>
        <w:ind w:left="567"/>
        <w:jc w:val="both"/>
        <w:rPr>
          <w:rFonts w:ascii="Museo Sans 300" w:hAnsi="Museo Sans 300"/>
          <w:sz w:val="20"/>
          <w:szCs w:val="20"/>
        </w:rPr>
      </w:pPr>
    </w:p>
    <w:p w14:paraId="4B0911C1"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Entre sus objetivos principales se encuentran, el fomento al acceso al suministro de energía eléctrica y la protección de los derechos de los usuarios y de todas las entidades que desarrollan actividades en el sector.</w:t>
      </w:r>
    </w:p>
    <w:p w14:paraId="7196D064"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79A537E" w14:textId="1D464A1C"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la Ley General de Electricidad y los Términos y Condiciones de los Pliegos Tarifarios</w:t>
      </w:r>
      <w:r w:rsidR="00935F2C" w:rsidRPr="00935F2C">
        <w:rPr>
          <w:rFonts w:ascii="Museo Sans 500" w:hAnsi="Museo Sans 500"/>
          <w:b/>
          <w:bCs/>
          <w:sz w:val="20"/>
          <w:szCs w:val="20"/>
        </w:rPr>
        <w:t xml:space="preserve"> </w:t>
      </w:r>
      <w:r w:rsidR="00F508A7" w:rsidRPr="008B5AB6">
        <w:rPr>
          <w:rFonts w:ascii="Museo Sans 300" w:hAnsi="Museo Sans 300"/>
          <w:sz w:val="20"/>
          <w:szCs w:val="20"/>
        </w:rPr>
        <w:t>vigente</w:t>
      </w:r>
      <w:r w:rsidR="00F508A7" w:rsidRPr="008B5AB6">
        <w:rPr>
          <w:rFonts w:ascii="Museo Sans 500" w:hAnsi="Museo Sans 500"/>
          <w:sz w:val="20"/>
          <w:szCs w:val="20"/>
        </w:rPr>
        <w:t xml:space="preserve"> </w:t>
      </w:r>
      <w:r w:rsidR="00935F2C" w:rsidRPr="008B5AB6">
        <w:rPr>
          <w:rFonts w:ascii="Museo Sans 300" w:hAnsi="Museo Sans 300"/>
          <w:sz w:val="20"/>
          <w:szCs w:val="20"/>
        </w:rPr>
        <w:t>para el año dos mil veinte</w:t>
      </w:r>
      <w:r w:rsidRPr="0016111E">
        <w:rPr>
          <w:rFonts w:ascii="Museo Sans 300" w:hAnsi="Museo Sans 300"/>
          <w:sz w:val="20"/>
          <w:szCs w:val="20"/>
        </w:rPr>
        <w:t xml:space="preserve">,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14:paraId="34FF1C98"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51D087F" w14:textId="72227BB3"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Basado en lo anterior, debe establecerse </w:t>
      </w:r>
      <w:r w:rsidR="009D5836" w:rsidRPr="0016111E">
        <w:rPr>
          <w:rFonts w:ascii="Museo Sans 300" w:hAnsi="Museo Sans 300"/>
          <w:sz w:val="20"/>
          <w:szCs w:val="20"/>
        </w:rPr>
        <w:t>que,</w:t>
      </w:r>
      <w:r w:rsidRPr="0016111E">
        <w:rPr>
          <w:rFonts w:ascii="Museo Sans 300" w:hAnsi="Museo Sans 300"/>
          <w:sz w:val="20"/>
          <w:szCs w:val="20"/>
        </w:rPr>
        <w:t xml:space="preserv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debido a que al ser un cobro retroactivamente y acumulado</w:t>
      </w:r>
      <w:r w:rsidR="00F30854">
        <w:rPr>
          <w:rFonts w:ascii="Museo Sans 300" w:hAnsi="Museo Sans 300"/>
          <w:sz w:val="20"/>
          <w:szCs w:val="20"/>
        </w:rPr>
        <w:t xml:space="preserve"> afecta la economía familiar del </w:t>
      </w:r>
      <w:r w:rsidRPr="0016111E">
        <w:rPr>
          <w:rFonts w:ascii="Museo Sans 300" w:hAnsi="Museo Sans 300"/>
          <w:sz w:val="20"/>
          <w:szCs w:val="20"/>
        </w:rPr>
        <w:t xml:space="preserve">usuario. </w:t>
      </w:r>
    </w:p>
    <w:p w14:paraId="6D072C0D"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ACE185F" w14:textId="71AC4BB3" w:rsidR="00EF56C3" w:rsidRPr="00D73621" w:rsidRDefault="003A6052" w:rsidP="00D73621">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Por ello, se hace necesario indicar a la distribuidora efectúe las gestiones oportunas y correspondientes a fin de evitar que en el futuro existan casos de estimaciones y/o acumulaciones.</w:t>
      </w:r>
    </w:p>
    <w:p w14:paraId="6DC4B613" w14:textId="66F90CF4"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Debe precisarse que este requerimiento se ha efectuado en casos anteriores, y a pesar de ello, se con</w:t>
      </w:r>
      <w:r w:rsidR="00AB143C" w:rsidRPr="0016111E">
        <w:rPr>
          <w:rFonts w:ascii="Museo Sans 300" w:hAnsi="Museo Sans 300"/>
          <w:sz w:val="20"/>
          <w:szCs w:val="20"/>
        </w:rPr>
        <w:t>tinúan dando acumulaciones que,</w:t>
      </w:r>
      <w:r w:rsidRPr="0016111E">
        <w:rPr>
          <w:rFonts w:ascii="Museo Sans 300" w:hAnsi="Museo Sans 300"/>
          <w:sz w:val="20"/>
          <w:szCs w:val="20"/>
        </w:rPr>
        <w:t xml:space="preserve"> </w:t>
      </w:r>
      <w:r w:rsidR="7877BA6A" w:rsidRPr="0016111E">
        <w:rPr>
          <w:rFonts w:ascii="Museo Sans 300" w:hAnsi="Museo Sans 300"/>
          <w:sz w:val="20"/>
          <w:szCs w:val="20"/>
        </w:rPr>
        <w:t xml:space="preserve">que </w:t>
      </w:r>
      <w:r w:rsidRPr="0016111E">
        <w:rPr>
          <w:rFonts w:ascii="Museo Sans 300" w:hAnsi="Museo Sans 300"/>
          <w:sz w:val="20"/>
          <w:szCs w:val="20"/>
        </w:rPr>
        <w:t>conlleva</w:t>
      </w:r>
      <w:r w:rsidR="3A36D4C8" w:rsidRPr="0016111E">
        <w:rPr>
          <w:rFonts w:ascii="Museo Sans 300" w:hAnsi="Museo Sans 300"/>
          <w:sz w:val="20"/>
          <w:szCs w:val="20"/>
        </w:rPr>
        <w:t>n</w:t>
      </w:r>
      <w:r w:rsidRPr="0016111E">
        <w:rPr>
          <w:rFonts w:ascii="Museo Sans 300" w:hAnsi="Museo Sans 300"/>
          <w:sz w:val="20"/>
          <w:szCs w:val="20"/>
        </w:rPr>
        <w:t xml:space="preserve"> a advertir un grado de negligencia por parte de la distribuidora al permitir que se acumulen tantos meses de estimaciones que afectan la economía familiar de sectores vulnerables.</w:t>
      </w:r>
    </w:p>
    <w:p w14:paraId="6BD18F9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9BFC507" w14:textId="53AE42E0"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w:t>
      </w:r>
      <w:r w:rsidR="005A5A2E">
        <w:rPr>
          <w:rFonts w:ascii="Museo Sans 300" w:hAnsi="Museo Sans 300"/>
          <w:sz w:val="20"/>
          <w:szCs w:val="20"/>
        </w:rPr>
        <w:t>el</w:t>
      </w:r>
      <w:r w:rsidRPr="0016111E">
        <w:rPr>
          <w:rFonts w:ascii="Museo Sans 300" w:hAnsi="Museo Sans 300"/>
          <w:sz w:val="20"/>
          <w:szCs w:val="20"/>
        </w:rPr>
        <w:t xml:space="preserve"> usuario, considerando su condición económica.</w:t>
      </w:r>
    </w:p>
    <w:p w14:paraId="238601FE" w14:textId="77777777" w:rsidR="00D347C5" w:rsidRDefault="00D347C5" w:rsidP="00D347C5">
      <w:pPr>
        <w:pStyle w:val="Prrafodelista"/>
        <w:tabs>
          <w:tab w:val="left" w:pos="709"/>
        </w:tabs>
        <w:spacing w:line="0" w:lineRule="atLeast"/>
        <w:ind w:left="720"/>
        <w:contextualSpacing/>
        <w:rPr>
          <w:rFonts w:ascii="Museo Sans 500" w:hAnsi="Museo Sans 500"/>
          <w:b/>
          <w:sz w:val="22"/>
          <w:szCs w:val="22"/>
        </w:rPr>
      </w:pPr>
    </w:p>
    <w:p w14:paraId="3B43420F" w14:textId="77777777" w:rsidR="003A6052" w:rsidRPr="0016111E"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0B8E61FC" w:rsidR="003A6052" w:rsidRPr="0016111E"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4B6C755A"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N.° </w:t>
      </w:r>
      <w:r w:rsidR="00432AED">
        <w:rPr>
          <w:rFonts w:ascii="Museo Sans 300" w:eastAsia="Arial Unicode MS" w:hAnsi="Museo Sans 300"/>
          <w:sz w:val="20"/>
          <w:szCs w:val="20"/>
        </w:rPr>
        <w:t>IT-NT-202</w:t>
      </w:r>
      <w:r w:rsidR="00D73621">
        <w:rPr>
          <w:rFonts w:ascii="Museo Sans 300" w:eastAsia="Arial Unicode MS" w:hAnsi="Museo Sans 300"/>
          <w:sz w:val="20"/>
          <w:szCs w:val="20"/>
        </w:rPr>
        <w:t>0</w:t>
      </w:r>
      <w:r w:rsidR="00432AED">
        <w:rPr>
          <w:rFonts w:ascii="Museo Sans 300" w:eastAsia="Arial Unicode MS" w:hAnsi="Museo Sans 300"/>
          <w:sz w:val="20"/>
          <w:szCs w:val="20"/>
        </w:rPr>
        <w:t>-</w:t>
      </w:r>
      <w:r w:rsidR="00D73621">
        <w:rPr>
          <w:rFonts w:ascii="Museo Sans 300" w:eastAsia="Arial Unicode MS" w:hAnsi="Museo Sans 300"/>
          <w:sz w:val="20"/>
          <w:szCs w:val="20"/>
        </w:rPr>
        <w:t>10</w:t>
      </w:r>
      <w:r w:rsidR="004A56C0">
        <w:rPr>
          <w:rFonts w:ascii="Museo Sans 300" w:eastAsia="Arial Unicode MS" w:hAnsi="Museo Sans 300"/>
          <w:sz w:val="20"/>
          <w:szCs w:val="20"/>
        </w:rPr>
        <w:t>-</w:t>
      </w:r>
      <w:r w:rsidR="00D73621">
        <w:rPr>
          <w:rFonts w:ascii="Museo Sans 300" w:eastAsia="Arial Unicode MS" w:hAnsi="Museo Sans 300"/>
          <w:sz w:val="20"/>
          <w:szCs w:val="20"/>
        </w:rPr>
        <w:t>115</w:t>
      </w:r>
      <w:r w:rsidRPr="0016111E">
        <w:rPr>
          <w:rFonts w:ascii="Museo Sans 300" w:eastAsia="Arial Unicode MS" w:hAnsi="Museo Sans 300"/>
          <w:sz w:val="20"/>
          <w:szCs w:val="20"/>
        </w:rPr>
        <w:t xml:space="preserve"> rendido por la </w:t>
      </w:r>
      <w:r w:rsidR="00FC3237">
        <w:rPr>
          <w:rFonts w:ascii="Museo Sans 300" w:eastAsia="Arial Unicode MS" w:hAnsi="Museo Sans 300"/>
          <w:sz w:val="20"/>
          <w:szCs w:val="20"/>
        </w:rPr>
        <w:t>Gerencia de Electricidad, esta S</w:t>
      </w:r>
      <w:r w:rsidRPr="0016111E">
        <w:rPr>
          <w:rFonts w:ascii="Museo Sans 300" w:eastAsia="Arial Unicode MS" w:hAnsi="Museo Sans 300"/>
          <w:sz w:val="20"/>
          <w:szCs w:val="20"/>
        </w:rPr>
        <w:t xml:space="preserve">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33132C7" w14:textId="0C1E9680" w:rsidR="003A6052" w:rsidRPr="00D73621" w:rsidRDefault="003A6052" w:rsidP="00235C4D">
      <w:pPr>
        <w:pStyle w:val="Prrafodelista"/>
        <w:numPr>
          <w:ilvl w:val="0"/>
          <w:numId w:val="36"/>
        </w:numPr>
        <w:tabs>
          <w:tab w:val="left" w:pos="284"/>
        </w:tabs>
        <w:jc w:val="both"/>
        <w:rPr>
          <w:rFonts w:ascii="Museo Sans 300" w:eastAsia="Calibri" w:hAnsi="Museo Sans 300"/>
          <w:sz w:val="20"/>
          <w:szCs w:val="20"/>
          <w:lang w:val="es-SV" w:eastAsia="en-US"/>
        </w:rPr>
      </w:pPr>
      <w:r w:rsidRPr="00235C4D">
        <w:rPr>
          <w:rFonts w:ascii="Museo Sans 300" w:hAnsi="Museo Sans 300"/>
          <w:sz w:val="20"/>
          <w:szCs w:val="20"/>
          <w:lang w:eastAsia="es-SV"/>
        </w:rPr>
        <w:t>Determinar</w:t>
      </w:r>
      <w:r w:rsidRPr="00235C4D">
        <w:rPr>
          <w:rFonts w:ascii="Museo Sans 300" w:hAnsi="Museo Sans 300"/>
          <w:sz w:val="20"/>
          <w:szCs w:val="20"/>
        </w:rPr>
        <w:t xml:space="preserve"> que la sociedad </w:t>
      </w:r>
      <w:r w:rsidRPr="00235C4D">
        <w:rPr>
          <w:rFonts w:ascii="Museo Sans 300" w:hAnsi="Museo Sans 300"/>
          <w:sz w:val="20"/>
          <w:szCs w:val="20"/>
          <w:lang w:val="es-SV"/>
        </w:rPr>
        <w:t>AES CLESA y Cía., S. en C. de C.V.</w:t>
      </w:r>
      <w:r w:rsidRPr="00235C4D">
        <w:rPr>
          <w:rFonts w:ascii="Museo Sans 300" w:eastAsia="Calibri" w:hAnsi="Museo Sans 300"/>
          <w:sz w:val="20"/>
          <w:szCs w:val="20"/>
        </w:rPr>
        <w:t xml:space="preserve"> </w:t>
      </w:r>
      <w:r w:rsidRPr="00235C4D">
        <w:rPr>
          <w:rFonts w:ascii="Museo Sans 300" w:hAnsi="Museo Sans 300"/>
          <w:color w:val="000000"/>
          <w:sz w:val="20"/>
          <w:szCs w:val="20"/>
        </w:rPr>
        <w:t xml:space="preserve">no demostró mediante </w:t>
      </w:r>
      <w:r w:rsidRPr="00235C4D">
        <w:rPr>
          <w:rFonts w:ascii="Museo Sans 300" w:hAnsi="Museo Sans 300"/>
          <w:color w:val="111111"/>
          <w:sz w:val="20"/>
          <w:szCs w:val="20"/>
          <w:shd w:val="clear" w:color="auto" w:fill="FFFFFF"/>
        </w:rPr>
        <w:t>pruebas que haya</w:t>
      </w:r>
      <w:r w:rsidR="00446009" w:rsidRPr="00235C4D">
        <w:rPr>
          <w:rFonts w:ascii="Museo Sans 300" w:hAnsi="Museo Sans 300"/>
          <w:color w:val="111111"/>
          <w:sz w:val="20"/>
          <w:szCs w:val="20"/>
          <w:shd w:val="clear" w:color="auto" w:fill="FFFFFF"/>
        </w:rPr>
        <w:t>n</w:t>
      </w:r>
      <w:r w:rsidRPr="00235C4D">
        <w:rPr>
          <w:rFonts w:ascii="Museo Sans 300" w:hAnsi="Museo Sans 300"/>
          <w:color w:val="111111"/>
          <w:sz w:val="20"/>
          <w:szCs w:val="20"/>
          <w:shd w:val="clear" w:color="auto" w:fill="FFFFFF"/>
        </w:rPr>
        <w:t xml:space="preserve"> existido causales constitutivas de fuerza mayor para no realizar las tomas de </w:t>
      </w:r>
      <w:r w:rsidRPr="00235C4D">
        <w:rPr>
          <w:rFonts w:ascii="Museo Sans 300" w:hAnsi="Museo Sans 300"/>
          <w:sz w:val="20"/>
          <w:szCs w:val="20"/>
        </w:rPr>
        <w:t xml:space="preserve">lecturas </w:t>
      </w:r>
      <w:r w:rsidR="004A56C0" w:rsidRPr="00235C4D">
        <w:rPr>
          <w:rFonts w:ascii="Museo Sans 300" w:hAnsi="Museo Sans 300"/>
          <w:sz w:val="20"/>
          <w:szCs w:val="20"/>
        </w:rPr>
        <w:t xml:space="preserve">en el suministro identificado con el </w:t>
      </w:r>
      <w:r w:rsidR="004A56C0" w:rsidRPr="00235C4D">
        <w:rPr>
          <w:rFonts w:ascii="Museo Sans 300" w:hAnsi="Museo Sans 300"/>
          <w:sz w:val="20"/>
          <w:szCs w:val="20"/>
          <w:lang w:val="es-SV"/>
        </w:rPr>
        <w:t xml:space="preserve">NIC </w:t>
      </w:r>
      <w:r w:rsidR="0017402E">
        <w:rPr>
          <w:rFonts w:ascii="Museo Sans 300" w:hAnsi="Museo Sans 300"/>
          <w:sz w:val="20"/>
          <w:szCs w:val="20"/>
          <w:lang w:val="es-SV"/>
        </w:rPr>
        <w:t>XXX</w:t>
      </w:r>
      <w:r w:rsidR="004A56C0" w:rsidRPr="00235C4D">
        <w:rPr>
          <w:rFonts w:ascii="Museo Sans 300" w:hAnsi="Museo Sans 300"/>
          <w:sz w:val="20"/>
          <w:szCs w:val="20"/>
        </w:rPr>
        <w:t xml:space="preserve"> instalado en el </w:t>
      </w:r>
      <w:r w:rsidR="003843F6">
        <w:rPr>
          <w:rFonts w:ascii="Museo Sans 300" w:hAnsi="Museo Sans 300"/>
          <w:sz w:val="20"/>
          <w:szCs w:val="20"/>
        </w:rPr>
        <w:t xml:space="preserve">caserío </w:t>
      </w:r>
      <w:r w:rsidR="0017402E">
        <w:rPr>
          <w:rFonts w:ascii="Museo Sans 300" w:hAnsi="Museo Sans 300"/>
          <w:sz w:val="20"/>
          <w:szCs w:val="20"/>
        </w:rPr>
        <w:t>XXX</w:t>
      </w:r>
      <w:r w:rsidR="003843F6">
        <w:rPr>
          <w:rFonts w:ascii="Museo Sans 300" w:hAnsi="Museo Sans 300"/>
          <w:sz w:val="20"/>
          <w:szCs w:val="20"/>
        </w:rPr>
        <w:t xml:space="preserve">, cantón </w:t>
      </w:r>
      <w:r w:rsidR="0017402E">
        <w:rPr>
          <w:rFonts w:ascii="Museo Sans 300" w:hAnsi="Museo Sans 300"/>
          <w:sz w:val="20"/>
          <w:szCs w:val="20"/>
        </w:rPr>
        <w:t>XXX</w:t>
      </w:r>
      <w:r w:rsidR="003843F6">
        <w:rPr>
          <w:rFonts w:ascii="Museo Sans 300" w:hAnsi="Museo Sans 300"/>
          <w:sz w:val="20"/>
          <w:szCs w:val="20"/>
        </w:rPr>
        <w:t xml:space="preserve">, municipio de </w:t>
      </w:r>
      <w:r w:rsidR="0017402E">
        <w:rPr>
          <w:rFonts w:ascii="Museo Sans 300" w:hAnsi="Museo Sans 300"/>
          <w:sz w:val="20"/>
          <w:szCs w:val="20"/>
        </w:rPr>
        <w:t>XXX</w:t>
      </w:r>
      <w:r w:rsidR="003843F6">
        <w:rPr>
          <w:rFonts w:ascii="Museo Sans 300" w:hAnsi="Museo Sans 300"/>
          <w:sz w:val="20"/>
          <w:szCs w:val="20"/>
        </w:rPr>
        <w:t xml:space="preserve">, departamento de </w:t>
      </w:r>
      <w:r w:rsidR="0017402E">
        <w:rPr>
          <w:rFonts w:ascii="Museo Sans 300" w:hAnsi="Museo Sans 300"/>
          <w:sz w:val="20"/>
          <w:szCs w:val="20"/>
        </w:rPr>
        <w:t>XXX</w:t>
      </w:r>
      <w:r w:rsidR="004A56C0" w:rsidRPr="00235C4D">
        <w:rPr>
          <w:rFonts w:ascii="Museo Sans 300" w:hAnsi="Museo Sans 300"/>
          <w:sz w:val="20"/>
          <w:szCs w:val="20"/>
        </w:rPr>
        <w:t xml:space="preserve">, donde se encuentra el inmueble propiedad del señor </w:t>
      </w:r>
      <w:r w:rsidR="0017402E">
        <w:rPr>
          <w:rFonts w:ascii="Museo Sans 300" w:hAnsi="Museo Sans 300"/>
          <w:sz w:val="20"/>
          <w:szCs w:val="20"/>
        </w:rPr>
        <w:t>XXX</w:t>
      </w:r>
      <w:r w:rsidR="00C76AE7" w:rsidRPr="00235C4D">
        <w:rPr>
          <w:rFonts w:ascii="Museo Sans 300" w:hAnsi="Museo Sans 300"/>
          <w:sz w:val="20"/>
          <w:szCs w:val="20"/>
        </w:rPr>
        <w:t>,</w:t>
      </w:r>
      <w:r w:rsidRPr="00235C4D">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 y </w:t>
      </w:r>
      <w:r w:rsidRPr="00235C4D">
        <w:rPr>
          <w:rFonts w:ascii="Museo Sans 300" w:hAnsi="Museo Sans 300"/>
          <w:sz w:val="20"/>
          <w:szCs w:val="20"/>
        </w:rPr>
        <w:t>el Anexo A de la Metodología Para el Control de la Calidad del Servicio Comercial de las Normas de Calidad del Servicio de los Sistemas de Distribución.</w:t>
      </w:r>
    </w:p>
    <w:p w14:paraId="0AD9C6F4"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2D585471" w14:textId="7CE23C68" w:rsidR="003A6052" w:rsidRPr="0016111E" w:rsidRDefault="003A6052" w:rsidP="00F07CBE">
      <w:pPr>
        <w:pStyle w:val="Prrafodelista"/>
        <w:numPr>
          <w:ilvl w:val="0"/>
          <w:numId w:val="36"/>
        </w:numPr>
        <w:autoSpaceDE w:val="0"/>
        <w:autoSpaceDN w:val="0"/>
        <w:adjustRightInd w:val="0"/>
        <w:spacing w:line="0" w:lineRule="atLeast"/>
        <w:jc w:val="both"/>
        <w:rPr>
          <w:rFonts w:ascii="Museo Sans 300" w:hAnsi="Museo Sans 300"/>
          <w:sz w:val="20"/>
          <w:szCs w:val="20"/>
        </w:rPr>
      </w:pPr>
      <w:r w:rsidRPr="0016111E">
        <w:rPr>
          <w:rFonts w:ascii="Museo Sans 300" w:hAnsi="Museo Sans 300"/>
          <w:sz w:val="20"/>
          <w:szCs w:val="20"/>
        </w:rPr>
        <w:t xml:space="preserve">Establecer </w:t>
      </w:r>
      <w:r w:rsidR="006C7085" w:rsidRPr="0016111E">
        <w:rPr>
          <w:rFonts w:ascii="Museo Sans 300" w:hAnsi="Museo Sans 300"/>
          <w:sz w:val="20"/>
          <w:szCs w:val="20"/>
        </w:rPr>
        <w:t>que,</w:t>
      </w:r>
      <w:r w:rsidRPr="0016111E">
        <w:rPr>
          <w:rFonts w:ascii="Museo Sans 300" w:hAnsi="Museo Sans 300"/>
          <w:sz w:val="20"/>
          <w:szCs w:val="20"/>
        </w:rPr>
        <w:t xml:space="preserve"> aunque la sociedad </w:t>
      </w:r>
      <w:r w:rsidRPr="0016111E">
        <w:rPr>
          <w:rFonts w:ascii="Museo Sans 300" w:hAnsi="Museo Sans 300"/>
          <w:sz w:val="20"/>
          <w:szCs w:val="20"/>
          <w:lang w:val="es-SV"/>
        </w:rPr>
        <w:t xml:space="preserve">AES CLESA y Cía., S. en C. de C.V. </w:t>
      </w:r>
      <w:r w:rsidRPr="0016111E">
        <w:rPr>
          <w:rFonts w:ascii="Museo Sans 300" w:hAnsi="Museo Sans 300"/>
          <w:sz w:val="20"/>
          <w:szCs w:val="20"/>
        </w:rPr>
        <w:t xml:space="preserve">no demostró las causales de fuerza mayor invocadas, </w:t>
      </w:r>
      <w:r w:rsidR="00235C4D">
        <w:rPr>
          <w:rFonts w:ascii="Museo Sans 300" w:hAnsi="Museo Sans 300"/>
          <w:sz w:val="20"/>
          <w:szCs w:val="20"/>
        </w:rPr>
        <w:t>con base en el principio de verdad material</w:t>
      </w:r>
      <w:r w:rsidR="00623C5C">
        <w:rPr>
          <w:rFonts w:ascii="Museo Sans 300" w:hAnsi="Museo Sans 300"/>
          <w:sz w:val="20"/>
          <w:szCs w:val="20"/>
        </w:rPr>
        <w:t xml:space="preserve"> </w:t>
      </w:r>
      <w:r w:rsidRPr="0016111E">
        <w:rPr>
          <w:rFonts w:ascii="Museo Sans 300" w:hAnsi="Museo Sans 300"/>
          <w:sz w:val="20"/>
          <w:szCs w:val="20"/>
        </w:rPr>
        <w:t xml:space="preserve">tiene el derecho al pago de lo correspondiente a </w:t>
      </w:r>
      <w:r w:rsidR="00881DB7">
        <w:rPr>
          <w:rFonts w:ascii="Museo Sans 300" w:hAnsi="Museo Sans 300"/>
          <w:sz w:val="20"/>
          <w:szCs w:val="20"/>
        </w:rPr>
        <w:t>la e</w:t>
      </w:r>
      <w:r w:rsidR="00235C4D">
        <w:rPr>
          <w:rFonts w:ascii="Museo Sans 300" w:hAnsi="Museo Sans 300"/>
          <w:sz w:val="20"/>
          <w:szCs w:val="20"/>
        </w:rPr>
        <w:t>nergía eléctrica que consumió</w:t>
      </w:r>
      <w:r w:rsidR="00D04240">
        <w:rPr>
          <w:rFonts w:ascii="Museo Sans 300" w:hAnsi="Museo Sans 300"/>
          <w:sz w:val="20"/>
          <w:szCs w:val="20"/>
        </w:rPr>
        <w:t xml:space="preserve"> </w:t>
      </w:r>
      <w:r w:rsidR="00235C4D">
        <w:rPr>
          <w:rFonts w:ascii="Museo Sans 300" w:hAnsi="Museo Sans 300"/>
          <w:sz w:val="20"/>
          <w:szCs w:val="20"/>
        </w:rPr>
        <w:t>el</w:t>
      </w:r>
      <w:r w:rsidR="00D04240">
        <w:rPr>
          <w:rFonts w:ascii="Museo Sans 300" w:hAnsi="Museo Sans 300"/>
          <w:sz w:val="20"/>
          <w:szCs w:val="20"/>
        </w:rPr>
        <w:t xml:space="preserve"> usuario</w:t>
      </w:r>
      <w:r w:rsidRPr="0016111E">
        <w:rPr>
          <w:rFonts w:ascii="Museo Sans 300" w:hAnsi="Museo Sans 300"/>
          <w:bCs/>
          <w:sz w:val="20"/>
          <w:szCs w:val="20"/>
          <w:lang w:val="es-SV"/>
        </w:rPr>
        <w:t xml:space="preserve">, </w:t>
      </w:r>
      <w:r w:rsidRPr="0016111E">
        <w:rPr>
          <w:rFonts w:ascii="Museo Sans 300" w:hAnsi="Museo Sans 300"/>
          <w:sz w:val="20"/>
          <w:szCs w:val="20"/>
        </w:rPr>
        <w:t>respecto de aquellos montos que hayan sido debidamente c</w:t>
      </w:r>
      <w:r w:rsidR="00235C4D">
        <w:rPr>
          <w:rFonts w:ascii="Museo Sans 300" w:hAnsi="Museo Sans 300"/>
          <w:sz w:val="20"/>
          <w:szCs w:val="20"/>
        </w:rPr>
        <w:t>alculados y revisados por esta S</w:t>
      </w:r>
      <w:r w:rsidRPr="0016111E">
        <w:rPr>
          <w:rFonts w:ascii="Museo Sans 300" w:hAnsi="Museo Sans 300"/>
          <w:sz w:val="20"/>
          <w:szCs w:val="20"/>
        </w:rPr>
        <w:t xml:space="preserve">uperintendencia. </w:t>
      </w:r>
    </w:p>
    <w:p w14:paraId="535983AF" w14:textId="77777777" w:rsidR="003A6052" w:rsidRPr="0016111E" w:rsidRDefault="003A6052" w:rsidP="003A6052">
      <w:pPr>
        <w:pStyle w:val="Prrafodelista"/>
        <w:spacing w:line="0" w:lineRule="atLeast"/>
        <w:ind w:left="502"/>
        <w:jc w:val="both"/>
        <w:rPr>
          <w:rFonts w:ascii="Museo Sans 300" w:hAnsi="Museo Sans 300"/>
          <w:sz w:val="20"/>
          <w:szCs w:val="20"/>
        </w:rPr>
      </w:pPr>
      <w:r w:rsidRPr="0016111E">
        <w:rPr>
          <w:rFonts w:ascii="Museo Sans 300" w:hAnsi="Museo Sans 300"/>
          <w:sz w:val="20"/>
          <w:szCs w:val="20"/>
        </w:rPr>
        <w:t> </w:t>
      </w:r>
    </w:p>
    <w:p w14:paraId="2DF7C118" w14:textId="7A6B0092" w:rsidR="00EF56C3"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Para tal efecto, se requiere a la sociedad AES CLESA y Cía., S. en C. de C.V. que</w:t>
      </w:r>
      <w:r w:rsidR="00623C5C">
        <w:rPr>
          <w:rFonts w:ascii="Museo Sans 300" w:hAnsi="Museo Sans 300"/>
          <w:sz w:val="20"/>
          <w:szCs w:val="20"/>
        </w:rPr>
        <w:t>,</w:t>
      </w:r>
      <w:r w:rsidRPr="0016111E">
        <w:rPr>
          <w:rFonts w:ascii="Museo Sans 300" w:hAnsi="Museo Sans 300"/>
          <w:sz w:val="20"/>
          <w:szCs w:val="20"/>
        </w:rPr>
        <w:t xml:space="preserve"> en un plazo máximo de diez días hábiles contados a partir del día siguiente a la notificación de este acuerdo, remita al CAU de la SIGET los cálculos del consumo real </w:t>
      </w:r>
      <w:r w:rsidR="00345FA7" w:rsidRPr="00881DB7">
        <w:rPr>
          <w:rFonts w:ascii="Museo Sans 300" w:hAnsi="Museo Sans 300"/>
          <w:sz w:val="20"/>
          <w:szCs w:val="20"/>
        </w:rPr>
        <w:t xml:space="preserve">en </w:t>
      </w:r>
      <w:r w:rsidR="00235C4D">
        <w:rPr>
          <w:rFonts w:ascii="Museo Sans 300" w:hAnsi="Museo Sans 300"/>
          <w:sz w:val="20"/>
          <w:szCs w:val="20"/>
        </w:rPr>
        <w:t xml:space="preserve">el </w:t>
      </w:r>
      <w:r w:rsidR="00235C4D" w:rsidRPr="00235C4D">
        <w:rPr>
          <w:rFonts w:ascii="Museo Sans 300" w:hAnsi="Museo Sans 300"/>
          <w:sz w:val="20"/>
          <w:szCs w:val="20"/>
        </w:rPr>
        <w:t xml:space="preserve">suministro identificado con el </w:t>
      </w:r>
      <w:r w:rsidR="00235C4D" w:rsidRPr="00235C4D">
        <w:rPr>
          <w:rFonts w:ascii="Museo Sans 300" w:hAnsi="Museo Sans 300"/>
          <w:sz w:val="20"/>
          <w:szCs w:val="20"/>
          <w:lang w:val="es-SV"/>
        </w:rPr>
        <w:t xml:space="preserve">NIC </w:t>
      </w:r>
      <w:r w:rsidR="0017402E">
        <w:rPr>
          <w:rFonts w:ascii="Museo Sans 300" w:hAnsi="Museo Sans 300"/>
          <w:sz w:val="20"/>
          <w:szCs w:val="20"/>
          <w:lang w:val="es-SV"/>
        </w:rPr>
        <w:t>XXX</w:t>
      </w:r>
      <w:r w:rsidR="00345FA7">
        <w:rPr>
          <w:rFonts w:ascii="Museo Sans 300" w:hAnsi="Museo Sans 300"/>
          <w:sz w:val="20"/>
          <w:szCs w:val="20"/>
        </w:rPr>
        <w:t>.</w:t>
      </w:r>
    </w:p>
    <w:p w14:paraId="3656D6D7" w14:textId="77777777" w:rsidR="00EF56C3" w:rsidRPr="0016111E" w:rsidRDefault="00EF56C3" w:rsidP="003A6052">
      <w:pPr>
        <w:pStyle w:val="Prrafodelista"/>
        <w:spacing w:line="0" w:lineRule="atLeast"/>
        <w:ind w:left="567"/>
        <w:jc w:val="both"/>
        <w:rPr>
          <w:rFonts w:ascii="Museo Sans 300" w:hAnsi="Museo Sans 300"/>
          <w:sz w:val="20"/>
          <w:szCs w:val="20"/>
        </w:rPr>
      </w:pPr>
    </w:p>
    <w:p w14:paraId="302E4B5E" w14:textId="6CC0AA6C"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Una vez remitidos dichos datos, el </w:t>
      </w:r>
      <w:r w:rsidR="000C5D65" w:rsidRPr="0016111E">
        <w:rPr>
          <w:rFonts w:ascii="Museo Sans 300" w:hAnsi="Museo Sans 300"/>
          <w:sz w:val="20"/>
          <w:szCs w:val="20"/>
        </w:rPr>
        <w:t>CAU</w:t>
      </w:r>
      <w:r w:rsidRPr="0016111E">
        <w:rPr>
          <w:rFonts w:ascii="Museo Sans 300" w:hAnsi="Museo Sans 300"/>
          <w:sz w:val="20"/>
          <w:szCs w:val="20"/>
        </w:rPr>
        <w:t xml:space="preserve"> debe rendir en un plazo de diez días hábiles contados a partir del día siguiente al de la recepción de dicha información un informe técnico en el que corrija o ratifique los cobros respectivos. </w:t>
      </w:r>
    </w:p>
    <w:p w14:paraId="65F9C3DC" w14:textId="77777777" w:rsidR="003A6052" w:rsidRPr="0016111E" w:rsidRDefault="003A6052" w:rsidP="003A6052">
      <w:pPr>
        <w:pStyle w:val="Prrafodelista"/>
        <w:spacing w:line="0" w:lineRule="atLeast"/>
        <w:ind w:left="502"/>
        <w:jc w:val="both"/>
        <w:rPr>
          <w:rFonts w:ascii="Museo Sans 300" w:hAnsi="Museo Sans 300"/>
          <w:sz w:val="20"/>
          <w:szCs w:val="20"/>
        </w:rPr>
      </w:pPr>
    </w:p>
    <w:p w14:paraId="426C8E8A" w14:textId="3849103F"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75A78FC">
        <w:rPr>
          <w:rFonts w:ascii="Museo Sans 300" w:hAnsi="Museo Sans 300"/>
          <w:sz w:val="20"/>
          <w:szCs w:val="20"/>
        </w:rPr>
        <w:t xml:space="preserve">Si </w:t>
      </w:r>
      <w:r w:rsidR="00235C4D" w:rsidRPr="075A78FC">
        <w:rPr>
          <w:rFonts w:ascii="Museo Sans 300" w:hAnsi="Museo Sans 300"/>
          <w:sz w:val="20"/>
          <w:szCs w:val="20"/>
        </w:rPr>
        <w:t>el</w:t>
      </w:r>
      <w:r w:rsidR="00432AED" w:rsidRPr="075A78FC">
        <w:rPr>
          <w:rFonts w:ascii="Museo Sans 300" w:hAnsi="Museo Sans 300"/>
          <w:sz w:val="20"/>
          <w:szCs w:val="20"/>
        </w:rPr>
        <w:t xml:space="preserve"> usuario</w:t>
      </w:r>
      <w:r w:rsidRPr="075A78FC">
        <w:rPr>
          <w:rFonts w:ascii="Museo Sans 300" w:hAnsi="Museo Sans 300"/>
          <w:sz w:val="20"/>
          <w:szCs w:val="20"/>
        </w:rPr>
        <w:t xml:space="preserve"> ya ha realizado el pago de lo cobrado retroactivame</w:t>
      </w:r>
      <w:r w:rsidR="00235C4D" w:rsidRPr="075A78FC">
        <w:rPr>
          <w:rFonts w:ascii="Museo Sans 300" w:hAnsi="Museo Sans 300"/>
          <w:sz w:val="20"/>
          <w:szCs w:val="20"/>
        </w:rPr>
        <w:t>nte, será preciso que verifique</w:t>
      </w:r>
      <w:r w:rsidRPr="075A78FC">
        <w:rPr>
          <w:rFonts w:ascii="Museo Sans 300" w:hAnsi="Museo Sans 300"/>
          <w:sz w:val="20"/>
          <w:szCs w:val="20"/>
        </w:rPr>
        <w:t xml:space="preserve"> si lo cancelado se ajusta a su consumo real de energía eléctrica. Si ha pagado cantidades mayores, la distribuidora deberá realizar el reintegro de lo cancelado en exceso; en caso contrario, si </w:t>
      </w:r>
      <w:r w:rsidR="2A5CF5BD" w:rsidRPr="075A78FC">
        <w:rPr>
          <w:rFonts w:ascii="Museo Sans 300" w:hAnsi="Museo Sans 300"/>
          <w:sz w:val="20"/>
          <w:szCs w:val="20"/>
        </w:rPr>
        <w:t>el usuario no ha</w:t>
      </w:r>
      <w:r w:rsidRPr="075A78FC">
        <w:rPr>
          <w:rFonts w:ascii="Museo Sans 300" w:hAnsi="Museo Sans 300"/>
          <w:sz w:val="20"/>
          <w:szCs w:val="20"/>
        </w:rPr>
        <w:t xml:space="preserve"> </w:t>
      </w:r>
      <w:r w:rsidR="00235C4D" w:rsidRPr="075A78FC">
        <w:rPr>
          <w:rFonts w:ascii="Museo Sans 300" w:hAnsi="Museo Sans 300"/>
          <w:sz w:val="20"/>
          <w:szCs w:val="20"/>
        </w:rPr>
        <w:t>c</w:t>
      </w:r>
      <w:r w:rsidRPr="075A78FC">
        <w:rPr>
          <w:rFonts w:ascii="Museo Sans 300" w:hAnsi="Museo Sans 300"/>
          <w:sz w:val="20"/>
          <w:szCs w:val="20"/>
        </w:rPr>
        <w:t xml:space="preserve">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14:paraId="5023141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1F3B1409" w14:textId="1289DFC8" w:rsidR="003A6052" w:rsidRDefault="003A6052" w:rsidP="00C67AF0">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235C4D">
        <w:rPr>
          <w:rFonts w:ascii="Museo Sans 300" w:hAnsi="Museo Sans 300"/>
          <w:sz w:val="20"/>
          <w:szCs w:val="20"/>
        </w:rPr>
        <w:t>S</w:t>
      </w:r>
      <w:r w:rsidRPr="0016111E">
        <w:rPr>
          <w:rFonts w:ascii="Museo Sans 300" w:hAnsi="Museo Sans 300"/>
          <w:sz w:val="20"/>
          <w:szCs w:val="20"/>
        </w:rPr>
        <w:t>uperintendencia, los avances en</w:t>
      </w:r>
      <w:r w:rsidR="00235C4D">
        <w:rPr>
          <w:rFonts w:ascii="Museo Sans 300" w:hAnsi="Museo Sans 300"/>
          <w:sz w:val="20"/>
          <w:szCs w:val="20"/>
        </w:rPr>
        <w:t xml:space="preserve"> el pago o devolución del usuario</w:t>
      </w:r>
      <w:r w:rsidRPr="0016111E">
        <w:rPr>
          <w:rFonts w:ascii="Museo Sans 300" w:hAnsi="Museo Sans 300"/>
          <w:sz w:val="20"/>
          <w:szCs w:val="20"/>
        </w:rPr>
        <w:t xml:space="preserve"> debidamente actualizada. </w:t>
      </w:r>
    </w:p>
    <w:p w14:paraId="4E5AB1E7" w14:textId="77777777" w:rsidR="0017402E" w:rsidRPr="00C67AF0" w:rsidRDefault="0017402E" w:rsidP="00C67AF0">
      <w:pPr>
        <w:pStyle w:val="Prrafodelista"/>
        <w:autoSpaceDE w:val="0"/>
        <w:autoSpaceDN w:val="0"/>
        <w:adjustRightInd w:val="0"/>
        <w:spacing w:line="0" w:lineRule="atLeast"/>
        <w:ind w:left="502"/>
        <w:jc w:val="both"/>
        <w:rPr>
          <w:rFonts w:ascii="Museo Sans 300" w:hAnsi="Museo Sans 300"/>
          <w:sz w:val="20"/>
          <w:szCs w:val="20"/>
        </w:rPr>
      </w:pPr>
      <w:bookmarkStart w:id="1" w:name="_GoBack"/>
      <w:bookmarkEnd w:id="1"/>
    </w:p>
    <w:p w14:paraId="158E4AA8" w14:textId="3F64ADB4" w:rsidR="00A2108B" w:rsidRPr="0016111E" w:rsidRDefault="003A6052" w:rsidP="00D37F68">
      <w:pPr>
        <w:pStyle w:val="Prrafodelista"/>
        <w:numPr>
          <w:ilvl w:val="0"/>
          <w:numId w:val="36"/>
        </w:numPr>
        <w:spacing w:line="0" w:lineRule="atLeast"/>
        <w:contextualSpacing/>
        <w:jc w:val="both"/>
        <w:rPr>
          <w:rFonts w:ascii="Museo Sans 300" w:hAnsi="Museo Sans 300"/>
          <w:sz w:val="20"/>
          <w:szCs w:val="20"/>
        </w:rPr>
      </w:pPr>
      <w:r w:rsidRPr="00A2108B">
        <w:rPr>
          <w:rFonts w:ascii="Museo Sans 300" w:hAnsi="Museo Sans 300"/>
          <w:sz w:val="20"/>
          <w:szCs w:val="20"/>
        </w:rPr>
        <w:t xml:space="preserve">La sociedad AES CLESA y Cía., S. en C. de C.V. incumplió los índices de gestión comercial establecidos en las Normas de Calidad del Servicio de los Sistemas de Distribución, por lo </w:t>
      </w:r>
      <w:r w:rsidR="006C7085" w:rsidRPr="00A2108B">
        <w:rPr>
          <w:rFonts w:ascii="Museo Sans 300" w:hAnsi="Museo Sans 300"/>
          <w:sz w:val="20"/>
          <w:szCs w:val="20"/>
        </w:rPr>
        <w:t>que,</w:t>
      </w:r>
      <w:r w:rsidRPr="00A2108B">
        <w:rPr>
          <w:rFonts w:ascii="Museo Sans 300" w:hAnsi="Museo Sans 300"/>
          <w:sz w:val="20"/>
          <w:szCs w:val="20"/>
        </w:rPr>
        <w:t xml:space="preserve"> en un plazo máximo de diez días hábiles contados a partir del día siguiente a la notificación de este acuerdo, deberá remitir el cálculo de la devolución y/o compensación por incumplimiento a la gestión comercial </w:t>
      </w:r>
      <w:r w:rsidRPr="00D37F68">
        <w:rPr>
          <w:rFonts w:ascii="Museo Sans 300" w:hAnsi="Museo Sans 300"/>
          <w:sz w:val="20"/>
          <w:szCs w:val="20"/>
        </w:rPr>
        <w:t>en</w:t>
      </w:r>
      <w:r w:rsidR="00A2108B" w:rsidRPr="00881DB7">
        <w:rPr>
          <w:rFonts w:ascii="Museo Sans 300" w:hAnsi="Museo Sans 300"/>
          <w:sz w:val="20"/>
          <w:szCs w:val="20"/>
        </w:rPr>
        <w:t xml:space="preserve"> </w:t>
      </w:r>
      <w:r w:rsidR="00235C4D">
        <w:rPr>
          <w:rFonts w:ascii="Museo Sans 300" w:hAnsi="Museo Sans 300"/>
          <w:sz w:val="20"/>
          <w:szCs w:val="20"/>
        </w:rPr>
        <w:t xml:space="preserve">el </w:t>
      </w:r>
      <w:r w:rsidR="00235C4D" w:rsidRPr="00235C4D">
        <w:rPr>
          <w:rFonts w:ascii="Museo Sans 300" w:hAnsi="Museo Sans 300"/>
          <w:sz w:val="20"/>
          <w:szCs w:val="20"/>
        </w:rPr>
        <w:t xml:space="preserve">suministro identificado con el </w:t>
      </w:r>
      <w:r w:rsidR="00235C4D" w:rsidRPr="00235C4D">
        <w:rPr>
          <w:rFonts w:ascii="Museo Sans 300" w:hAnsi="Museo Sans 300"/>
          <w:sz w:val="20"/>
          <w:szCs w:val="20"/>
          <w:lang w:val="es-SV"/>
        </w:rPr>
        <w:t xml:space="preserve">NIC </w:t>
      </w:r>
      <w:r w:rsidR="0017402E">
        <w:rPr>
          <w:rFonts w:ascii="Museo Sans 300" w:hAnsi="Museo Sans 300"/>
          <w:sz w:val="20"/>
          <w:szCs w:val="20"/>
          <w:lang w:val="es-SV"/>
        </w:rPr>
        <w:t>XXX</w:t>
      </w:r>
      <w:r w:rsidR="00235C4D">
        <w:rPr>
          <w:rFonts w:ascii="Museo Sans 300" w:hAnsi="Museo Sans 300"/>
          <w:sz w:val="20"/>
          <w:szCs w:val="20"/>
          <w:lang w:val="es-SV"/>
        </w:rPr>
        <w:t>.</w:t>
      </w:r>
    </w:p>
    <w:p w14:paraId="562C75D1" w14:textId="52154895" w:rsidR="003A6052" w:rsidRPr="00A2108B" w:rsidRDefault="003A6052" w:rsidP="00A2108B">
      <w:pPr>
        <w:pStyle w:val="Prrafodelista"/>
        <w:spacing w:line="0" w:lineRule="atLeast"/>
        <w:ind w:left="567"/>
        <w:contextualSpacing/>
        <w:jc w:val="both"/>
        <w:rPr>
          <w:rFonts w:ascii="Museo Sans 300" w:hAnsi="Museo Sans 300"/>
          <w:sz w:val="20"/>
          <w:szCs w:val="20"/>
        </w:rPr>
      </w:pPr>
    </w:p>
    <w:p w14:paraId="46FC148F" w14:textId="5712140B" w:rsidR="003A6052" w:rsidRPr="0016111E" w:rsidRDefault="003A6052" w:rsidP="008B5AB6">
      <w:pPr>
        <w:pStyle w:val="Prrafodelista"/>
        <w:numPr>
          <w:ilvl w:val="0"/>
          <w:numId w:val="36"/>
        </w:numPr>
        <w:spacing w:line="0" w:lineRule="atLeast"/>
        <w:contextualSpacing/>
        <w:jc w:val="both"/>
        <w:rPr>
          <w:rFonts w:ascii="Museo Sans 300" w:hAnsi="Museo Sans 300"/>
          <w:sz w:val="20"/>
          <w:szCs w:val="20"/>
        </w:rPr>
      </w:pPr>
      <w:r w:rsidRPr="4B38EE72">
        <w:rPr>
          <w:rFonts w:ascii="Museo Sans 300" w:hAnsi="Museo Sans 300"/>
          <w:sz w:val="20"/>
          <w:szCs w:val="20"/>
        </w:rPr>
        <w:t>Requerir a la Gerencia de Electricidad que</w:t>
      </w:r>
      <w:r w:rsidR="00623C5C" w:rsidRPr="4B38EE72">
        <w:rPr>
          <w:rFonts w:ascii="Museo Sans 300" w:hAnsi="Museo Sans 300"/>
          <w:sz w:val="20"/>
          <w:szCs w:val="20"/>
        </w:rPr>
        <w:t>,</w:t>
      </w:r>
      <w:r w:rsidRPr="4B38EE72">
        <w:rPr>
          <w:rFonts w:ascii="Museo Sans 300" w:hAnsi="Museo Sans 300"/>
          <w:sz w:val="20"/>
          <w:szCs w:val="20"/>
        </w:rPr>
        <w:t xml:space="preserve"> en un plazo de diez días hábiles contados a partir de la remisión de dicha información por parte de la distribuidora, deberá rendir un informe técnico en el cual corrija o ratifique el monto calculado en concepto de compensación por la sociedad AES CLESA y Cía., S. en C. de C.V.</w:t>
      </w:r>
    </w:p>
    <w:p w14:paraId="664355AD" w14:textId="77777777" w:rsidR="003A6052" w:rsidRPr="0016111E" w:rsidRDefault="003A6052" w:rsidP="003A6052">
      <w:pPr>
        <w:pStyle w:val="Sangra2detindependiente"/>
        <w:spacing w:after="0" w:line="240" w:lineRule="auto"/>
        <w:ind w:left="502"/>
        <w:jc w:val="both"/>
        <w:rPr>
          <w:rFonts w:ascii="Museo Sans 300" w:hAnsi="Museo Sans 300"/>
          <w:sz w:val="20"/>
          <w:szCs w:val="20"/>
        </w:rPr>
      </w:pPr>
    </w:p>
    <w:p w14:paraId="0C920D5F" w14:textId="77777777" w:rsidR="003A6052" w:rsidRPr="0016111E" w:rsidRDefault="003A6052" w:rsidP="00D37F68">
      <w:pPr>
        <w:pStyle w:val="Prrafodelista"/>
        <w:numPr>
          <w:ilvl w:val="0"/>
          <w:numId w:val="36"/>
        </w:numPr>
        <w:spacing w:line="0" w:lineRule="atLeast"/>
        <w:contextualSpacing/>
        <w:jc w:val="both"/>
        <w:rPr>
          <w:rFonts w:ascii="Museo Sans 300" w:hAnsi="Museo Sans 300"/>
          <w:sz w:val="20"/>
          <w:szCs w:val="20"/>
        </w:rPr>
      </w:pPr>
      <w:r w:rsidRPr="0016111E">
        <w:rPr>
          <w:rFonts w:ascii="Museo Sans 300" w:hAnsi="Museo Sans 300"/>
          <w:sz w:val="20"/>
          <w:szCs w:val="20"/>
        </w:rPr>
        <w:t>Indicar a la distribuidora que, además de cumplir con la normativa correspondiente, debe evitar que en el futuro existan casos de estimaciones y/o acumulaciones, que superen lo establecido en los términos y condiciones vigentes o por un número de meses tan amplio.</w:t>
      </w:r>
    </w:p>
    <w:p w14:paraId="1A965116" w14:textId="77777777" w:rsidR="003A6052" w:rsidRPr="0016111E" w:rsidRDefault="003A6052" w:rsidP="00D37F68">
      <w:pPr>
        <w:pStyle w:val="Prrafodelista"/>
        <w:spacing w:line="0" w:lineRule="atLeast"/>
        <w:ind w:left="502"/>
        <w:contextualSpacing/>
        <w:jc w:val="both"/>
        <w:rPr>
          <w:rFonts w:ascii="Museo Sans 300" w:hAnsi="Museo Sans 300"/>
          <w:sz w:val="20"/>
          <w:szCs w:val="20"/>
        </w:rPr>
      </w:pPr>
    </w:p>
    <w:p w14:paraId="48113A25" w14:textId="57BEFB5C" w:rsidR="003A6052" w:rsidRPr="0016111E" w:rsidRDefault="003A6052" w:rsidP="0006094A">
      <w:pPr>
        <w:pStyle w:val="Prrafodelista"/>
        <w:numPr>
          <w:ilvl w:val="0"/>
          <w:numId w:val="36"/>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al señor</w:t>
      </w:r>
      <w:r w:rsidR="00D73621">
        <w:rPr>
          <w:rFonts w:ascii="Museo Sans 300" w:hAnsi="Museo Sans 300"/>
          <w:bCs/>
          <w:sz w:val="20"/>
          <w:szCs w:val="20"/>
          <w:lang w:val="es-SV"/>
        </w:rPr>
        <w:t xml:space="preserve"> </w:t>
      </w:r>
      <w:r w:rsidR="0017402E">
        <w:rPr>
          <w:rFonts w:ascii="Museo Sans 300" w:hAnsi="Museo Sans 300"/>
          <w:bCs/>
          <w:sz w:val="20"/>
          <w:szCs w:val="20"/>
          <w:lang w:val="es-SV"/>
        </w:rPr>
        <w:t>XXX</w:t>
      </w:r>
      <w:r w:rsidR="00EC67A7">
        <w:rPr>
          <w:rFonts w:ascii="Museo Sans 300" w:hAnsi="Museo Sans 300"/>
          <w:bCs/>
          <w:sz w:val="20"/>
          <w:szCs w:val="20"/>
          <w:lang w:val="es-SV"/>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3041E394" w14:textId="77777777" w:rsidR="00B92916" w:rsidRDefault="00B92916" w:rsidP="00B92916">
      <w:pPr>
        <w:spacing w:after="0" w:line="240" w:lineRule="auto"/>
        <w:jc w:val="both"/>
        <w:rPr>
          <w:rFonts w:ascii="Museo Sans 300" w:hAnsi="Museo Sans 300"/>
          <w:lang w:val="es-ES_tradnl"/>
        </w:rPr>
      </w:pPr>
    </w:p>
    <w:p w14:paraId="722B00AE" w14:textId="5AE6AF80" w:rsidR="00B92916" w:rsidRDefault="00B92916" w:rsidP="00B92916">
      <w:pPr>
        <w:spacing w:after="0" w:line="240" w:lineRule="auto"/>
        <w:jc w:val="both"/>
        <w:rPr>
          <w:rFonts w:ascii="Museo Sans 300" w:hAnsi="Museo Sans 300"/>
          <w:lang w:val="es-ES_tradnl"/>
        </w:rPr>
      </w:pPr>
    </w:p>
    <w:p w14:paraId="5EE79DBC" w14:textId="769B2623" w:rsidR="009273BD" w:rsidRDefault="009273BD" w:rsidP="00B92916">
      <w:pPr>
        <w:spacing w:after="0" w:line="240" w:lineRule="auto"/>
        <w:jc w:val="both"/>
        <w:rPr>
          <w:rFonts w:ascii="Museo Sans 300" w:hAnsi="Museo Sans 300"/>
          <w:lang w:val="es-ES_tradnl"/>
        </w:rPr>
      </w:pPr>
    </w:p>
    <w:p w14:paraId="3912FBAF" w14:textId="77777777" w:rsidR="009273BD" w:rsidRDefault="009273BD" w:rsidP="00B92916">
      <w:pPr>
        <w:spacing w:after="0" w:line="240" w:lineRule="auto"/>
        <w:jc w:val="both"/>
        <w:rPr>
          <w:rFonts w:ascii="Museo Sans 300" w:hAnsi="Museo Sans 300"/>
          <w:lang w:val="es-ES_tradnl"/>
        </w:rPr>
      </w:pPr>
    </w:p>
    <w:p w14:paraId="77434363" w14:textId="77777777" w:rsidR="00D73621" w:rsidRDefault="00D73621" w:rsidP="00B92916">
      <w:pPr>
        <w:spacing w:after="0" w:line="240" w:lineRule="auto"/>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EF56C3">
      <w:headerReference w:type="even" r:id="rId11"/>
      <w:headerReference w:type="default" r:id="rId12"/>
      <w:footerReference w:type="even" r:id="rId13"/>
      <w:footerReference w:type="default" r:id="rId14"/>
      <w:headerReference w:type="first" r:id="rId15"/>
      <w:footerReference w:type="first" r:id="rId16"/>
      <w:pgSz w:w="12240" w:h="15840"/>
      <w:pgMar w:top="2269"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F2183" w14:textId="77777777" w:rsidR="00D34B98" w:rsidRDefault="00D34B98">
      <w:pPr>
        <w:spacing w:after="0" w:line="240" w:lineRule="auto"/>
      </w:pPr>
      <w:r>
        <w:separator/>
      </w:r>
    </w:p>
  </w:endnote>
  <w:endnote w:type="continuationSeparator" w:id="0">
    <w:p w14:paraId="3C19F68F" w14:textId="77777777" w:rsidR="00D34B98" w:rsidRDefault="00D34B98">
      <w:pPr>
        <w:spacing w:after="0" w:line="240" w:lineRule="auto"/>
      </w:pPr>
      <w:r>
        <w:continuationSeparator/>
      </w:r>
    </w:p>
  </w:endnote>
  <w:endnote w:type="continuationNotice" w:id="1">
    <w:p w14:paraId="739337C2" w14:textId="77777777" w:rsidR="00D34B98" w:rsidRDefault="00D34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A306" w14:textId="02E3969A" w:rsidR="00087B71" w:rsidRDefault="00087B71">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7402E">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7402E">
      <w:rPr>
        <w:b/>
        <w:bCs/>
        <w:noProof/>
      </w:rPr>
      <w:t>11</w:t>
    </w:r>
    <w:r>
      <w:rPr>
        <w:b/>
        <w:bCs/>
        <w:sz w:val="24"/>
        <w:szCs w:val="24"/>
      </w:rPr>
      <w:fldChar w:fldCharType="end"/>
    </w:r>
  </w:p>
  <w:p w14:paraId="42C6D796" w14:textId="02505828" w:rsidR="00087B71" w:rsidRDefault="0017402E"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E60E" w14:textId="6A26CDEB" w:rsidR="006C6A94" w:rsidRDefault="006C6A94">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7402E">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7402E">
      <w:rPr>
        <w:b/>
        <w:bCs/>
        <w:noProof/>
      </w:rPr>
      <w:t>11</w:t>
    </w:r>
    <w:r>
      <w:rPr>
        <w:b/>
        <w:bCs/>
        <w:sz w:val="24"/>
        <w:szCs w:val="24"/>
      </w:rPr>
      <w:fldChar w:fldCharType="end"/>
    </w:r>
  </w:p>
  <w:p w14:paraId="5BE93A62" w14:textId="3C26AE34" w:rsidR="006C6A94" w:rsidRDefault="0017402E"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682631"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754E7A" w:rsidRPr="008B5AB6"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p w14:paraId="4EB27737" w14:textId="5D7295CF" w:rsidR="00782B0D" w:rsidRPr="008B5AB6" w:rsidRDefault="0017402E" w:rsidP="00782B0D">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21C15" w14:textId="77777777" w:rsidR="00D34B98" w:rsidRDefault="00D34B98">
      <w:pPr>
        <w:spacing w:after="0" w:line="240" w:lineRule="auto"/>
      </w:pPr>
      <w:r>
        <w:separator/>
      </w:r>
    </w:p>
  </w:footnote>
  <w:footnote w:type="continuationSeparator" w:id="0">
    <w:p w14:paraId="623945ED" w14:textId="77777777" w:rsidR="00D34B98" w:rsidRDefault="00D34B98">
      <w:pPr>
        <w:spacing w:after="0" w:line="240" w:lineRule="auto"/>
      </w:pPr>
      <w:r>
        <w:continuationSeparator/>
      </w:r>
    </w:p>
  </w:footnote>
  <w:footnote w:type="continuationNotice" w:id="1">
    <w:p w14:paraId="0FA32EE2" w14:textId="77777777" w:rsidR="00D34B98" w:rsidRDefault="00D34B9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D2A" w14:textId="7D36FAC6" w:rsidR="00754E7A" w:rsidRDefault="00AB143C">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1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180BAA9D" w:rsidR="00335C51" w:rsidRDefault="00AB143C" w:rsidP="00754E7A">
    <w:pPr>
      <w:outlineLvl w:val="1"/>
    </w:pPr>
    <w:r>
      <w:rPr>
        <w:noProof/>
        <w:lang w:eastAsia="es-SV"/>
      </w:rPr>
      <w:drawing>
        <wp:inline distT="0" distB="0" distL="0" distR="0" wp14:anchorId="4F16983D" wp14:editId="53FEBD03">
          <wp:extent cx="1924050" cy="628650"/>
          <wp:effectExtent l="0" t="0" r="0" b="0"/>
          <wp:docPr id="1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1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E5D" w14:textId="10F43D00" w:rsidR="00754E7A" w:rsidRPr="00754E7A" w:rsidRDefault="00AB143C"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1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1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3F0"/>
    <w:multiLevelType w:val="hybridMultilevel"/>
    <w:tmpl w:val="119A7E98"/>
    <w:lvl w:ilvl="0" w:tplc="3E6AD3E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91D14F9"/>
    <w:multiLevelType w:val="hybridMultilevel"/>
    <w:tmpl w:val="93FC9D42"/>
    <w:lvl w:ilvl="0" w:tplc="F20C48FC">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4"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B2F7718"/>
    <w:multiLevelType w:val="hybridMultilevel"/>
    <w:tmpl w:val="379EF144"/>
    <w:lvl w:ilvl="0" w:tplc="66CE4FB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7"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8" w15:restartNumberingAfterBreak="0">
    <w:nsid w:val="3F6012AF"/>
    <w:multiLevelType w:val="hybridMultilevel"/>
    <w:tmpl w:val="04D0EE9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9" w15:restartNumberingAfterBreak="0">
    <w:nsid w:val="40B77324"/>
    <w:multiLevelType w:val="hybridMultilevel"/>
    <w:tmpl w:val="CD92F0D0"/>
    <w:lvl w:ilvl="0" w:tplc="42C87494">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0"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2"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6"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ED1168"/>
    <w:multiLevelType w:val="hybridMultilevel"/>
    <w:tmpl w:val="F6DE6B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9" w15:restartNumberingAfterBreak="0">
    <w:nsid w:val="5EE25A03"/>
    <w:multiLevelType w:val="hybridMultilevel"/>
    <w:tmpl w:val="F6BAF2A6"/>
    <w:lvl w:ilvl="0" w:tplc="77068E54">
      <w:start w:val="1"/>
      <w:numFmt w:val="decimal"/>
      <w:lvlText w:val="%1."/>
      <w:lvlJc w:val="left"/>
      <w:pPr>
        <w:ind w:left="420" w:hanging="360"/>
      </w:pPr>
      <w:rPr>
        <w:rFonts w:ascii="Museo Sans 500" w:eastAsia="Times New Roman" w:hAnsi="Museo Sans 5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15:restartNumberingAfterBreak="0">
    <w:nsid w:val="615B3BE9"/>
    <w:multiLevelType w:val="hybridMultilevel"/>
    <w:tmpl w:val="1832B132"/>
    <w:lvl w:ilvl="0" w:tplc="F20C48FC">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1"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2" w15:restartNumberingAfterBreak="0">
    <w:nsid w:val="6DFF19DC"/>
    <w:multiLevelType w:val="hybridMultilevel"/>
    <w:tmpl w:val="EBDE32A4"/>
    <w:lvl w:ilvl="0" w:tplc="EB7A684C">
      <w:start w:val="1"/>
      <w:numFmt w:val="lowerLetter"/>
      <w:lvlText w:val="%1)"/>
      <w:lvlJc w:val="left"/>
      <w:pPr>
        <w:tabs>
          <w:tab w:val="num" w:pos="900"/>
        </w:tabs>
        <w:ind w:left="900" w:hanging="360"/>
      </w:pPr>
      <w:rPr>
        <w:rFonts w:hint="default"/>
        <w:b w:val="0"/>
      </w:rPr>
    </w:lvl>
    <w:lvl w:ilvl="1" w:tplc="87B8312E">
      <w:start w:val="1"/>
      <w:numFmt w:val="bullet"/>
      <w:lvlText w:val="o"/>
      <w:lvlJc w:val="left"/>
      <w:pPr>
        <w:tabs>
          <w:tab w:val="num" w:pos="1788"/>
        </w:tabs>
        <w:ind w:left="1788" w:hanging="360"/>
      </w:pPr>
      <w:rPr>
        <w:rFonts w:ascii="Courier New" w:hAnsi="Courier New" w:hint="default"/>
        <w:sz w:val="20"/>
      </w:rPr>
    </w:lvl>
    <w:lvl w:ilvl="2" w:tplc="250CC67A">
      <w:start w:val="1"/>
      <w:numFmt w:val="bullet"/>
      <w:lvlText w:val=""/>
      <w:lvlJc w:val="left"/>
      <w:pPr>
        <w:tabs>
          <w:tab w:val="num" w:pos="2508"/>
        </w:tabs>
        <w:ind w:left="2508" w:hanging="360"/>
      </w:pPr>
      <w:rPr>
        <w:rFonts w:ascii="Wingdings" w:hAnsi="Wingdings" w:hint="default"/>
        <w:sz w:val="20"/>
      </w:rPr>
    </w:lvl>
    <w:lvl w:ilvl="3" w:tplc="D75C8660">
      <w:start w:val="1"/>
      <w:numFmt w:val="lowerLetter"/>
      <w:lvlText w:val="%4)"/>
      <w:lvlJc w:val="left"/>
      <w:pPr>
        <w:tabs>
          <w:tab w:val="num" w:pos="360"/>
        </w:tabs>
        <w:ind w:left="360" w:hanging="360"/>
      </w:pPr>
      <w:rPr>
        <w:rFonts w:hint="default"/>
        <w:b w:val="0"/>
        <w:sz w:val="22"/>
        <w:szCs w:val="22"/>
      </w:rPr>
    </w:lvl>
    <w:lvl w:ilvl="4" w:tplc="BB0658EA">
      <w:start w:val="1"/>
      <w:numFmt w:val="bullet"/>
      <w:lvlText w:val="-"/>
      <w:lvlJc w:val="left"/>
      <w:pPr>
        <w:tabs>
          <w:tab w:val="num" w:pos="3948"/>
        </w:tabs>
        <w:ind w:left="3948" w:hanging="360"/>
      </w:pPr>
      <w:rPr>
        <w:rFonts w:ascii="Times New Roman" w:eastAsia="Times New Roman" w:hAnsi="Times New Roman" w:cs="Times New Roman" w:hint="default"/>
      </w:rPr>
    </w:lvl>
    <w:lvl w:ilvl="5" w:tplc="6040E8F0">
      <w:start w:val="3"/>
      <w:numFmt w:val="lowerLetter"/>
      <w:lvlText w:val="%6."/>
      <w:lvlJc w:val="left"/>
      <w:pPr>
        <w:ind w:left="4668" w:hanging="360"/>
      </w:pPr>
      <w:rPr>
        <w:rFonts w:hint="default"/>
      </w:rPr>
    </w:lvl>
    <w:lvl w:ilvl="6" w:tplc="033C54C0" w:tentative="1">
      <w:start w:val="1"/>
      <w:numFmt w:val="bullet"/>
      <w:lvlText w:val=""/>
      <w:lvlJc w:val="left"/>
      <w:pPr>
        <w:tabs>
          <w:tab w:val="num" w:pos="5388"/>
        </w:tabs>
        <w:ind w:left="5388" w:hanging="360"/>
      </w:pPr>
      <w:rPr>
        <w:rFonts w:ascii="Wingdings" w:hAnsi="Wingdings" w:hint="default"/>
        <w:sz w:val="20"/>
      </w:rPr>
    </w:lvl>
    <w:lvl w:ilvl="7" w:tplc="BBE26592" w:tentative="1">
      <w:start w:val="1"/>
      <w:numFmt w:val="bullet"/>
      <w:lvlText w:val=""/>
      <w:lvlJc w:val="left"/>
      <w:pPr>
        <w:tabs>
          <w:tab w:val="num" w:pos="6108"/>
        </w:tabs>
        <w:ind w:left="6108" w:hanging="360"/>
      </w:pPr>
      <w:rPr>
        <w:rFonts w:ascii="Wingdings" w:hAnsi="Wingdings" w:hint="default"/>
        <w:sz w:val="20"/>
      </w:rPr>
    </w:lvl>
    <w:lvl w:ilvl="8" w:tplc="168A014A"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72DD6965"/>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4"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FC27C03"/>
    <w:multiLevelType w:val="hybridMultilevel"/>
    <w:tmpl w:val="AFFABA28"/>
    <w:lvl w:ilvl="0" w:tplc="0E1C8BB2">
      <w:start w:val="1"/>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num>
  <w:num w:numId="5">
    <w:abstractNumId w:val="13"/>
  </w:num>
  <w:num w:numId="6">
    <w:abstractNumId w:val="22"/>
  </w:num>
  <w:num w:numId="7">
    <w:abstractNumId w:val="4"/>
  </w:num>
  <w:num w:numId="8">
    <w:abstractNumId w:val="14"/>
  </w:num>
  <w:num w:numId="9">
    <w:abstractNumId w:val="12"/>
  </w:num>
  <w:num w:numId="10">
    <w:abstractNumId w:val="8"/>
  </w:num>
  <w:num w:numId="11">
    <w:abstractNumId w:val="11"/>
  </w:num>
  <w:num w:numId="12">
    <w:abstractNumId w:val="5"/>
  </w:num>
  <w:num w:numId="13">
    <w:abstractNumId w:val="24"/>
  </w:num>
  <w:num w:numId="14">
    <w:abstractNumId w:val="2"/>
  </w:num>
  <w:num w:numId="15">
    <w:abstractNumId w:val="1"/>
  </w:num>
  <w:num w:numId="16">
    <w:abstractNumId w:val="21"/>
  </w:num>
  <w:num w:numId="17">
    <w:abstractNumId w:val="10"/>
  </w:num>
  <w:num w:numId="18">
    <w:abstractNumId w:val="7"/>
  </w:num>
  <w:num w:numId="19">
    <w:abstractNumId w:val="17"/>
  </w:num>
  <w:num w:numId="20">
    <w:abstractNumId w:val="26"/>
  </w:num>
  <w:num w:numId="21">
    <w:abstractNumId w:val="9"/>
  </w:num>
  <w:num w:numId="22">
    <w:abstractNumId w:val="3"/>
  </w:num>
  <w:num w:numId="23">
    <w:abstractNumId w:val="0"/>
  </w:num>
  <w:num w:numId="24">
    <w:abstractNumId w:val="20"/>
  </w:num>
  <w:num w:numId="25">
    <w:abstractNumId w:val="18"/>
  </w:num>
  <w:num w:numId="26">
    <w:abstractNumId w:val="6"/>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lvlOverride w:ilvl="2"/>
    <w:lvlOverride w:ilvl="3">
      <w:startOverride w:val="1"/>
    </w:lvlOverride>
    <w:lvlOverride w:ilvl="4"/>
    <w:lvlOverride w:ilvl="5">
      <w:startOverride w:val="3"/>
    </w:lvlOverride>
    <w:lvlOverride w:ilvl="6"/>
    <w:lvlOverride w:ilvl="7"/>
    <w:lvlOverride w:ilvl="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3"/>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708"/>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B"/>
    <w:rsid w:val="000052EB"/>
    <w:rsid w:val="000110C8"/>
    <w:rsid w:val="00030D44"/>
    <w:rsid w:val="00035114"/>
    <w:rsid w:val="00035815"/>
    <w:rsid w:val="00041EDF"/>
    <w:rsid w:val="0005355B"/>
    <w:rsid w:val="00054550"/>
    <w:rsid w:val="0006094A"/>
    <w:rsid w:val="00064846"/>
    <w:rsid w:val="0006673D"/>
    <w:rsid w:val="00072D6A"/>
    <w:rsid w:val="00080429"/>
    <w:rsid w:val="00085456"/>
    <w:rsid w:val="00087B71"/>
    <w:rsid w:val="00087D74"/>
    <w:rsid w:val="000903B7"/>
    <w:rsid w:val="000904E9"/>
    <w:rsid w:val="00093FBF"/>
    <w:rsid w:val="000A6106"/>
    <w:rsid w:val="000A7386"/>
    <w:rsid w:val="000B109E"/>
    <w:rsid w:val="000B1B2C"/>
    <w:rsid w:val="000B5482"/>
    <w:rsid w:val="000C07FC"/>
    <w:rsid w:val="000C5D65"/>
    <w:rsid w:val="000D14EB"/>
    <w:rsid w:val="000D4617"/>
    <w:rsid w:val="000D511D"/>
    <w:rsid w:val="000D686D"/>
    <w:rsid w:val="000E4967"/>
    <w:rsid w:val="000E5790"/>
    <w:rsid w:val="000E6A25"/>
    <w:rsid w:val="000F35F2"/>
    <w:rsid w:val="000F3874"/>
    <w:rsid w:val="000F4B04"/>
    <w:rsid w:val="000F6588"/>
    <w:rsid w:val="000F6F33"/>
    <w:rsid w:val="001016E2"/>
    <w:rsid w:val="00102748"/>
    <w:rsid w:val="00105EBF"/>
    <w:rsid w:val="00122B6D"/>
    <w:rsid w:val="001303C8"/>
    <w:rsid w:val="00131358"/>
    <w:rsid w:val="001335E7"/>
    <w:rsid w:val="00141D54"/>
    <w:rsid w:val="001477FA"/>
    <w:rsid w:val="00153D3B"/>
    <w:rsid w:val="00157443"/>
    <w:rsid w:val="0016111E"/>
    <w:rsid w:val="00166291"/>
    <w:rsid w:val="00167F94"/>
    <w:rsid w:val="0017402E"/>
    <w:rsid w:val="001760E1"/>
    <w:rsid w:val="001771A4"/>
    <w:rsid w:val="00183ACA"/>
    <w:rsid w:val="0018478B"/>
    <w:rsid w:val="001865EE"/>
    <w:rsid w:val="001907E3"/>
    <w:rsid w:val="0019089E"/>
    <w:rsid w:val="00193F42"/>
    <w:rsid w:val="00194685"/>
    <w:rsid w:val="001957C0"/>
    <w:rsid w:val="001A2C19"/>
    <w:rsid w:val="001A6CA1"/>
    <w:rsid w:val="001B114F"/>
    <w:rsid w:val="001B15D4"/>
    <w:rsid w:val="001B1C43"/>
    <w:rsid w:val="001B2B48"/>
    <w:rsid w:val="001B7E5A"/>
    <w:rsid w:val="001C033B"/>
    <w:rsid w:val="001C12EF"/>
    <w:rsid w:val="001C4FD5"/>
    <w:rsid w:val="001C540F"/>
    <w:rsid w:val="001D3EAE"/>
    <w:rsid w:val="001E5194"/>
    <w:rsid w:val="001E60E1"/>
    <w:rsid w:val="001F0F70"/>
    <w:rsid w:val="001F158A"/>
    <w:rsid w:val="001F5890"/>
    <w:rsid w:val="001F591C"/>
    <w:rsid w:val="00214538"/>
    <w:rsid w:val="00221347"/>
    <w:rsid w:val="00222FD0"/>
    <w:rsid w:val="00227682"/>
    <w:rsid w:val="00227F83"/>
    <w:rsid w:val="00231340"/>
    <w:rsid w:val="002333B9"/>
    <w:rsid w:val="00235C4D"/>
    <w:rsid w:val="00237268"/>
    <w:rsid w:val="002373FA"/>
    <w:rsid w:val="00241C8D"/>
    <w:rsid w:val="00247BB9"/>
    <w:rsid w:val="00254F9F"/>
    <w:rsid w:val="00275D15"/>
    <w:rsid w:val="002803BD"/>
    <w:rsid w:val="00293273"/>
    <w:rsid w:val="00293C45"/>
    <w:rsid w:val="00295067"/>
    <w:rsid w:val="002975E9"/>
    <w:rsid w:val="002A1EF7"/>
    <w:rsid w:val="002A5BCC"/>
    <w:rsid w:val="002A733C"/>
    <w:rsid w:val="002C698A"/>
    <w:rsid w:val="002E32B2"/>
    <w:rsid w:val="002E430C"/>
    <w:rsid w:val="002E66CE"/>
    <w:rsid w:val="002F0934"/>
    <w:rsid w:val="002F0D20"/>
    <w:rsid w:val="002F14F2"/>
    <w:rsid w:val="002F1AEC"/>
    <w:rsid w:val="0030132A"/>
    <w:rsid w:val="00303B4C"/>
    <w:rsid w:val="003041CA"/>
    <w:rsid w:val="003073F7"/>
    <w:rsid w:val="00311F4A"/>
    <w:rsid w:val="00313926"/>
    <w:rsid w:val="00323E9A"/>
    <w:rsid w:val="00332119"/>
    <w:rsid w:val="00332560"/>
    <w:rsid w:val="0033402D"/>
    <w:rsid w:val="00335C51"/>
    <w:rsid w:val="003371BF"/>
    <w:rsid w:val="003421D1"/>
    <w:rsid w:val="00345FA7"/>
    <w:rsid w:val="00353C37"/>
    <w:rsid w:val="00361841"/>
    <w:rsid w:val="00362D08"/>
    <w:rsid w:val="003645A6"/>
    <w:rsid w:val="003715A1"/>
    <w:rsid w:val="0037296E"/>
    <w:rsid w:val="0037300C"/>
    <w:rsid w:val="00373552"/>
    <w:rsid w:val="003767E4"/>
    <w:rsid w:val="00376B6F"/>
    <w:rsid w:val="00381E86"/>
    <w:rsid w:val="00381ED3"/>
    <w:rsid w:val="003843F6"/>
    <w:rsid w:val="003861C1"/>
    <w:rsid w:val="00390342"/>
    <w:rsid w:val="00392E0D"/>
    <w:rsid w:val="00394492"/>
    <w:rsid w:val="003949D5"/>
    <w:rsid w:val="003A26F7"/>
    <w:rsid w:val="003A471B"/>
    <w:rsid w:val="003A6052"/>
    <w:rsid w:val="003A6EAD"/>
    <w:rsid w:val="003B3AF8"/>
    <w:rsid w:val="003C4A72"/>
    <w:rsid w:val="003C75F6"/>
    <w:rsid w:val="003D677B"/>
    <w:rsid w:val="003D73E1"/>
    <w:rsid w:val="003E2738"/>
    <w:rsid w:val="003E7A1C"/>
    <w:rsid w:val="003F03A6"/>
    <w:rsid w:val="003F2612"/>
    <w:rsid w:val="003F3953"/>
    <w:rsid w:val="003F6798"/>
    <w:rsid w:val="003F738F"/>
    <w:rsid w:val="0040615A"/>
    <w:rsid w:val="004067FA"/>
    <w:rsid w:val="004150A1"/>
    <w:rsid w:val="00416F14"/>
    <w:rsid w:val="004208BA"/>
    <w:rsid w:val="00421D65"/>
    <w:rsid w:val="00424587"/>
    <w:rsid w:val="00425340"/>
    <w:rsid w:val="00426A2A"/>
    <w:rsid w:val="0042764B"/>
    <w:rsid w:val="00432AED"/>
    <w:rsid w:val="004344E5"/>
    <w:rsid w:val="00446009"/>
    <w:rsid w:val="00451555"/>
    <w:rsid w:val="00452CCD"/>
    <w:rsid w:val="00453F12"/>
    <w:rsid w:val="0045432D"/>
    <w:rsid w:val="00454378"/>
    <w:rsid w:val="0045708A"/>
    <w:rsid w:val="00461E8B"/>
    <w:rsid w:val="00467EF0"/>
    <w:rsid w:val="00470BE1"/>
    <w:rsid w:val="00470F43"/>
    <w:rsid w:val="004715C9"/>
    <w:rsid w:val="004770DD"/>
    <w:rsid w:val="00487B43"/>
    <w:rsid w:val="00487F0B"/>
    <w:rsid w:val="0049334F"/>
    <w:rsid w:val="004A3588"/>
    <w:rsid w:val="004A56C0"/>
    <w:rsid w:val="004B10F0"/>
    <w:rsid w:val="004B14EF"/>
    <w:rsid w:val="004B4B5C"/>
    <w:rsid w:val="004B72AC"/>
    <w:rsid w:val="004C2721"/>
    <w:rsid w:val="004C3F11"/>
    <w:rsid w:val="004D03D1"/>
    <w:rsid w:val="004D6AD4"/>
    <w:rsid w:val="004D6ADD"/>
    <w:rsid w:val="004E3929"/>
    <w:rsid w:val="004E7E9F"/>
    <w:rsid w:val="004F15AC"/>
    <w:rsid w:val="004F2775"/>
    <w:rsid w:val="004F5CB9"/>
    <w:rsid w:val="004F6D5A"/>
    <w:rsid w:val="004F717E"/>
    <w:rsid w:val="00500274"/>
    <w:rsid w:val="00501625"/>
    <w:rsid w:val="00505D70"/>
    <w:rsid w:val="00514DED"/>
    <w:rsid w:val="005174AB"/>
    <w:rsid w:val="00521C43"/>
    <w:rsid w:val="00523E02"/>
    <w:rsid w:val="005275DA"/>
    <w:rsid w:val="00527A6F"/>
    <w:rsid w:val="00537456"/>
    <w:rsid w:val="00542E9E"/>
    <w:rsid w:val="00543A6F"/>
    <w:rsid w:val="005514F3"/>
    <w:rsid w:val="005633F4"/>
    <w:rsid w:val="005717A8"/>
    <w:rsid w:val="00583F50"/>
    <w:rsid w:val="00587D09"/>
    <w:rsid w:val="005A152D"/>
    <w:rsid w:val="005A3374"/>
    <w:rsid w:val="005A3613"/>
    <w:rsid w:val="005A54AD"/>
    <w:rsid w:val="005A5A2E"/>
    <w:rsid w:val="005B00B4"/>
    <w:rsid w:val="005B1621"/>
    <w:rsid w:val="005B19A9"/>
    <w:rsid w:val="005B19EE"/>
    <w:rsid w:val="005B2DD7"/>
    <w:rsid w:val="005C0A6F"/>
    <w:rsid w:val="005C2E1E"/>
    <w:rsid w:val="005C6AD8"/>
    <w:rsid w:val="005D1F32"/>
    <w:rsid w:val="005D282B"/>
    <w:rsid w:val="005D5301"/>
    <w:rsid w:val="005D59E0"/>
    <w:rsid w:val="005E02E5"/>
    <w:rsid w:val="005E33B2"/>
    <w:rsid w:val="005F008A"/>
    <w:rsid w:val="006002A2"/>
    <w:rsid w:val="0061048B"/>
    <w:rsid w:val="00614546"/>
    <w:rsid w:val="00623C5C"/>
    <w:rsid w:val="00625F46"/>
    <w:rsid w:val="006261AE"/>
    <w:rsid w:val="00627D58"/>
    <w:rsid w:val="00631946"/>
    <w:rsid w:val="0063424E"/>
    <w:rsid w:val="00636F3F"/>
    <w:rsid w:val="00644301"/>
    <w:rsid w:val="0064739F"/>
    <w:rsid w:val="0064750E"/>
    <w:rsid w:val="006504BD"/>
    <w:rsid w:val="00656E09"/>
    <w:rsid w:val="00666332"/>
    <w:rsid w:val="00672418"/>
    <w:rsid w:val="0067424E"/>
    <w:rsid w:val="00682631"/>
    <w:rsid w:val="00684C1C"/>
    <w:rsid w:val="00692CA7"/>
    <w:rsid w:val="006941DC"/>
    <w:rsid w:val="00696615"/>
    <w:rsid w:val="006A3EF2"/>
    <w:rsid w:val="006A51CD"/>
    <w:rsid w:val="006C4A34"/>
    <w:rsid w:val="006C4BD4"/>
    <w:rsid w:val="006C6A94"/>
    <w:rsid w:val="006C7085"/>
    <w:rsid w:val="006D1429"/>
    <w:rsid w:val="006D51EF"/>
    <w:rsid w:val="006E2BBD"/>
    <w:rsid w:val="006E5570"/>
    <w:rsid w:val="006F059E"/>
    <w:rsid w:val="006F1487"/>
    <w:rsid w:val="006F2C97"/>
    <w:rsid w:val="006F759C"/>
    <w:rsid w:val="00702198"/>
    <w:rsid w:val="0070396C"/>
    <w:rsid w:val="00704C84"/>
    <w:rsid w:val="00721F40"/>
    <w:rsid w:val="007249B9"/>
    <w:rsid w:val="00726CE5"/>
    <w:rsid w:val="00731A97"/>
    <w:rsid w:val="00732450"/>
    <w:rsid w:val="007416BB"/>
    <w:rsid w:val="00741AB8"/>
    <w:rsid w:val="00745C65"/>
    <w:rsid w:val="0074738B"/>
    <w:rsid w:val="00752A52"/>
    <w:rsid w:val="00754E7A"/>
    <w:rsid w:val="00757DD8"/>
    <w:rsid w:val="0076592C"/>
    <w:rsid w:val="00776031"/>
    <w:rsid w:val="00782B0D"/>
    <w:rsid w:val="0078371E"/>
    <w:rsid w:val="0078393B"/>
    <w:rsid w:val="007A6933"/>
    <w:rsid w:val="007B2FD5"/>
    <w:rsid w:val="007B4100"/>
    <w:rsid w:val="007C51D0"/>
    <w:rsid w:val="007C652C"/>
    <w:rsid w:val="007D0647"/>
    <w:rsid w:val="007D565F"/>
    <w:rsid w:val="007D698C"/>
    <w:rsid w:val="007D75F5"/>
    <w:rsid w:val="007D7E95"/>
    <w:rsid w:val="007E5C41"/>
    <w:rsid w:val="007E794A"/>
    <w:rsid w:val="007F28B2"/>
    <w:rsid w:val="007F39DA"/>
    <w:rsid w:val="007F4B27"/>
    <w:rsid w:val="008016D1"/>
    <w:rsid w:val="00804840"/>
    <w:rsid w:val="00804AE8"/>
    <w:rsid w:val="00805618"/>
    <w:rsid w:val="00812B06"/>
    <w:rsid w:val="008134D1"/>
    <w:rsid w:val="00813F38"/>
    <w:rsid w:val="00821D2D"/>
    <w:rsid w:val="00824DA1"/>
    <w:rsid w:val="0083436C"/>
    <w:rsid w:val="00835150"/>
    <w:rsid w:val="00850D21"/>
    <w:rsid w:val="00851646"/>
    <w:rsid w:val="00852E10"/>
    <w:rsid w:val="008551AD"/>
    <w:rsid w:val="00864D2F"/>
    <w:rsid w:val="0086760A"/>
    <w:rsid w:val="0087095D"/>
    <w:rsid w:val="00872989"/>
    <w:rsid w:val="0087560E"/>
    <w:rsid w:val="00881DB7"/>
    <w:rsid w:val="00884536"/>
    <w:rsid w:val="00886C87"/>
    <w:rsid w:val="0089251B"/>
    <w:rsid w:val="00893C22"/>
    <w:rsid w:val="00897358"/>
    <w:rsid w:val="008A1F87"/>
    <w:rsid w:val="008A4545"/>
    <w:rsid w:val="008B1152"/>
    <w:rsid w:val="008B209D"/>
    <w:rsid w:val="008B3F06"/>
    <w:rsid w:val="008B5AB6"/>
    <w:rsid w:val="008B60C2"/>
    <w:rsid w:val="008C1295"/>
    <w:rsid w:val="008C26A4"/>
    <w:rsid w:val="008C6825"/>
    <w:rsid w:val="008D2343"/>
    <w:rsid w:val="008D5D2A"/>
    <w:rsid w:val="008E0B96"/>
    <w:rsid w:val="008E3C75"/>
    <w:rsid w:val="008E4573"/>
    <w:rsid w:val="008E6A18"/>
    <w:rsid w:val="008E703F"/>
    <w:rsid w:val="008F23FA"/>
    <w:rsid w:val="008F2B22"/>
    <w:rsid w:val="008F435D"/>
    <w:rsid w:val="008F48CC"/>
    <w:rsid w:val="008F6CAC"/>
    <w:rsid w:val="00901E05"/>
    <w:rsid w:val="00926E70"/>
    <w:rsid w:val="009273BD"/>
    <w:rsid w:val="0093386C"/>
    <w:rsid w:val="00935F2C"/>
    <w:rsid w:val="009636E8"/>
    <w:rsid w:val="00967312"/>
    <w:rsid w:val="0097600F"/>
    <w:rsid w:val="009825DE"/>
    <w:rsid w:val="0098493C"/>
    <w:rsid w:val="00986C71"/>
    <w:rsid w:val="00992450"/>
    <w:rsid w:val="00993480"/>
    <w:rsid w:val="009A54AC"/>
    <w:rsid w:val="009A7F18"/>
    <w:rsid w:val="009B218F"/>
    <w:rsid w:val="009C5AEF"/>
    <w:rsid w:val="009C6F13"/>
    <w:rsid w:val="009D5836"/>
    <w:rsid w:val="009E0253"/>
    <w:rsid w:val="009F519F"/>
    <w:rsid w:val="009F52CA"/>
    <w:rsid w:val="00A0321C"/>
    <w:rsid w:val="00A0510D"/>
    <w:rsid w:val="00A05996"/>
    <w:rsid w:val="00A06458"/>
    <w:rsid w:val="00A1723B"/>
    <w:rsid w:val="00A2108B"/>
    <w:rsid w:val="00A335E4"/>
    <w:rsid w:val="00A347D1"/>
    <w:rsid w:val="00A474B9"/>
    <w:rsid w:val="00A56F99"/>
    <w:rsid w:val="00A61849"/>
    <w:rsid w:val="00A632AE"/>
    <w:rsid w:val="00A662AE"/>
    <w:rsid w:val="00A723D9"/>
    <w:rsid w:val="00A73EAA"/>
    <w:rsid w:val="00A77CEB"/>
    <w:rsid w:val="00A77D62"/>
    <w:rsid w:val="00A817BA"/>
    <w:rsid w:val="00A83548"/>
    <w:rsid w:val="00A84E4F"/>
    <w:rsid w:val="00A87518"/>
    <w:rsid w:val="00A92F13"/>
    <w:rsid w:val="00A97269"/>
    <w:rsid w:val="00AB143C"/>
    <w:rsid w:val="00AB2506"/>
    <w:rsid w:val="00AB532A"/>
    <w:rsid w:val="00AB59D7"/>
    <w:rsid w:val="00AB5A22"/>
    <w:rsid w:val="00AB5ACC"/>
    <w:rsid w:val="00AC0695"/>
    <w:rsid w:val="00AC5B92"/>
    <w:rsid w:val="00AC61C4"/>
    <w:rsid w:val="00AC6A54"/>
    <w:rsid w:val="00AD2F89"/>
    <w:rsid w:val="00AE7619"/>
    <w:rsid w:val="00AF5905"/>
    <w:rsid w:val="00B13C73"/>
    <w:rsid w:val="00B1559E"/>
    <w:rsid w:val="00B162F9"/>
    <w:rsid w:val="00B16387"/>
    <w:rsid w:val="00B32785"/>
    <w:rsid w:val="00B34ED6"/>
    <w:rsid w:val="00B418B8"/>
    <w:rsid w:val="00B5148F"/>
    <w:rsid w:val="00B604A8"/>
    <w:rsid w:val="00B61EBA"/>
    <w:rsid w:val="00B64315"/>
    <w:rsid w:val="00B708D1"/>
    <w:rsid w:val="00B71DB6"/>
    <w:rsid w:val="00B74885"/>
    <w:rsid w:val="00B9078C"/>
    <w:rsid w:val="00B92916"/>
    <w:rsid w:val="00B94D83"/>
    <w:rsid w:val="00B973E1"/>
    <w:rsid w:val="00BA664A"/>
    <w:rsid w:val="00BB5145"/>
    <w:rsid w:val="00BC14C7"/>
    <w:rsid w:val="00BE0BFD"/>
    <w:rsid w:val="00BE36C4"/>
    <w:rsid w:val="00BE4109"/>
    <w:rsid w:val="00BF1E97"/>
    <w:rsid w:val="00BF3261"/>
    <w:rsid w:val="00BF37F8"/>
    <w:rsid w:val="00C00023"/>
    <w:rsid w:val="00C006BC"/>
    <w:rsid w:val="00C016B4"/>
    <w:rsid w:val="00C01DAB"/>
    <w:rsid w:val="00C10CA6"/>
    <w:rsid w:val="00C17056"/>
    <w:rsid w:val="00C2044C"/>
    <w:rsid w:val="00C32DD7"/>
    <w:rsid w:val="00C34C15"/>
    <w:rsid w:val="00C359D5"/>
    <w:rsid w:val="00C37995"/>
    <w:rsid w:val="00C37AD3"/>
    <w:rsid w:val="00C5506D"/>
    <w:rsid w:val="00C62432"/>
    <w:rsid w:val="00C67AF0"/>
    <w:rsid w:val="00C71656"/>
    <w:rsid w:val="00C72A92"/>
    <w:rsid w:val="00C76AE7"/>
    <w:rsid w:val="00C84B12"/>
    <w:rsid w:val="00C90ECF"/>
    <w:rsid w:val="00C923AE"/>
    <w:rsid w:val="00C93A37"/>
    <w:rsid w:val="00CA2E0C"/>
    <w:rsid w:val="00CA3419"/>
    <w:rsid w:val="00CA7145"/>
    <w:rsid w:val="00CB1DF4"/>
    <w:rsid w:val="00CB7D34"/>
    <w:rsid w:val="00CB7E67"/>
    <w:rsid w:val="00CC3C6A"/>
    <w:rsid w:val="00CC7A92"/>
    <w:rsid w:val="00CD3983"/>
    <w:rsid w:val="00CD422E"/>
    <w:rsid w:val="00CE0098"/>
    <w:rsid w:val="00CE06E8"/>
    <w:rsid w:val="00CF152F"/>
    <w:rsid w:val="00CF4704"/>
    <w:rsid w:val="00CF5630"/>
    <w:rsid w:val="00CF5963"/>
    <w:rsid w:val="00D027E4"/>
    <w:rsid w:val="00D04240"/>
    <w:rsid w:val="00D11654"/>
    <w:rsid w:val="00D12741"/>
    <w:rsid w:val="00D16D9B"/>
    <w:rsid w:val="00D17E4E"/>
    <w:rsid w:val="00D27194"/>
    <w:rsid w:val="00D316CA"/>
    <w:rsid w:val="00D341E9"/>
    <w:rsid w:val="00D347C5"/>
    <w:rsid w:val="00D34B98"/>
    <w:rsid w:val="00D37F68"/>
    <w:rsid w:val="00D42A07"/>
    <w:rsid w:val="00D467E4"/>
    <w:rsid w:val="00D472B0"/>
    <w:rsid w:val="00D56A48"/>
    <w:rsid w:val="00D662C2"/>
    <w:rsid w:val="00D707E4"/>
    <w:rsid w:val="00D73621"/>
    <w:rsid w:val="00D73ADE"/>
    <w:rsid w:val="00D74FA4"/>
    <w:rsid w:val="00D84B8C"/>
    <w:rsid w:val="00D9234E"/>
    <w:rsid w:val="00D968AE"/>
    <w:rsid w:val="00D9746F"/>
    <w:rsid w:val="00DA07C4"/>
    <w:rsid w:val="00DA72CE"/>
    <w:rsid w:val="00DB0618"/>
    <w:rsid w:val="00DB32A4"/>
    <w:rsid w:val="00DB3D83"/>
    <w:rsid w:val="00DB639D"/>
    <w:rsid w:val="00DC0FF9"/>
    <w:rsid w:val="00DD1209"/>
    <w:rsid w:val="00DD58BF"/>
    <w:rsid w:val="00DE410D"/>
    <w:rsid w:val="00DF3546"/>
    <w:rsid w:val="00DF6CE6"/>
    <w:rsid w:val="00E05B13"/>
    <w:rsid w:val="00E11110"/>
    <w:rsid w:val="00E11727"/>
    <w:rsid w:val="00E2121F"/>
    <w:rsid w:val="00E26798"/>
    <w:rsid w:val="00E26B15"/>
    <w:rsid w:val="00E40E6D"/>
    <w:rsid w:val="00E4250A"/>
    <w:rsid w:val="00E45911"/>
    <w:rsid w:val="00E46060"/>
    <w:rsid w:val="00E51C69"/>
    <w:rsid w:val="00E56C6F"/>
    <w:rsid w:val="00E61482"/>
    <w:rsid w:val="00E6198A"/>
    <w:rsid w:val="00E63837"/>
    <w:rsid w:val="00E67E82"/>
    <w:rsid w:val="00E71A6F"/>
    <w:rsid w:val="00E72DBE"/>
    <w:rsid w:val="00E75BF7"/>
    <w:rsid w:val="00E84A0F"/>
    <w:rsid w:val="00E868C9"/>
    <w:rsid w:val="00E9022C"/>
    <w:rsid w:val="00E93793"/>
    <w:rsid w:val="00E95512"/>
    <w:rsid w:val="00E95C1B"/>
    <w:rsid w:val="00E97635"/>
    <w:rsid w:val="00EA1E65"/>
    <w:rsid w:val="00EA3269"/>
    <w:rsid w:val="00EA5247"/>
    <w:rsid w:val="00EA53A8"/>
    <w:rsid w:val="00EA5F8D"/>
    <w:rsid w:val="00EB07F6"/>
    <w:rsid w:val="00EB23D6"/>
    <w:rsid w:val="00EB4C2D"/>
    <w:rsid w:val="00EC5E16"/>
    <w:rsid w:val="00EC67A7"/>
    <w:rsid w:val="00ED0759"/>
    <w:rsid w:val="00ED0B39"/>
    <w:rsid w:val="00EE25F9"/>
    <w:rsid w:val="00EF074C"/>
    <w:rsid w:val="00EF1BDE"/>
    <w:rsid w:val="00EF3231"/>
    <w:rsid w:val="00EF56C3"/>
    <w:rsid w:val="00F0329A"/>
    <w:rsid w:val="00F071DF"/>
    <w:rsid w:val="00F07CBE"/>
    <w:rsid w:val="00F12B17"/>
    <w:rsid w:val="00F221DB"/>
    <w:rsid w:val="00F228E1"/>
    <w:rsid w:val="00F26A92"/>
    <w:rsid w:val="00F2716F"/>
    <w:rsid w:val="00F30854"/>
    <w:rsid w:val="00F3433F"/>
    <w:rsid w:val="00F344EE"/>
    <w:rsid w:val="00F413F4"/>
    <w:rsid w:val="00F508A7"/>
    <w:rsid w:val="00F5132A"/>
    <w:rsid w:val="00F53C7B"/>
    <w:rsid w:val="00F5670B"/>
    <w:rsid w:val="00F6085B"/>
    <w:rsid w:val="00F61A73"/>
    <w:rsid w:val="00F661F1"/>
    <w:rsid w:val="00F7353D"/>
    <w:rsid w:val="00F75370"/>
    <w:rsid w:val="00F75F92"/>
    <w:rsid w:val="00F76533"/>
    <w:rsid w:val="00F95D09"/>
    <w:rsid w:val="00F96A0B"/>
    <w:rsid w:val="00FA2005"/>
    <w:rsid w:val="00FA3499"/>
    <w:rsid w:val="00FA3DB2"/>
    <w:rsid w:val="00FB1679"/>
    <w:rsid w:val="00FC3237"/>
    <w:rsid w:val="00FC4CAE"/>
    <w:rsid w:val="00FD27E0"/>
    <w:rsid w:val="00FD3FB2"/>
    <w:rsid w:val="00FE1157"/>
    <w:rsid w:val="00FE3E7E"/>
    <w:rsid w:val="00FE6895"/>
    <w:rsid w:val="06BBB058"/>
    <w:rsid w:val="075A78FC"/>
    <w:rsid w:val="07CD23B1"/>
    <w:rsid w:val="0A97582E"/>
    <w:rsid w:val="0B80DA3C"/>
    <w:rsid w:val="0CF586F9"/>
    <w:rsid w:val="0F52B275"/>
    <w:rsid w:val="0FA96AE3"/>
    <w:rsid w:val="138E1F99"/>
    <w:rsid w:val="157CF445"/>
    <w:rsid w:val="166BDEED"/>
    <w:rsid w:val="1837F8E0"/>
    <w:rsid w:val="1B104366"/>
    <w:rsid w:val="1BC7AB66"/>
    <w:rsid w:val="1C144BDB"/>
    <w:rsid w:val="2010BADA"/>
    <w:rsid w:val="20771DC5"/>
    <w:rsid w:val="20BDC0BE"/>
    <w:rsid w:val="22CDB0A8"/>
    <w:rsid w:val="2304443C"/>
    <w:rsid w:val="27A11530"/>
    <w:rsid w:val="2A07E8E6"/>
    <w:rsid w:val="2A5CF5BD"/>
    <w:rsid w:val="2CA8D560"/>
    <w:rsid w:val="2CF2889B"/>
    <w:rsid w:val="3116BAD6"/>
    <w:rsid w:val="3161D600"/>
    <w:rsid w:val="358F014D"/>
    <w:rsid w:val="362645B3"/>
    <w:rsid w:val="38E5FE63"/>
    <w:rsid w:val="3A36D4C8"/>
    <w:rsid w:val="3A7935BF"/>
    <w:rsid w:val="437D4934"/>
    <w:rsid w:val="4B38EE72"/>
    <w:rsid w:val="4C0B280F"/>
    <w:rsid w:val="4C10B2A3"/>
    <w:rsid w:val="4F0C2935"/>
    <w:rsid w:val="524B53E9"/>
    <w:rsid w:val="55347710"/>
    <w:rsid w:val="562CE293"/>
    <w:rsid w:val="5BC7A2AE"/>
    <w:rsid w:val="63F89F55"/>
    <w:rsid w:val="641F2D71"/>
    <w:rsid w:val="66895FA0"/>
    <w:rsid w:val="68B3B169"/>
    <w:rsid w:val="6999769B"/>
    <w:rsid w:val="6A496E1E"/>
    <w:rsid w:val="6CDD21AE"/>
    <w:rsid w:val="74AB0C5C"/>
    <w:rsid w:val="7513ADE6"/>
    <w:rsid w:val="75D0480E"/>
    <w:rsid w:val="77AE5C48"/>
    <w:rsid w:val="7877BA6A"/>
    <w:rsid w:val="7A0D6176"/>
    <w:rsid w:val="7ADB0EE4"/>
    <w:rsid w:val="7D9EEB94"/>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8B80"/>
  <w15:docId w15:val="{0461F9DE-9D24-4CD7-9D7E-04E40C6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399718084">
      <w:bodyDiv w:val="1"/>
      <w:marLeft w:val="0"/>
      <w:marRight w:val="0"/>
      <w:marTop w:val="0"/>
      <w:marBottom w:val="0"/>
      <w:divBdr>
        <w:top w:val="none" w:sz="0" w:space="0" w:color="auto"/>
        <w:left w:val="none" w:sz="0" w:space="0" w:color="auto"/>
        <w:bottom w:val="none" w:sz="0" w:space="0" w:color="auto"/>
        <w:right w:val="none" w:sz="0" w:space="0" w:color="auto"/>
      </w:divBdr>
      <w:divsChild>
        <w:div w:id="731319464">
          <w:marLeft w:val="0"/>
          <w:marRight w:val="0"/>
          <w:marTop w:val="0"/>
          <w:marBottom w:val="0"/>
          <w:divBdr>
            <w:top w:val="none" w:sz="0" w:space="0" w:color="auto"/>
            <w:left w:val="none" w:sz="0" w:space="0" w:color="auto"/>
            <w:bottom w:val="none" w:sz="0" w:space="0" w:color="auto"/>
            <w:right w:val="none" w:sz="0" w:space="0" w:color="auto"/>
          </w:divBdr>
        </w:div>
        <w:div w:id="1061446771">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físico # 46516 sbt. </Observaciones>
    <JefeNacional xmlns="93a27197-5ea5-4ef4-9c25-de38a9c385a4">Aprobado con correcciones</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C1185D3C-9926-45CC-9767-ECCF86F92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FB117-CE6F-46E0-A13B-FEC20E72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5</TotalTime>
  <Pages>11</Pages>
  <Words>5348</Words>
  <Characters>29415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3</cp:revision>
  <cp:lastPrinted>2020-11-13T18:08:00Z</cp:lastPrinted>
  <dcterms:created xsi:type="dcterms:W3CDTF">2021-08-16T21:40:00Z</dcterms:created>
  <dcterms:modified xsi:type="dcterms:W3CDTF">2021-08-18T18:05:00Z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