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1E200F0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562957">
        <w:rPr>
          <w:rFonts w:ascii="Museo Sans 900" w:hAnsi="Museo Sans 900"/>
          <w:b/>
          <w:bCs/>
          <w:sz w:val="20"/>
          <w:szCs w:val="20"/>
          <w:lang w:eastAsia="es-ES"/>
        </w:rPr>
        <w:t>0306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62957">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562957">
        <w:rPr>
          <w:rFonts w:ascii="Museo Sans 300" w:hAnsi="Museo Sans 300"/>
          <w:sz w:val="20"/>
          <w:szCs w:val="20"/>
          <w:lang w:eastAsia="es-ES"/>
        </w:rPr>
        <w:t xml:space="preserve"> cuarenta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562957">
        <w:rPr>
          <w:rFonts w:ascii="Museo Sans 300" w:hAnsi="Museo Sans 300"/>
          <w:sz w:val="20"/>
          <w:szCs w:val="20"/>
          <w:lang w:eastAsia="es-ES"/>
        </w:rPr>
        <w:t xml:space="preserve"> doce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B6021E">
        <w:rPr>
          <w:rFonts w:ascii="Museo Sans 300" w:hAnsi="Museo Sans 300"/>
          <w:sz w:val="20"/>
          <w:szCs w:val="20"/>
          <w:lang w:eastAsia="es-ES"/>
        </w:rPr>
        <w:t>abril</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6E0ECA9F"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B6021E">
        <w:rPr>
          <w:rFonts w:ascii="Museo Sans 300" w:eastAsia="Arial" w:hAnsi="Museo Sans 300"/>
          <w:sz w:val="20"/>
          <w:szCs w:val="20"/>
          <w:lang w:val="es-SV"/>
        </w:rPr>
        <w:t>día veinticinco de octubre del año dos mil dieciocho</w:t>
      </w:r>
      <w:r w:rsidRPr="007011ED">
        <w:rPr>
          <w:rFonts w:ascii="Museo Sans 300" w:eastAsia="Arial" w:hAnsi="Museo Sans 300"/>
          <w:sz w:val="20"/>
          <w:szCs w:val="20"/>
          <w:lang w:val="es-SV"/>
        </w:rPr>
        <w:t xml:space="preserve">, </w:t>
      </w:r>
      <w:r w:rsidR="00DA4A07">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B6021E">
        <w:rPr>
          <w:rFonts w:ascii="Museo Sans 300" w:eastAsia="Arial" w:hAnsi="Museo Sans 300"/>
          <w:sz w:val="20"/>
          <w:szCs w:val="20"/>
          <w:lang w:val="es-SV"/>
        </w:rPr>
        <w:t xml:space="preserve"> </w:t>
      </w:r>
      <w:r w:rsidR="00A7543C">
        <w:rPr>
          <w:rFonts w:ascii="Museo Sans 300" w:eastAsia="Arial" w:hAnsi="Museo Sans 300"/>
          <w:sz w:val="20"/>
          <w:szCs w:val="20"/>
          <w:lang w:val="es-SV"/>
        </w:rPr>
        <w:t>+++</w:t>
      </w:r>
      <w:r w:rsidR="00B6021E">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B6021E">
        <w:rPr>
          <w:rFonts w:ascii="Museo Sans 300" w:eastAsia="Arial" w:hAnsi="Museo Sans 300"/>
          <w:sz w:val="20"/>
          <w:szCs w:val="20"/>
          <w:lang w:val="es-SV"/>
        </w:rPr>
        <w:t>de la sociedad EEO, S.A. de C.V</w:t>
      </w:r>
      <w:r w:rsidR="00DA4A07">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B6021E">
        <w:rPr>
          <w:rFonts w:ascii="Museo Sans 300" w:eastAsia="Arial" w:hAnsi="Museo Sans 300"/>
          <w:sz w:val="20"/>
          <w:szCs w:val="20"/>
          <w:lang w:val="es-SV"/>
        </w:rPr>
        <w:t>DOS MIL DOSCIENTOS CUARENTA Y OCHO 99</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B6021E">
        <w:rPr>
          <w:rFonts w:ascii="Museo Sans 300" w:eastAsia="Arial" w:hAnsi="Museo Sans 300"/>
          <w:sz w:val="20"/>
          <w:szCs w:val="20"/>
          <w:lang w:val="es-SV"/>
        </w:rPr>
        <w:t xml:space="preserve"> UNIDOS DE AMÉRICA (USD 2,248.99</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B6021E">
        <w:rPr>
          <w:rFonts w:ascii="Museo Sans 300" w:eastAsia="Arial" w:hAnsi="Museo Sans 300"/>
          <w:sz w:val="20"/>
          <w:szCs w:val="20"/>
          <w:lang w:val="es-SV"/>
        </w:rPr>
        <w:t xml:space="preserve"> identificado con el NIC </w:t>
      </w:r>
      <w:r w:rsidR="00A7543C">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D6F34D1"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841D16">
        <w:rPr>
          <w:rFonts w:ascii="Museo Sans 300" w:hAnsi="Museo Sans 300"/>
          <w:sz w:val="20"/>
          <w:szCs w:val="20"/>
          <w:lang w:val="es-ES" w:eastAsia="es-ES"/>
        </w:rPr>
        <w:t>287-2018</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841D16">
        <w:rPr>
          <w:rFonts w:ascii="Museo Sans 300" w:hAnsi="Museo Sans 300"/>
          <w:sz w:val="20"/>
          <w:szCs w:val="20"/>
          <w:lang w:val="es-ES" w:eastAsia="es-ES"/>
        </w:rPr>
        <w:t xml:space="preserve"> de fecha veintitrés de noviembre</w:t>
      </w:r>
      <w:r w:rsidR="00CD3227">
        <w:rPr>
          <w:rFonts w:ascii="Museo Sans 300" w:hAnsi="Museo Sans 300"/>
          <w:sz w:val="20"/>
          <w:szCs w:val="20"/>
          <w:lang w:val="es-ES" w:eastAsia="es-ES"/>
        </w:rPr>
        <w:t xml:space="preserve"> de</w:t>
      </w:r>
      <w:r w:rsidR="00841D16">
        <w:rPr>
          <w:rFonts w:ascii="Museo Sans 300" w:hAnsi="Museo Sans 300"/>
          <w:sz w:val="20"/>
          <w:szCs w:val="20"/>
          <w:lang w:val="es-ES" w:eastAsia="es-ES"/>
        </w:rPr>
        <w:t xml:space="preserve"> dos mil dieciocho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B6021E">
        <w:rPr>
          <w:rFonts w:ascii="Museo Sans 300" w:hAnsi="Museo Sans 300"/>
          <w:sz w:val="20"/>
          <w:szCs w:val="20"/>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tres</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F21823C"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841D16">
        <w:rPr>
          <w:rFonts w:ascii="Museo Sans 300" w:hAnsi="Museo Sans 300"/>
          <w:sz w:val="20"/>
          <w:szCs w:val="20"/>
          <w:lang w:val="es-ES" w:eastAsia="es-ES"/>
        </w:rPr>
        <w:t>el</w:t>
      </w:r>
      <w:r w:rsidR="00CD3227">
        <w:rPr>
          <w:rFonts w:ascii="Museo Sans 300" w:hAnsi="Museo Sans 300"/>
          <w:sz w:val="20"/>
          <w:szCs w:val="20"/>
          <w:lang w:val="es-ES" w:eastAsia="es-ES"/>
        </w:rPr>
        <w:t xml:space="preserve"> día</w:t>
      </w:r>
      <w:r w:rsidR="00841D16">
        <w:rPr>
          <w:rFonts w:ascii="Museo Sans 300" w:hAnsi="Museo Sans 300"/>
          <w:sz w:val="20"/>
          <w:szCs w:val="20"/>
          <w:lang w:val="es-ES" w:eastAsia="es-ES"/>
        </w:rPr>
        <w:t xml:space="preserve"> once de diciembre del año dos mil dieciocho,</w:t>
      </w:r>
      <w:r w:rsidRPr="419B105F">
        <w:rPr>
          <w:rFonts w:ascii="Museo Sans 300" w:hAnsi="Museo Sans 300"/>
          <w:sz w:val="20"/>
          <w:szCs w:val="20"/>
          <w:lang w:val="es-ES" w:eastAsia="es-ES"/>
        </w:rPr>
        <w:t xml:space="preserve"> </w:t>
      </w:r>
      <w:r w:rsidR="001660BB">
        <w:rPr>
          <w:rFonts w:ascii="Museo Sans 300" w:hAnsi="Museo Sans 300"/>
          <w:sz w:val="20"/>
          <w:szCs w:val="20"/>
          <w:lang w:val="es-ES" w:eastAsia="es-ES"/>
        </w:rPr>
        <w:t xml:space="preserve">respectivamente, </w:t>
      </w:r>
      <w:r w:rsidRPr="419B105F">
        <w:rPr>
          <w:rFonts w:ascii="Museo Sans 300" w:hAnsi="Museo Sans 300"/>
          <w:sz w:val="20"/>
          <w:szCs w:val="20"/>
          <w:lang w:val="es-ES" w:eastAsia="es-ES"/>
        </w:rPr>
        <w:t xml:space="preserve">por lo que el período para que la distribuidora se pronunciara finalizó el </w:t>
      </w:r>
      <w:r w:rsidR="00841D16">
        <w:rPr>
          <w:rFonts w:ascii="Museo Sans 300" w:hAnsi="Museo Sans 300"/>
          <w:sz w:val="20"/>
          <w:szCs w:val="20"/>
          <w:lang w:val="es-ES" w:eastAsia="es-ES"/>
        </w:rPr>
        <w:t>catorce 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05B2BACC"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41D16">
        <w:rPr>
          <w:rFonts w:ascii="Museo Sans 300" w:hAnsi="Museo Sans 300"/>
          <w:sz w:val="20"/>
          <w:szCs w:val="20"/>
          <w:lang w:val="es-ES" w:eastAsia="es-ES"/>
        </w:rPr>
        <w:t>día catorce de diciembre</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841D16">
        <w:rPr>
          <w:rFonts w:ascii="Museo Sans 300" w:hAnsi="Museo Sans 300"/>
          <w:sz w:val="20"/>
          <w:szCs w:val="20"/>
          <w:lang w:val="es-ES" w:eastAsia="es-ES"/>
        </w:rPr>
        <w:t xml:space="preserve"> dos mil dieciocho</w:t>
      </w:r>
      <w:r>
        <w:rPr>
          <w:rFonts w:ascii="Museo Sans 300" w:hAnsi="Museo Sans 300"/>
          <w:sz w:val="20"/>
          <w:szCs w:val="20"/>
          <w:lang w:val="es-ES" w:eastAsia="es-ES"/>
        </w:rPr>
        <w:t>, el</w:t>
      </w:r>
      <w:r w:rsidR="00C67C92">
        <w:rPr>
          <w:rFonts w:ascii="Museo Sans 300" w:hAnsi="Museo Sans 300"/>
          <w:sz w:val="20"/>
          <w:szCs w:val="20"/>
          <w:lang w:val="es-ES" w:eastAsia="es-ES"/>
        </w:rPr>
        <w:t xml:space="preserve"> licenc</w:t>
      </w:r>
      <w:r w:rsidR="00A7543C">
        <w:rPr>
          <w:rFonts w:ascii="Museo Sans 300" w:hAnsi="Museo Sans 300"/>
          <w:sz w:val="20"/>
          <w:szCs w:val="20"/>
          <w:lang w:val="es-ES" w:eastAsia="es-ES"/>
        </w:rPr>
        <w:t>iado +++</w:t>
      </w:r>
      <w:r w:rsidRPr="001377A7">
        <w:rPr>
          <w:rFonts w:ascii="Museo Sans 300" w:hAnsi="Museo Sans 300"/>
          <w:sz w:val="20"/>
          <w:szCs w:val="20"/>
          <w:lang w:val="es-ES" w:eastAsia="es-ES"/>
        </w:rPr>
        <w:t xml:space="preserve">, apoderado </w:t>
      </w:r>
      <w:r w:rsidR="00C67C92">
        <w:rPr>
          <w:rFonts w:ascii="Museo Sans 300" w:hAnsi="Museo Sans 300"/>
          <w:sz w:val="20"/>
          <w:szCs w:val="20"/>
          <w:lang w:val="es-ES" w:eastAsia="es-ES"/>
        </w:rPr>
        <w:t>general judicial</w:t>
      </w:r>
      <w:r w:rsidRPr="001377A7">
        <w:rPr>
          <w:rFonts w:ascii="Museo Sans 300" w:hAnsi="Museo Sans 300"/>
          <w:sz w:val="20"/>
          <w:szCs w:val="20"/>
          <w:lang w:val="es-ES" w:eastAsia="es-ES"/>
        </w:rPr>
        <w:t xml:space="preserve"> de la sociedad </w:t>
      </w:r>
      <w:r w:rsidR="00B6021E">
        <w:rPr>
          <w:rFonts w:ascii="Museo Sans 300" w:hAnsi="Museo Sans 300"/>
          <w:sz w:val="20"/>
          <w:szCs w:val="20"/>
          <w:lang w:val="es-ES" w:eastAsia="es-ES"/>
        </w:rPr>
        <w:t>EEO, S.A. de C.V.</w:t>
      </w:r>
      <w:r w:rsidR="00DB63E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41D16">
        <w:rPr>
          <w:rFonts w:ascii="Museo Sans 300" w:hAnsi="Museo Sans 300"/>
          <w:sz w:val="20"/>
          <w:szCs w:val="20"/>
          <w:lang w:eastAsia="es-ES"/>
        </w:rPr>
        <w:t xml:space="preserve">NIC </w:t>
      </w:r>
      <w:r w:rsidR="00A7543C">
        <w:rPr>
          <w:rFonts w:ascii="Museo Sans 300" w:hAnsi="Museo Sans 300"/>
          <w:sz w:val="20"/>
          <w:szCs w:val="20"/>
          <w:lang w:eastAsia="es-ES"/>
        </w:rPr>
        <w:t>+++</w:t>
      </w:r>
      <w:r w:rsidR="00632CB0">
        <w:rPr>
          <w:rFonts w:ascii="Museo Sans 300" w:hAnsi="Museo Sans 300"/>
          <w:sz w:val="20"/>
          <w:szCs w:val="20"/>
          <w:lang w:val="es-ES" w:eastAsia="es-ES"/>
        </w:rPr>
        <w:t>, por lo cual era procedente el cobro de la energía no registrada.</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5135F5A4"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25022FDB" w14:textId="7EC2A990" w:rsidR="00BD7407" w:rsidRPr="00120834" w:rsidRDefault="00FA4A8B" w:rsidP="0012083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2A582C59"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BD7407">
        <w:rPr>
          <w:rFonts w:ascii="Museo Sans 300" w:hAnsi="Museo Sans 300"/>
          <w:sz w:val="20"/>
          <w:szCs w:val="20"/>
          <w:lang w:val="es-ES" w:eastAsia="es-SV"/>
        </w:rPr>
        <w:t>nstalados</w:t>
      </w:r>
      <w:r w:rsidR="00A7543C">
        <w:rPr>
          <w:rFonts w:ascii="Museo Sans 300" w:hAnsi="Museo Sans 300"/>
          <w:sz w:val="20"/>
          <w:szCs w:val="20"/>
          <w:lang w:val="es-ES" w:eastAsia="es-SV"/>
        </w:rPr>
        <w:t xml:space="preserve"> en el medidor +++</w:t>
      </w:r>
      <w:r w:rsidR="00631139">
        <w:rPr>
          <w:rFonts w:ascii="Museo Sans 300" w:hAnsi="Museo Sans 300"/>
          <w:sz w:val="20"/>
          <w:szCs w:val="20"/>
          <w:lang w:val="es-ES" w:eastAsia="es-SV"/>
        </w:rPr>
        <w:t>;</w:t>
      </w:r>
    </w:p>
    <w:p w14:paraId="0ED8883D" w14:textId="41807D47"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BD7407">
        <w:rPr>
          <w:rFonts w:ascii="Museo Sans 300" w:hAnsi="Museo Sans 300"/>
          <w:sz w:val="20"/>
          <w:szCs w:val="20"/>
          <w:lang w:val="es-ES" w:eastAsia="es-SV"/>
        </w:rPr>
        <w:t>vici</w:t>
      </w:r>
      <w:r w:rsidR="00A7543C">
        <w:rPr>
          <w:rFonts w:ascii="Museo Sans 300" w:hAnsi="Museo Sans 300"/>
          <w:sz w:val="20"/>
          <w:szCs w:val="20"/>
          <w:lang w:val="es-ES" w:eastAsia="es-SV"/>
        </w:rPr>
        <w:t>o número +++</w:t>
      </w:r>
      <w:r w:rsidR="00631139">
        <w:rPr>
          <w:rFonts w:ascii="Museo Sans 300" w:hAnsi="Museo Sans 300"/>
          <w:sz w:val="20"/>
          <w:szCs w:val="20"/>
          <w:lang w:val="es-ES" w:eastAsia="es-SV"/>
        </w:rPr>
        <w:t>;</w:t>
      </w:r>
    </w:p>
    <w:p w14:paraId="373C5805" w14:textId="4A00A770"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BD7407">
        <w:rPr>
          <w:rFonts w:ascii="Museo Sans 300" w:hAnsi="Museo Sans 300"/>
          <w:sz w:val="20"/>
          <w:szCs w:val="20"/>
          <w:lang w:val="es-ES" w:eastAsia="es-SV"/>
        </w:rPr>
        <w:t xml:space="preserve">jo la </w:t>
      </w:r>
      <w:r w:rsidR="00A7543C">
        <w:rPr>
          <w:rFonts w:ascii="Museo Sans 300" w:hAnsi="Museo Sans 300"/>
          <w:sz w:val="20"/>
          <w:szCs w:val="20"/>
          <w:lang w:val="es-ES" w:eastAsia="es-SV"/>
        </w:rPr>
        <w:t>orden +++</w:t>
      </w:r>
      <w:r w:rsidR="00631139">
        <w:rPr>
          <w:rFonts w:ascii="Museo Sans 300" w:hAnsi="Museo Sans 300"/>
          <w:sz w:val="20"/>
          <w:szCs w:val="20"/>
          <w:lang w:val="es-ES" w:eastAsia="es-SV"/>
        </w:rPr>
        <w:t>;</w:t>
      </w:r>
    </w:p>
    <w:p w14:paraId="0D6A3555" w14:textId="68BA80B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memoria de cálculo del cobro de </w:t>
      </w:r>
      <w:r w:rsidR="00F730BE">
        <w:rPr>
          <w:rFonts w:ascii="Museo Sans 300" w:hAnsi="Museo Sans 300"/>
          <w:sz w:val="20"/>
          <w:szCs w:val="20"/>
          <w:lang w:val="es-ES" w:eastAsia="es-SV"/>
        </w:rPr>
        <w:t>e</w:t>
      </w:r>
      <w:r>
        <w:rPr>
          <w:rFonts w:ascii="Museo Sans 300" w:hAnsi="Museo Sans 300"/>
          <w:sz w:val="20"/>
          <w:szCs w:val="20"/>
          <w:lang w:val="es-ES" w:eastAsia="es-SV"/>
        </w:rPr>
        <w:t xml:space="preserve">nergía no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631139">
        <w:rPr>
          <w:rFonts w:ascii="Museo Sans 300" w:hAnsi="Museo Sans 300"/>
          <w:sz w:val="20"/>
          <w:szCs w:val="20"/>
          <w:lang w:val="es-ES" w:eastAsia="es-SV"/>
        </w:rPr>
        <w:t>;</w:t>
      </w:r>
    </w:p>
    <w:p w14:paraId="05D5D0CF" w14:textId="04ACD184" w:rsidR="00581738" w:rsidRDefault="00EA0464"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al usuario</w:t>
      </w:r>
      <w:r w:rsidR="00581738">
        <w:rPr>
          <w:rFonts w:ascii="Museo Sans 300" w:hAnsi="Museo Sans 300"/>
          <w:sz w:val="20"/>
          <w:szCs w:val="20"/>
          <w:lang w:val="es-ES" w:eastAsia="es-SV"/>
        </w:rPr>
        <w:t>;</w:t>
      </w:r>
      <w:r w:rsidR="005C4BEC">
        <w:rPr>
          <w:rFonts w:ascii="Museo Sans 300" w:hAnsi="Museo Sans 300"/>
          <w:sz w:val="20"/>
          <w:szCs w:val="20"/>
          <w:lang w:val="es-ES" w:eastAsia="es-SV"/>
        </w:rPr>
        <w:t xml:space="preserve"> y,</w:t>
      </w:r>
    </w:p>
    <w:p w14:paraId="153A4F7E" w14:textId="3D32F058" w:rsidR="007011ED" w:rsidRPr="00BD2651"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79083EF4" w14:textId="3F29DCE9"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EA0464">
        <w:rPr>
          <w:rFonts w:ascii="Museo Sans 300" w:eastAsia="Museo Sans 300" w:hAnsi="Museo Sans 300" w:cs="Museo Sans 300"/>
          <w:sz w:val="20"/>
          <w:szCs w:val="20"/>
          <w:lang w:val="es-ES"/>
        </w:rPr>
        <w:t>CAU-011-19-JV</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ha diecisiete</w:t>
      </w:r>
      <w:r w:rsidR="00EA0464">
        <w:rPr>
          <w:rFonts w:ascii="Museo Sans 300" w:eastAsia="Museo Sans 300" w:hAnsi="Museo Sans 300" w:cs="Museo Sans 300"/>
          <w:sz w:val="20"/>
          <w:szCs w:val="20"/>
          <w:lang w:val="es-ES"/>
        </w:rPr>
        <w:t xml:space="preserve">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 xml:space="preserve">dos </w:t>
      </w:r>
      <w:r w:rsidR="00EA0464">
        <w:rPr>
          <w:rFonts w:ascii="Museo Sans 300" w:eastAsia="Museo Sans 300" w:hAnsi="Museo Sans 300" w:cs="Museo Sans 300"/>
          <w:sz w:val="20"/>
          <w:szCs w:val="20"/>
          <w:lang w:val="es-ES"/>
        </w:rPr>
        <w:t>mil diecinueve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4BA3DD1F"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753F5E">
        <w:rPr>
          <w:rFonts w:ascii="Museo Sans 300" w:hAnsi="Museo Sans 300"/>
          <w:sz w:val="20"/>
          <w:szCs w:val="20"/>
          <w:lang w:eastAsia="es-ES"/>
        </w:rPr>
        <w:t>019-2019</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53F5E">
        <w:rPr>
          <w:rFonts w:ascii="Museo Sans 300" w:hAnsi="Museo Sans 300"/>
          <w:sz w:val="20"/>
          <w:szCs w:val="20"/>
          <w:lang w:eastAsia="es-ES"/>
        </w:rPr>
        <w:t xml:space="preserve"> veinticuatro de enero del año dos mil diecinueve</w:t>
      </w:r>
      <w:r w:rsidRPr="00937F60">
        <w:rPr>
          <w:rFonts w:ascii="Museo Sans 300" w:hAnsi="Museo Sans 300"/>
          <w:sz w:val="20"/>
          <w:szCs w:val="20"/>
          <w:lang w:eastAsia="es-ES"/>
        </w:rPr>
        <w:t xml:space="preserve">, se comisionó al CAU para que rindiera un informe técnico en el cual estableciera </w:t>
      </w:r>
      <w:r w:rsidR="00D84510">
        <w:rPr>
          <w:rFonts w:ascii="Museo Sans 300" w:hAnsi="Museo Sans 300"/>
          <w:sz w:val="20"/>
          <w:szCs w:val="20"/>
          <w:lang w:eastAsia="es-ES"/>
        </w:rPr>
        <w:t xml:space="preserve">si existió o no </w:t>
      </w:r>
      <w:r w:rsidRPr="00937F60">
        <w:rPr>
          <w:rFonts w:ascii="Museo Sans 300" w:hAnsi="Museo Sans 300"/>
          <w:sz w:val="20"/>
          <w:szCs w:val="20"/>
          <w:lang w:eastAsia="es-ES"/>
        </w:rPr>
        <w:t xml:space="preserve">la condición </w:t>
      </w:r>
      <w:r w:rsidR="00D84510">
        <w:rPr>
          <w:rFonts w:ascii="Museo Sans 300" w:hAnsi="Museo Sans 300"/>
          <w:sz w:val="20"/>
          <w:szCs w:val="20"/>
          <w:lang w:eastAsia="es-ES"/>
        </w:rPr>
        <w:t xml:space="preserve">irregular atribuida al usuario y </w:t>
      </w:r>
      <w:r w:rsidRPr="00937F60">
        <w:rPr>
          <w:rFonts w:ascii="Museo Sans 300" w:hAnsi="Museo Sans 300"/>
          <w:sz w:val="20"/>
          <w:szCs w:val="20"/>
          <w:lang w:eastAsia="es-ES"/>
        </w:rPr>
        <w:t xml:space="preserve">que afectó el suministro identificado con el </w:t>
      </w:r>
      <w:r w:rsidR="00753F5E">
        <w:rPr>
          <w:rFonts w:ascii="Museo Sans 300" w:eastAsia="Times New Roman" w:hAnsi="Museo Sans 300"/>
          <w:sz w:val="20"/>
          <w:szCs w:val="20"/>
          <w:lang w:eastAsia="es-ES"/>
        </w:rPr>
        <w:t xml:space="preserve">NIC </w:t>
      </w:r>
      <w:r w:rsidR="00A7543C">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D82B5A1"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753F5E">
        <w:rPr>
          <w:rFonts w:ascii="Museo Sans 300" w:eastAsia="Calibri" w:hAnsi="Museo Sans 300"/>
          <w:sz w:val="20"/>
          <w:szCs w:val="20"/>
          <w:lang w:eastAsia="es-SV"/>
        </w:rPr>
        <w:t xml:space="preserve"> y al usuario los</w:t>
      </w:r>
      <w:r w:rsidR="00BD7407">
        <w:rPr>
          <w:rFonts w:ascii="Museo Sans 300" w:eastAsia="Calibri" w:hAnsi="Museo Sans 300"/>
          <w:sz w:val="20"/>
          <w:szCs w:val="20"/>
          <w:lang w:eastAsia="es-SV"/>
        </w:rPr>
        <w:t xml:space="preserve"> día</w:t>
      </w:r>
      <w:r w:rsidR="00753F5E">
        <w:rPr>
          <w:rFonts w:ascii="Museo Sans 300" w:eastAsia="Calibri" w:hAnsi="Museo Sans 300"/>
          <w:sz w:val="20"/>
          <w:szCs w:val="20"/>
          <w:lang w:eastAsia="es-SV"/>
        </w:rPr>
        <w:t>s treinta y uno de enero y cinco de febrero del año dos mil diecinueve</w:t>
      </w:r>
      <w:r w:rsidR="00051710">
        <w:rPr>
          <w:rFonts w:ascii="Museo Sans 300" w:eastAsia="Calibri" w:hAnsi="Museo Sans 300"/>
          <w:sz w:val="20"/>
          <w:szCs w:val="20"/>
          <w:lang w:eastAsia="es-SV"/>
        </w:rPr>
        <w:t>, respectivamente</w:t>
      </w:r>
      <w:r w:rsidR="00BD740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1D30533F"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w:t>
      </w:r>
      <w:r w:rsidR="00753F5E">
        <w:rPr>
          <w:rFonts w:ascii="Museo Sans 300" w:eastAsia="Calibri" w:hAnsi="Museo Sans 300"/>
          <w:sz w:val="20"/>
          <w:szCs w:val="20"/>
        </w:rPr>
        <w:t>medio de memorando de fecha dieciséis de octubre</w:t>
      </w:r>
      <w:r>
        <w:rPr>
          <w:rFonts w:ascii="Museo Sans 300" w:eastAsia="Calibri" w:hAnsi="Museo Sans 300"/>
          <w:sz w:val="20"/>
          <w:szCs w:val="20"/>
        </w:rPr>
        <w:t xml:space="preserve"> del año dos mil veinte</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753F5E">
        <w:rPr>
          <w:rFonts w:ascii="Museo Sans 300" w:eastAsia="Calibri" w:hAnsi="Museo Sans 300"/>
          <w:sz w:val="20"/>
          <w:szCs w:val="20"/>
        </w:rPr>
        <w:t>330-</w:t>
      </w:r>
      <w:r w:rsidR="00A7543C">
        <w:rPr>
          <w:rFonts w:ascii="Museo Sans 300" w:eastAsia="Calibri" w:hAnsi="Museo Sans 300"/>
          <w:sz w:val="20"/>
          <w:szCs w:val="20"/>
        </w:rPr>
        <w:t>+++</w:t>
      </w:r>
      <w:r>
        <w:rPr>
          <w:rFonts w:ascii="Museo Sans 300" w:eastAsia="Calibri" w:hAnsi="Museo Sans 300"/>
          <w:sz w:val="20"/>
          <w:szCs w:val="20"/>
        </w:rPr>
        <w:t>-CAU</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13FDEA0" w14:textId="3EC6BFBC" w:rsidR="00B90016" w:rsidRDefault="00B90016" w:rsidP="00F35AAC">
      <w:pPr>
        <w:spacing w:after="0" w:line="240" w:lineRule="auto"/>
        <w:ind w:left="426"/>
        <w:jc w:val="both"/>
        <w:rPr>
          <w:rFonts w:ascii="Museo Sans 300" w:hAnsi="Museo Sans 300"/>
          <w:sz w:val="20"/>
          <w:szCs w:val="20"/>
        </w:rPr>
      </w:pPr>
    </w:p>
    <w:p w14:paraId="6F8A0610" w14:textId="40AC6803" w:rsidR="00F35AAC"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sidR="00F35AAC"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4A4E8840" w:rsidR="003F3EE2" w:rsidRDefault="00A7543C" w:rsidP="003F3EE2">
      <w:pPr>
        <w:spacing w:after="0" w:line="240" w:lineRule="auto"/>
        <w:ind w:left="426"/>
        <w:jc w:val="center"/>
        <w:rPr>
          <w:rFonts w:ascii="Museo Sans 300" w:hAnsi="Museo Sans 300"/>
          <w:sz w:val="20"/>
          <w:szCs w:val="20"/>
          <w:u w:val="single"/>
        </w:rPr>
      </w:pPr>
      <w:r>
        <w:rPr>
          <w:noProof/>
          <w:lang w:eastAsia="es-SV"/>
        </w:rPr>
        <w:t>+++</w:t>
      </w:r>
    </w:p>
    <w:p w14:paraId="6A21F6E3" w14:textId="77777777" w:rsidR="00BD7407" w:rsidRDefault="00BD7407" w:rsidP="004463F2">
      <w:pPr>
        <w:tabs>
          <w:tab w:val="num" w:pos="567"/>
        </w:tabs>
        <w:spacing w:after="0" w:line="240" w:lineRule="auto"/>
        <w:ind w:left="426"/>
        <w:jc w:val="both"/>
        <w:rPr>
          <w:rFonts w:ascii="Museo Sans 300" w:hAnsi="Museo Sans 300"/>
          <w:sz w:val="20"/>
          <w:szCs w:val="20"/>
          <w:u w:val="single"/>
          <w:lang w:eastAsia="es-SV"/>
        </w:rPr>
      </w:pPr>
    </w:p>
    <w:p w14:paraId="172DFC63" w14:textId="0FFFE7F3"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Pr>
          <w:rFonts w:ascii="Museo Sans 300" w:hAnsi="Museo Sans 300"/>
          <w:sz w:val="20"/>
          <w:szCs w:val="20"/>
          <w:u w:val="single"/>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9BF533C" w14:textId="59818C6B" w:rsidR="00316F76" w:rsidRDefault="003F3EE2" w:rsidP="00316F76">
      <w:pPr>
        <w:spacing w:line="240" w:lineRule="auto"/>
        <w:ind w:left="709" w:right="425"/>
        <w:jc w:val="both"/>
        <w:rPr>
          <w:rFonts w:ascii="Museo 300" w:hAnsi="Museo 300"/>
          <w:sz w:val="16"/>
          <w:szCs w:val="16"/>
        </w:rPr>
      </w:pPr>
      <w:r w:rsidRPr="00BD38EB">
        <w:rPr>
          <w:rFonts w:ascii="Museo 300" w:hAnsi="Museo 300"/>
          <w:sz w:val="16"/>
          <w:szCs w:val="16"/>
        </w:rPr>
        <w:t xml:space="preserve">[…] </w:t>
      </w:r>
      <w:r w:rsidR="00316F76">
        <w:rPr>
          <w:rFonts w:ascii="Museo 300" w:hAnsi="Museo 300"/>
          <w:color w:val="000000"/>
          <w:sz w:val="16"/>
          <w:szCs w:val="16"/>
          <w:lang w:val="es-ES"/>
        </w:rPr>
        <w:t xml:space="preserve">A </w:t>
      </w:r>
      <w:r w:rsidR="00316F76" w:rsidRPr="00316F76">
        <w:rPr>
          <w:rFonts w:ascii="Museo 300" w:hAnsi="Museo 300"/>
          <w:sz w:val="16"/>
          <w:szCs w:val="16"/>
        </w:rPr>
        <w:t>partir del archivo de fotografías presentado por la sociedad EEO, se muestra la condición irregular encontrada en la acometida del suministro, antes del equipo de medición (ver fotografía n.° 1), consistente en una conexión directa, intercalada o en derivación a 240 Voltios, para alimentar equipos eléctricos demandando una corriente de 16.56 Amperios en la fase A y 16.97 en la fase B, como se muestra en las fotografías siguientes.</w:t>
      </w:r>
    </w:p>
    <w:p w14:paraId="59F4D63D" w14:textId="6C5FC195" w:rsidR="00A7543C" w:rsidRPr="00316F76" w:rsidRDefault="00A7543C" w:rsidP="00A7543C">
      <w:pPr>
        <w:spacing w:line="240" w:lineRule="auto"/>
        <w:ind w:left="709" w:right="425"/>
        <w:jc w:val="center"/>
        <w:rPr>
          <w:rFonts w:ascii="Museo 300" w:hAnsi="Museo 300" w:cs="Arial"/>
          <w:sz w:val="16"/>
          <w:szCs w:val="16"/>
        </w:rPr>
      </w:pPr>
      <w:r>
        <w:rPr>
          <w:rFonts w:ascii="Museo 300" w:hAnsi="Museo 300"/>
          <w:sz w:val="16"/>
          <w:szCs w:val="16"/>
        </w:rPr>
        <w:t>+++</w:t>
      </w:r>
    </w:p>
    <w:p w14:paraId="3D63705C" w14:textId="706202BE" w:rsidR="00B90016" w:rsidRDefault="00B90016" w:rsidP="003514C2">
      <w:pPr>
        <w:spacing w:line="240" w:lineRule="auto"/>
        <w:ind w:left="709" w:right="425"/>
        <w:jc w:val="both"/>
        <w:rPr>
          <w:rFonts w:ascii="Museo 300" w:hAnsi="Museo 300"/>
          <w:color w:val="000000" w:themeColor="text1"/>
          <w:sz w:val="16"/>
          <w:szCs w:val="16"/>
        </w:rPr>
      </w:pPr>
      <w:r>
        <w:rPr>
          <w:rFonts w:ascii="Museo 300" w:hAnsi="Museo 300"/>
          <w:color w:val="000000" w:themeColor="text1"/>
          <w:sz w:val="16"/>
          <w:szCs w:val="16"/>
        </w:rPr>
        <w:t>(…)</w:t>
      </w:r>
    </w:p>
    <w:p w14:paraId="15FFF7FB" w14:textId="7CAABEB7" w:rsidR="00797B83" w:rsidRDefault="00316F76" w:rsidP="003514C2">
      <w:pPr>
        <w:spacing w:line="240" w:lineRule="auto"/>
        <w:ind w:left="709" w:right="425"/>
        <w:jc w:val="both"/>
        <w:rPr>
          <w:rFonts w:ascii="Museo Sans 300" w:eastAsia="SimSun" w:hAnsi="Museo Sans 300" w:cs="Arial"/>
          <w:color w:val="000000"/>
          <w:spacing w:val="-5"/>
          <w:sz w:val="16"/>
          <w:szCs w:val="16"/>
          <w:lang w:val="es-ES"/>
        </w:rPr>
      </w:pPr>
      <w:r w:rsidRPr="00316F76">
        <w:rPr>
          <w:rFonts w:ascii="Museo 300" w:hAnsi="Museo 300"/>
          <w:color w:val="000000" w:themeColor="text1"/>
          <w:sz w:val="16"/>
          <w:szCs w:val="16"/>
        </w:rPr>
        <w:t xml:space="preserve">Con base en las pruebas analizadas, el CAU es de la opinión que la sociedad EEO cuenta con la evidencia fehaciente con la cual demuestra que en el suministro en referencia existió una condición irregular que consistió en la conexión de una línea directa desde la acometida antes de medición, tal y como se mostró en las fotografías anteriores; esta condición afectó el registro correcto de consumo de energía eléctrica del suministro en dicho equipo, y por tanto, no reflejó el consumo real demandado por los equipos eléctricos abastecidos por dicha conexión. </w:t>
      </w:r>
      <w:r w:rsidRPr="00316F76">
        <w:rPr>
          <w:rFonts w:ascii="Museo 300" w:hAnsi="Museo 300"/>
          <w:color w:val="000000"/>
          <w:sz w:val="16"/>
          <w:szCs w:val="16"/>
        </w:rPr>
        <w:t>Tal acción conlleva al Incumplimiento de lo establecido en los Términos y Condiciones Generales al Consumidor vigentes para el año 2018.</w:t>
      </w:r>
      <w:r w:rsidR="00EC5D26" w:rsidRPr="00877049">
        <w:rPr>
          <w:rFonts w:ascii="Museo Sans 300" w:eastAsia="SimSun" w:hAnsi="Museo Sans 300" w:cs="Arial"/>
          <w:color w:val="000000"/>
          <w:spacing w:val="-5"/>
          <w:sz w:val="16"/>
          <w:szCs w:val="16"/>
          <w:lang w:val="es-ES"/>
        </w:rPr>
        <w:t xml:space="preserve"> [</w:t>
      </w:r>
      <w:r w:rsidR="00797B83" w:rsidRPr="00877049">
        <w:rPr>
          <w:rFonts w:ascii="Museo Sans 300" w:eastAsia="SimSun" w:hAnsi="Museo Sans 300" w:cs="Arial"/>
          <w:color w:val="000000"/>
          <w:spacing w:val="-5"/>
          <w:sz w:val="16"/>
          <w:szCs w:val="16"/>
          <w:lang w:val="es-ES"/>
        </w:rPr>
        <w:t>…]”.</w:t>
      </w:r>
    </w:p>
    <w:p w14:paraId="569E6A11" w14:textId="1FFDE5EC" w:rsidR="00B0385B" w:rsidRPr="00B0385B" w:rsidRDefault="00B21765"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t>Recálculo de la energía no registrada</w:t>
      </w:r>
      <w:r w:rsidR="00B0385B" w:rsidRPr="006C50BD">
        <w:rPr>
          <w:rFonts w:ascii="Museo Sans 300" w:hAnsi="Museo Sans 300"/>
          <w:sz w:val="20"/>
          <w:szCs w:val="20"/>
          <w:u w:val="single"/>
        </w:rPr>
        <w:t>:</w:t>
      </w:r>
      <w:r w:rsidR="00B0385B" w:rsidRPr="00B0385B">
        <w:rPr>
          <w:rFonts w:ascii="Museo Sans 300" w:hAnsi="Museo Sans 300"/>
          <w:sz w:val="20"/>
          <w:szCs w:val="20"/>
          <w:u w:val="single"/>
        </w:rPr>
        <w:t> </w:t>
      </w:r>
    </w:p>
    <w:p w14:paraId="7514D7D7" w14:textId="77777777" w:rsidR="00B21765" w:rsidRDefault="00B21765" w:rsidP="00B21765">
      <w:pPr>
        <w:spacing w:after="0" w:line="240" w:lineRule="auto"/>
        <w:ind w:left="709" w:right="425"/>
        <w:jc w:val="both"/>
        <w:rPr>
          <w:rFonts w:ascii="Museo 300" w:hAnsi="Museo 300"/>
          <w:color w:val="000000"/>
          <w:sz w:val="16"/>
          <w:szCs w:val="16"/>
        </w:rPr>
      </w:pPr>
    </w:p>
    <w:p w14:paraId="488B54D0" w14:textId="124EB760" w:rsidR="00B21765" w:rsidRPr="00B21765" w:rsidRDefault="00B21765" w:rsidP="00B21765">
      <w:pPr>
        <w:spacing w:line="240" w:lineRule="auto"/>
        <w:ind w:left="709" w:right="425"/>
        <w:jc w:val="both"/>
        <w:rPr>
          <w:rFonts w:ascii="Museo 300" w:hAnsi="Museo 300" w:cs="Arial"/>
          <w:sz w:val="16"/>
          <w:szCs w:val="16"/>
        </w:rPr>
      </w:pPr>
      <w:r>
        <w:rPr>
          <w:rFonts w:ascii="Museo 300" w:hAnsi="Museo 300" w:cs="Arial"/>
          <w:sz w:val="16"/>
          <w:szCs w:val="16"/>
        </w:rPr>
        <w:t>De</w:t>
      </w:r>
      <w:r w:rsidRPr="00B21765">
        <w:rPr>
          <w:rFonts w:ascii="Museo 300" w:hAnsi="Museo 300" w:cs="Arial"/>
          <w:color w:val="000000" w:themeColor="text1"/>
          <w:sz w:val="16"/>
          <w:szCs w:val="16"/>
        </w:rPr>
        <w:t xml:space="preserve"> conformidad con lo determinado en el Procedimiento contenido en el acuerdo N.° 283-E-2011, específicamente lo indicado en el Art. 5.2, literal c) se efectuó el respectivo recálculo de la energía consumida y no facturada que la Sociedad EEO debe cobrar, teniendo como base lo siguiente:</w:t>
      </w:r>
    </w:p>
    <w:p w14:paraId="131A7A6B" w14:textId="79D45C19" w:rsidR="00B21765" w:rsidRPr="00B21765" w:rsidRDefault="00B21765" w:rsidP="00B21765">
      <w:pPr>
        <w:numPr>
          <w:ilvl w:val="0"/>
          <w:numId w:val="18"/>
        </w:numPr>
        <w:spacing w:line="240" w:lineRule="auto"/>
        <w:ind w:right="425" w:hanging="357"/>
        <w:jc w:val="both"/>
        <w:rPr>
          <w:rFonts w:ascii="Museo 300" w:hAnsi="Museo 300"/>
          <w:bCs/>
          <w:sz w:val="16"/>
          <w:szCs w:val="16"/>
        </w:rPr>
      </w:pPr>
      <w:r w:rsidRPr="00B21765">
        <w:rPr>
          <w:rFonts w:ascii="Museo 300" w:hAnsi="Museo 300" w:cs="Arial"/>
          <w:sz w:val="16"/>
          <w:szCs w:val="16"/>
        </w:rPr>
        <w:t>El historial de consumo del suministro bajo estudio no puede considerarse para el cálculo de la ENR, debido que el consumo antes y después de normalizar la condición irregular, no es representativo del uso que pudo tener el usuario de la carga durante la condición irregular.</w:t>
      </w:r>
    </w:p>
    <w:p w14:paraId="4A9BDA83" w14:textId="77777777" w:rsidR="00B21765" w:rsidRPr="00B21765" w:rsidRDefault="00B21765" w:rsidP="00B21765">
      <w:pPr>
        <w:numPr>
          <w:ilvl w:val="0"/>
          <w:numId w:val="18"/>
        </w:numPr>
        <w:spacing w:line="240" w:lineRule="auto"/>
        <w:ind w:right="425" w:hanging="357"/>
        <w:jc w:val="both"/>
        <w:rPr>
          <w:rFonts w:ascii="Museo 300" w:hAnsi="Museo 300"/>
          <w:bCs/>
          <w:sz w:val="16"/>
          <w:szCs w:val="16"/>
        </w:rPr>
      </w:pPr>
      <w:r w:rsidRPr="00B21765">
        <w:rPr>
          <w:rFonts w:ascii="Museo 300" w:hAnsi="Museo 300" w:cs="Arial"/>
          <w:color w:val="000000" w:themeColor="text1"/>
          <w:sz w:val="16"/>
          <w:szCs w:val="16"/>
        </w:rPr>
        <w:lastRenderedPageBreak/>
        <w:t>El valor de la corriente instantánea total de 16.77 Amperios y el tiempo de demanda en</w:t>
      </w:r>
      <w:r w:rsidRPr="00B21765">
        <w:rPr>
          <w:rFonts w:ascii="Museo 300" w:hAnsi="Museo 300" w:cs="Arial"/>
          <w:sz w:val="16"/>
          <w:szCs w:val="16"/>
        </w:rPr>
        <w:t xml:space="preserve"> un período de 10 horas, con base a un equipo eléctrico conectado las 24 horas y que su ciclo de funcionamiento se considera de 10 horas al día</w:t>
      </w:r>
      <w:r w:rsidRPr="00B21765">
        <w:rPr>
          <w:rFonts w:ascii="Museo 300" w:hAnsi="Museo 300" w:cs="Arial"/>
          <w:color w:val="000000" w:themeColor="text1"/>
          <w:sz w:val="16"/>
          <w:szCs w:val="16"/>
        </w:rPr>
        <w:t>, permitió establecer un consumo mensual promedio de 1,208 kWh.</w:t>
      </w:r>
    </w:p>
    <w:p w14:paraId="130060B0" w14:textId="77777777" w:rsidR="00B21765" w:rsidRPr="00B21765" w:rsidRDefault="00B21765" w:rsidP="00B21765">
      <w:pPr>
        <w:numPr>
          <w:ilvl w:val="0"/>
          <w:numId w:val="18"/>
        </w:numPr>
        <w:spacing w:line="240" w:lineRule="auto"/>
        <w:ind w:right="425" w:hanging="357"/>
        <w:jc w:val="both"/>
        <w:rPr>
          <w:rFonts w:ascii="Museo 300" w:hAnsi="Museo 300" w:cs="Arial"/>
          <w:color w:val="000000" w:themeColor="text1"/>
          <w:sz w:val="16"/>
          <w:szCs w:val="16"/>
        </w:rPr>
      </w:pPr>
      <w:r w:rsidRPr="00B21765">
        <w:rPr>
          <w:rFonts w:ascii="Museo 300" w:hAnsi="Museo 300" w:cs="Arial"/>
          <w:color w:val="000000" w:themeColor="text1"/>
          <w:sz w:val="16"/>
          <w:szCs w:val="16"/>
        </w:rPr>
        <w:t>El período a recuperar por parte de la sociedad EEO, por una energía consumida y no registrada, se determina que la misma debe limitarse a 78 días, por las razones antes expuestas.</w:t>
      </w:r>
    </w:p>
    <w:p w14:paraId="03C13061" w14:textId="295CE614" w:rsidR="00B21765" w:rsidRPr="00B21765" w:rsidRDefault="00B21765" w:rsidP="00B21765">
      <w:pPr>
        <w:spacing w:line="240" w:lineRule="auto"/>
        <w:ind w:left="709" w:right="425"/>
        <w:jc w:val="both"/>
        <w:rPr>
          <w:rFonts w:ascii="Museo 300" w:hAnsi="Museo 300"/>
          <w:sz w:val="16"/>
          <w:szCs w:val="16"/>
        </w:rPr>
      </w:pPr>
      <w:r w:rsidRPr="00B21765">
        <w:rPr>
          <w:rFonts w:ascii="Museo 300" w:hAnsi="Museo 300" w:cs="Arial"/>
          <w:color w:val="000000" w:themeColor="text1"/>
          <w:sz w:val="16"/>
          <w:szCs w:val="16"/>
        </w:rPr>
        <w:t xml:space="preserve">El valor y período arriba señalados, fue utilizado para la elaboración del respectivo recálculo de la energía no registrada en el período de recuperación comprendido entre el </w:t>
      </w:r>
      <w:r w:rsidRPr="00B21765">
        <w:rPr>
          <w:rFonts w:ascii="Museo 300" w:hAnsi="Museo 300" w:cs="Arial"/>
          <w:sz w:val="16"/>
          <w:szCs w:val="16"/>
        </w:rPr>
        <w:t>entre el 12 de julio hasta el 28 de septiembre, ambas fechas del año 2018</w:t>
      </w:r>
      <w:r w:rsidRPr="00B21765">
        <w:rPr>
          <w:rFonts w:ascii="Museo 300" w:hAnsi="Museo 300" w:cs="Arial"/>
          <w:color w:val="000000" w:themeColor="text1"/>
          <w:sz w:val="16"/>
          <w:szCs w:val="16"/>
        </w:rPr>
        <w:t>, equivalentes a 78 días, que corresponden a la energía consumida y no registrada máxima que puede recuperarse, que en este caso corresponden a un total de 3,140 kWh, equivalente a la cantidad de seiscientos treinta y siete 33</w:t>
      </w:r>
      <w:r w:rsidRPr="00B21765">
        <w:rPr>
          <w:rFonts w:ascii="Museo 300" w:hAnsi="Museo 300" w:cs="Arial"/>
          <w:sz w:val="16"/>
          <w:szCs w:val="16"/>
        </w:rPr>
        <w:t>/100 dólares de los Estados Unidos de América (USD 637.33)</w:t>
      </w:r>
      <w:r w:rsidRPr="00B21765">
        <w:rPr>
          <w:rFonts w:ascii="Museo 300" w:hAnsi="Museo 300" w:cs="Arial"/>
          <w:b/>
          <w:color w:val="000000" w:themeColor="text1"/>
          <w:sz w:val="16"/>
          <w:szCs w:val="16"/>
        </w:rPr>
        <w:t xml:space="preserve"> </w:t>
      </w:r>
      <w:r w:rsidRPr="00B21765">
        <w:rPr>
          <w:rFonts w:ascii="Museo 300" w:hAnsi="Museo 300" w:cs="Arial"/>
          <w:color w:val="000000" w:themeColor="text1"/>
          <w:sz w:val="16"/>
          <w:szCs w:val="16"/>
        </w:rPr>
        <w:t>IVA incluido</w:t>
      </w:r>
      <w:r>
        <w:rPr>
          <w:rFonts w:ascii="Museo 300" w:hAnsi="Museo 300" w:cs="Arial"/>
          <w:color w:val="000000" w:themeColor="text1"/>
          <w:sz w:val="16"/>
          <w:szCs w:val="16"/>
        </w:rPr>
        <w:t>.</w:t>
      </w:r>
      <w:r w:rsidRPr="00984EF7">
        <w:rPr>
          <w:rFonts w:ascii="Museo 300" w:hAnsi="Museo 300"/>
          <w:color w:val="000000"/>
          <w:sz w:val="16"/>
          <w:szCs w:val="16"/>
          <w:lang w:val="es-ES"/>
        </w:rPr>
        <w:t xml:space="preserve"> </w:t>
      </w:r>
      <w:r w:rsidRPr="00984EF7">
        <w:rPr>
          <w:rFonts w:ascii="Museo 300" w:hAnsi="Museo 300"/>
          <w:color w:val="000000"/>
          <w:sz w:val="16"/>
          <w:szCs w:val="16"/>
        </w:rPr>
        <w:t>[…]”</w:t>
      </w:r>
      <w:r>
        <w:rPr>
          <w:rFonts w:ascii="Museo 300" w:hAnsi="Museo 300"/>
          <w:color w:val="000000"/>
          <w:sz w:val="16"/>
          <w:szCs w:val="16"/>
        </w:rPr>
        <w:t>.</w:t>
      </w:r>
      <w:r w:rsidRPr="00984EF7">
        <w:rPr>
          <w:rFonts w:ascii="Museo 300" w:hAnsi="Museo 300"/>
          <w:color w:val="000000"/>
          <w:sz w:val="16"/>
          <w:szCs w:val="16"/>
        </w:rPr>
        <w:t xml:space="preserve"> </w:t>
      </w:r>
    </w:p>
    <w:p w14:paraId="7EAFB902" w14:textId="4D77D8F4"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23A48F2C" w14:textId="32B19351" w:rsidR="00091F7F" w:rsidRPr="00091F7F" w:rsidRDefault="00091F7F" w:rsidP="00091F7F">
      <w:pPr>
        <w:numPr>
          <w:ilvl w:val="0"/>
          <w:numId w:val="6"/>
        </w:numPr>
        <w:spacing w:after="0" w:line="240" w:lineRule="auto"/>
        <w:ind w:left="1276" w:right="565"/>
        <w:jc w:val="both"/>
        <w:rPr>
          <w:rFonts w:ascii="Museo 300" w:hAnsi="Museo 300" w:cs="Arial"/>
          <w:color w:val="000000"/>
          <w:sz w:val="16"/>
          <w:szCs w:val="16"/>
        </w:rPr>
      </w:pPr>
      <w:r w:rsidRPr="00091F7F">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una conexión de línea directa, intercalada o en derivación antes del equipo de medición, con el fin de afectar el correcto registro de la energía que era consumida en el citado suministro.</w:t>
      </w:r>
    </w:p>
    <w:p w14:paraId="616D52E2" w14:textId="77777777" w:rsidR="00091F7F" w:rsidRPr="0090029E" w:rsidRDefault="00091F7F" w:rsidP="00091F7F">
      <w:pPr>
        <w:spacing w:after="0" w:line="240" w:lineRule="auto"/>
        <w:ind w:left="1276" w:right="565"/>
        <w:jc w:val="both"/>
        <w:rPr>
          <w:rFonts w:ascii="Museo Sans 300" w:hAnsi="Museo Sans 300" w:cs="Arial"/>
          <w:color w:val="000000"/>
        </w:rPr>
      </w:pPr>
    </w:p>
    <w:p w14:paraId="7E7FDE8F" w14:textId="628BB0B5" w:rsidR="00091F7F" w:rsidRPr="00091F7F" w:rsidRDefault="00091F7F" w:rsidP="00091F7F">
      <w:pPr>
        <w:numPr>
          <w:ilvl w:val="0"/>
          <w:numId w:val="6"/>
        </w:numPr>
        <w:spacing w:after="0" w:line="240" w:lineRule="auto"/>
        <w:ind w:left="1276" w:right="565"/>
        <w:jc w:val="both"/>
        <w:rPr>
          <w:rFonts w:ascii="Museo 300" w:hAnsi="Museo 300" w:cs="Arial"/>
          <w:sz w:val="16"/>
          <w:szCs w:val="16"/>
        </w:rPr>
      </w:pPr>
      <w:r w:rsidRPr="00091F7F">
        <w:rPr>
          <w:rFonts w:ascii="Museo 300" w:hAnsi="Museo 300" w:cs="Arial"/>
          <w:sz w:val="16"/>
          <w:szCs w:val="16"/>
        </w:rPr>
        <w:t>De conformidad al análisis efectuado por el CAU, es improcedente la cantidad de dos mil doscientos cuarenta y ocho 99</w:t>
      </w:r>
      <w:r w:rsidRPr="00091F7F">
        <w:rPr>
          <w:rFonts w:ascii="Museo 300" w:hAnsi="Museo 300" w:cs="Arial"/>
          <w:sz w:val="16"/>
          <w:szCs w:val="16"/>
          <w:shd w:val="clear" w:color="auto" w:fill="FFFFFF" w:themeFill="background1"/>
        </w:rPr>
        <w:t>/100 dólares de los Estados Unidos de América (USD 2,248.99)</w:t>
      </w:r>
      <w:r w:rsidRPr="00091F7F">
        <w:rPr>
          <w:rFonts w:ascii="Museo 300" w:hAnsi="Museo 300" w:cs="Arial"/>
          <w:sz w:val="16"/>
          <w:szCs w:val="16"/>
        </w:rPr>
        <w:t>, IVA incluido, que la EEO ha cobrado en concepto de energía no registrada.</w:t>
      </w:r>
    </w:p>
    <w:p w14:paraId="48DEAB84" w14:textId="77777777" w:rsidR="00091F7F" w:rsidRDefault="00091F7F" w:rsidP="00091F7F">
      <w:pPr>
        <w:pStyle w:val="Prrafodelista"/>
        <w:rPr>
          <w:rFonts w:ascii="Museo Sans 300" w:hAnsi="Museo Sans 300" w:cs="Arial"/>
        </w:rPr>
      </w:pPr>
    </w:p>
    <w:p w14:paraId="7524AEE5" w14:textId="44384D3B" w:rsidR="007B46B2" w:rsidRPr="00091F7F" w:rsidRDefault="00091F7F" w:rsidP="00091F7F">
      <w:pPr>
        <w:numPr>
          <w:ilvl w:val="0"/>
          <w:numId w:val="6"/>
        </w:numPr>
        <w:spacing w:after="0" w:line="240" w:lineRule="auto"/>
        <w:ind w:left="1276" w:right="565"/>
        <w:jc w:val="both"/>
        <w:rPr>
          <w:rFonts w:ascii="Museo 300" w:hAnsi="Museo 300" w:cs="Arial"/>
          <w:sz w:val="16"/>
          <w:szCs w:val="16"/>
        </w:rPr>
      </w:pPr>
      <w:r w:rsidRPr="00091F7F">
        <w:rPr>
          <w:rFonts w:ascii="Museo 300" w:hAnsi="Museo 300" w:cs="Arial"/>
          <w:sz w:val="16"/>
          <w:szCs w:val="16"/>
        </w:rPr>
        <w:t>De acuerdo con el recálculo que el CAU ha efectuado, la sociedad EEO deberá recuperar la cantidad de seiscientos treinta y siete 33/100 dólares de los Estados Unidos de América (USD 637.33) IVA incluido, en concepto de energía consumida y no registrada, más la cantidad de dieciséis 02/100 dólares de los Estados Unidos de América (USD 16.02) IVA incluido. En concepto de intereses.</w:t>
      </w:r>
      <w:r>
        <w:rPr>
          <w:rFonts w:ascii="Museo 300" w:hAnsi="Museo 300" w:cs="Arial"/>
          <w:sz w:val="16"/>
          <w:szCs w:val="16"/>
        </w:rPr>
        <w:t xml:space="preserve"> </w:t>
      </w:r>
      <w:r w:rsidR="007B46B2" w:rsidRPr="00091F7F">
        <w:rPr>
          <w:rFonts w:ascii="Museo 300" w:hAnsi="Museo 300"/>
          <w:sz w:val="16"/>
          <w:szCs w:val="16"/>
          <w:lang w:val="es-ES"/>
        </w:rPr>
        <w:t>[…]”</w:t>
      </w:r>
      <w:r w:rsidR="005273FC" w:rsidRPr="00091F7F">
        <w:rPr>
          <w:rFonts w:ascii="Museo 300" w:hAnsi="Museo 300"/>
          <w:sz w:val="16"/>
          <w:szCs w:val="16"/>
          <w:lang w:val="es-ES"/>
        </w:rPr>
        <w:t>.</w:t>
      </w:r>
      <w:r w:rsidR="007B46B2" w:rsidRPr="00091F7F">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6F774D24"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D75F1B" w14:textId="5457B2CA" w:rsidR="00091F7F" w:rsidRDefault="00091F7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05AD5F58"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72F6AF0" w14:textId="7D1A1501" w:rsidR="00553BE1" w:rsidRDefault="00553BE1"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622D6F97"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6021E">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091F7F">
        <w:rPr>
          <w:rFonts w:ascii="Museo Sans 500" w:eastAsia="Calibri" w:hAnsi="Museo Sans 500"/>
          <w:b/>
          <w:sz w:val="20"/>
          <w:szCs w:val="20"/>
          <w:lang w:eastAsia="es-SV"/>
        </w:rPr>
        <w:t>l año 2018</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4AFA8C73" w:rsidR="009A69A9" w:rsidRDefault="00091F7F" w:rsidP="009A69A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7</w:t>
      </w:r>
      <w:r w:rsidR="009A69A9"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w:t>
      </w:r>
      <w:r w:rsidR="009A69A9" w:rsidRPr="00DC3BC9">
        <w:rPr>
          <w:rFonts w:ascii="Museo Sans 300" w:hAnsi="Museo Sans 300" w:cs="Arial"/>
          <w:sz w:val="20"/>
          <w:szCs w:val="20"/>
          <w:lang w:eastAsia="es-SV"/>
        </w:rPr>
        <w:lastRenderedPageBreak/>
        <w:t>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0386BC9D" w:rsidR="009A69A9" w:rsidRDefault="00091F7F"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El artículo 36</w:t>
      </w:r>
      <w:r w:rsidR="009A69A9"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009A69A9"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A69A9" w:rsidRPr="007B7B0C">
        <w:rPr>
          <w:rStyle w:val="eop"/>
          <w:rFonts w:ascii="Museo Sans 300" w:hAnsi="Museo Sans 300" w:cs="Segoe UI"/>
          <w:color w:val="000000"/>
          <w:sz w:val="20"/>
          <w:szCs w:val="20"/>
          <w:shd w:val="clear" w:color="auto" w:fill="FFFFFF"/>
        </w:rPr>
        <w:t> </w:t>
      </w:r>
    </w:p>
    <w:p w14:paraId="2D4E8338" w14:textId="77777777" w:rsidR="00B120BC" w:rsidRDefault="00B120BC"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7A2323C4" w14:textId="0313E540"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7485230A" w:rsidR="009A69A9" w:rsidRDefault="009A69A9"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29E1E43" w14:textId="77777777" w:rsidR="00953BF1" w:rsidRPr="007B7B0C" w:rsidRDefault="00953BF1"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4ABE179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091F7F">
        <w:rPr>
          <w:rFonts w:ascii="Museo Sans 500" w:hAnsi="Museo Sans 500"/>
          <w:b/>
          <w:bCs/>
          <w:sz w:val="20"/>
          <w:szCs w:val="20"/>
        </w:rPr>
        <w:t xml:space="preserve"> identificado con el NIC </w:t>
      </w:r>
      <w:r w:rsidR="00A7543C">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4017E792"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091F7F">
        <w:rPr>
          <w:rFonts w:ascii="Museo Sans 300" w:hAnsi="Museo Sans 300"/>
          <w:sz w:val="20"/>
          <w:szCs w:val="20"/>
        </w:rPr>
        <w:t>330</w:t>
      </w:r>
      <w:r w:rsidR="0072645B">
        <w:rPr>
          <w:rFonts w:ascii="Museo Sans 300" w:hAnsi="Museo Sans 300"/>
          <w:sz w:val="20"/>
          <w:szCs w:val="20"/>
        </w:rPr>
        <w:t>-</w:t>
      </w:r>
      <w:r w:rsidR="00A7543C">
        <w:rPr>
          <w:rFonts w:ascii="Museo Sans 300" w:hAnsi="Museo Sans 300"/>
          <w:sz w:val="20"/>
          <w:szCs w:val="20"/>
        </w:rPr>
        <w:t>+++</w:t>
      </w:r>
      <w:r w:rsidR="00BA33B4">
        <w:rPr>
          <w:rFonts w:ascii="Museo Sans 300" w:hAnsi="Museo Sans 300"/>
          <w:sz w:val="20"/>
          <w:szCs w:val="20"/>
        </w:rPr>
        <w:t>-CAU</w:t>
      </w:r>
      <w:r w:rsidRPr="00551F4C">
        <w:rPr>
          <w:rFonts w:ascii="Museo Sans 300" w:hAnsi="Museo Sans 300"/>
          <w:sz w:val="20"/>
          <w:szCs w:val="20"/>
        </w:rPr>
        <w:t>,</w:t>
      </w:r>
      <w:r w:rsidRPr="00551F4C">
        <w:t xml:space="preserve"> </w:t>
      </w:r>
      <w:r w:rsidR="00B90016" w:rsidRPr="00B90016">
        <w:rPr>
          <w:rFonts w:ascii="Museo Sans 300" w:hAnsi="Museo Sans 300"/>
          <w:sz w:val="20"/>
          <w:szCs w:val="20"/>
        </w:rPr>
        <w:t>en su p</w:t>
      </w:r>
      <w:r w:rsidR="00B90016">
        <w:rPr>
          <w:rFonts w:ascii="Museo Sans 300" w:hAnsi="Museo Sans 300"/>
          <w:sz w:val="20"/>
          <w:szCs w:val="20"/>
        </w:rPr>
        <w:t>ágina 5</w:t>
      </w:r>
      <w:r w:rsidR="00B90016">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2A4C3FC8" w14:textId="4687C5F3" w:rsidR="00091F7F" w:rsidRPr="00233B15" w:rsidRDefault="00B25632" w:rsidP="00233B15">
      <w:pPr>
        <w:spacing w:after="0" w:line="240" w:lineRule="auto"/>
        <w:ind w:left="708" w:right="425"/>
        <w:jc w:val="both"/>
        <w:rPr>
          <w:rFonts w:ascii="Museo 300" w:eastAsia="SimSun" w:hAnsi="Museo 300"/>
          <w:color w:val="000000" w:themeColor="text1"/>
          <w:spacing w:val="-5"/>
          <w:sz w:val="16"/>
          <w:szCs w:val="16"/>
          <w:lang w:val="es-ES"/>
        </w:rPr>
      </w:pPr>
      <w:r w:rsidRPr="009B5565">
        <w:rPr>
          <w:rFonts w:ascii="Museo 300" w:hAnsi="Museo 300" w:cs="Segoe UI"/>
          <w:sz w:val="16"/>
          <w:szCs w:val="16"/>
          <w:lang w:eastAsia="es-MX"/>
        </w:rPr>
        <w:t xml:space="preserve">“[…] </w:t>
      </w:r>
      <w:r w:rsidR="00233B15">
        <w:rPr>
          <w:rFonts w:ascii="Museo 300" w:eastAsia="SimSun" w:hAnsi="Museo 300"/>
          <w:color w:val="000000" w:themeColor="text1"/>
          <w:spacing w:val="-5"/>
          <w:sz w:val="16"/>
          <w:szCs w:val="16"/>
          <w:lang w:val="es-ES"/>
        </w:rPr>
        <w:t>Con base</w:t>
      </w:r>
      <w:r w:rsidR="00091F7F" w:rsidRPr="00233B15">
        <w:rPr>
          <w:rFonts w:ascii="Museo 300" w:hAnsi="Museo 300"/>
          <w:color w:val="000000" w:themeColor="text1"/>
          <w:sz w:val="16"/>
          <w:szCs w:val="16"/>
        </w:rPr>
        <w:t xml:space="preserve"> en las pruebas analizadas, el CAU es de la opinión que la sociedad EEO cuenta con la evidencia fehaciente con la cual demuestra que en el suministro en referencia existió una condición irregular que consistió en la conexión de una línea directa desde la acometida antes de medición, tal y como se mostró en las fotografías anteriores; esta condición afectó el registro correcto de consumo de energía eléctrica del suministro en dicho equipo, y por tanto, no reflejó el consumo real demandado por los equipos eléctricos abastecidos por dicha conexión. </w:t>
      </w:r>
      <w:r w:rsidR="00091F7F" w:rsidRPr="00233B15">
        <w:rPr>
          <w:rFonts w:ascii="Museo 300" w:hAnsi="Museo 300"/>
          <w:color w:val="000000"/>
          <w:sz w:val="16"/>
          <w:szCs w:val="16"/>
        </w:rPr>
        <w:t>Tal acción conlleva al Incumplimiento de lo establecido en los Términos y Condiciones Generales al Consumidor vigentes para el año 2018.</w:t>
      </w:r>
      <w:r w:rsidR="00233B15" w:rsidRPr="00233B15">
        <w:rPr>
          <w:rFonts w:ascii="Museo Sans 300" w:eastAsia="SimSun" w:hAnsi="Museo Sans 300" w:cs="Arial"/>
          <w:color w:val="000000"/>
          <w:spacing w:val="-5"/>
          <w:sz w:val="16"/>
          <w:szCs w:val="16"/>
          <w:lang w:val="es-ES"/>
        </w:rPr>
        <w:t xml:space="preserve"> </w:t>
      </w:r>
      <w:r w:rsidR="00233B15">
        <w:rPr>
          <w:rFonts w:ascii="Museo Sans 300" w:eastAsia="SimSun" w:hAnsi="Museo Sans 300" w:cs="Arial"/>
          <w:color w:val="000000"/>
          <w:spacing w:val="-5"/>
          <w:sz w:val="16"/>
          <w:szCs w:val="16"/>
          <w:lang w:val="es-ES"/>
        </w:rPr>
        <w:t>[…]”</w:t>
      </w:r>
      <w:r w:rsidR="00233B15" w:rsidRPr="00ED3900">
        <w:rPr>
          <w:rFonts w:ascii="Museo Sans 300" w:eastAsia="SimSun" w:hAnsi="Museo Sans 300" w:cs="Arial"/>
          <w:color w:val="000000"/>
          <w:spacing w:val="-5"/>
          <w:sz w:val="16"/>
          <w:szCs w:val="16"/>
          <w:lang w:val="es-ES"/>
        </w:rPr>
        <w:t>.</w:t>
      </w:r>
    </w:p>
    <w:p w14:paraId="1DF76937" w14:textId="77777777" w:rsidR="00091F7F" w:rsidRDefault="00091F7F" w:rsidP="003A3607">
      <w:pPr>
        <w:autoSpaceDE w:val="0"/>
        <w:autoSpaceDN w:val="0"/>
        <w:adjustRightInd w:val="0"/>
        <w:spacing w:after="0" w:line="240" w:lineRule="auto"/>
        <w:ind w:left="426"/>
        <w:jc w:val="both"/>
        <w:rPr>
          <w:rFonts w:ascii="Museo Sans 300" w:hAnsi="Museo Sans 300"/>
          <w:sz w:val="20"/>
          <w:szCs w:val="20"/>
        </w:rPr>
      </w:pPr>
    </w:p>
    <w:p w14:paraId="739EE9B5" w14:textId="2F56EC00"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A122F23" w14:textId="6F1F2143" w:rsidR="00233B15" w:rsidRDefault="00233B15" w:rsidP="00233B15">
      <w:pPr>
        <w:autoSpaceDE w:val="0"/>
        <w:autoSpaceDN w:val="0"/>
        <w:adjustRightInd w:val="0"/>
        <w:spacing w:after="0" w:line="240" w:lineRule="auto"/>
        <w:ind w:left="426"/>
        <w:jc w:val="both"/>
        <w:rPr>
          <w:rFonts w:ascii="Museo Sans 300" w:hAnsi="Museo Sans 300"/>
          <w:sz w:val="20"/>
          <w:szCs w:val="20"/>
        </w:rPr>
      </w:pPr>
      <w:r w:rsidRPr="00392444">
        <w:rPr>
          <w:rFonts w:ascii="Museo Sans 300" w:eastAsia="Calibri" w:hAnsi="Museo Sans 300" w:cs="Segoe UI"/>
          <w:sz w:val="20"/>
          <w:szCs w:val="20"/>
          <w:lang w:eastAsia="es-MX"/>
        </w:rPr>
        <w:t>Conforme lo anterior, el CAU concluyó en el informe técnico N.° IT-</w:t>
      </w:r>
      <w:r>
        <w:rPr>
          <w:rFonts w:ascii="Museo Sans 300" w:eastAsia="Calibri" w:hAnsi="Museo Sans 300"/>
          <w:sz w:val="20"/>
          <w:szCs w:val="20"/>
        </w:rPr>
        <w:t>330</w:t>
      </w:r>
      <w:r w:rsidRPr="00392444">
        <w:rPr>
          <w:rFonts w:ascii="Museo Sans 300" w:eastAsia="Calibri" w:hAnsi="Museo Sans 300" w:cs="Segoe UI"/>
          <w:sz w:val="20"/>
          <w:szCs w:val="20"/>
          <w:lang w:eastAsia="es-MX"/>
        </w:rPr>
        <w:t>-</w:t>
      </w:r>
      <w:r w:rsidR="00A7543C">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w:t>
      </w:r>
      <w:r w:rsidRPr="00392444">
        <w:rPr>
          <w:rFonts w:ascii="Museo Sans 300" w:eastAsia="Calibri" w:hAnsi="Museo Sans 300" w:cs="Segoe UI"/>
          <w:sz w:val="20"/>
          <w:szCs w:val="20"/>
          <w:lang w:eastAsia="es-MX"/>
        </w:rPr>
        <w:t xml:space="preserve">CAU </w:t>
      </w:r>
      <w:r w:rsidRPr="00392444">
        <w:rPr>
          <w:rFonts w:ascii="Museo Sans 300" w:hAnsi="Museo Sans 300"/>
          <w:sz w:val="20"/>
          <w:szCs w:val="20"/>
        </w:rPr>
        <w:t xml:space="preserve">que existió una condición irregular consistente en </w:t>
      </w:r>
      <w:r w:rsidRPr="00392444">
        <w:rPr>
          <w:rFonts w:ascii="Museo Sans 300" w:hAnsi="Museo Sans 300"/>
          <w:sz w:val="20"/>
          <w:szCs w:val="20"/>
          <w:lang w:val="es-ES" w:eastAsia="es-ES"/>
        </w:rPr>
        <w:t>una línea directa conectada en la acometida</w:t>
      </w:r>
      <w:r>
        <w:rPr>
          <w:rFonts w:ascii="Museo Sans 300" w:hAnsi="Museo Sans 300"/>
          <w:sz w:val="20"/>
          <w:szCs w:val="20"/>
        </w:rPr>
        <w:t xml:space="preserve"> que ingresaba al interior del</w:t>
      </w:r>
      <w:r w:rsidRPr="00392444">
        <w:rPr>
          <w:rFonts w:ascii="Museo Sans 300" w:hAnsi="Museo Sans 300"/>
          <w:sz w:val="20"/>
          <w:szCs w:val="20"/>
        </w:rPr>
        <w:t xml:space="preserve"> inmueble, por medio de la cual se consumía energía eléctrica sin que fuera registrada por el equipo de medición. </w:t>
      </w:r>
    </w:p>
    <w:p w14:paraId="0EE9D257" w14:textId="2EAB2E94"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lastRenderedPageBreak/>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año 2018</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7826B5F5" w14:textId="77777777"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0C9270F2"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55F09FD6" w14:textId="77777777" w:rsidR="00B87F7A" w:rsidRDefault="00EB0314" w:rsidP="00EB0314">
      <w:pPr>
        <w:pStyle w:val="Prrafodelista"/>
        <w:ind w:left="426"/>
        <w:jc w:val="both"/>
        <w:rPr>
          <w:rFonts w:ascii="Museo Sans 300" w:eastAsia="Arial" w:hAnsi="Museo Sans 300"/>
          <w:sz w:val="20"/>
          <w:szCs w:val="20"/>
        </w:rPr>
      </w:pPr>
      <w:r w:rsidRPr="00D74551">
        <w:rPr>
          <w:rFonts w:ascii="Museo Sans 300" w:hAnsi="Museo Sans 300"/>
          <w:sz w:val="20"/>
          <w:szCs w:val="20"/>
        </w:rPr>
        <w:t xml:space="preserve">Con base en el análisis realizado, el CAU consideró que debido a las particularidades del caso, es válido utilizar el método de carga no medida, 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 xml:space="preserve">. </w:t>
      </w:r>
    </w:p>
    <w:p w14:paraId="64D7651C" w14:textId="77777777" w:rsidR="00B87F7A" w:rsidRDefault="00B87F7A" w:rsidP="00EB0314">
      <w:pPr>
        <w:pStyle w:val="Prrafodelista"/>
        <w:ind w:left="426"/>
        <w:jc w:val="both"/>
        <w:rPr>
          <w:rFonts w:ascii="Museo Sans 300" w:eastAsia="Arial" w:hAnsi="Museo Sans 300"/>
          <w:sz w:val="20"/>
          <w:szCs w:val="20"/>
        </w:rPr>
      </w:pPr>
    </w:p>
    <w:p w14:paraId="436857F6" w14:textId="00246073" w:rsidR="00EB0314" w:rsidRDefault="00465514" w:rsidP="00EB0314">
      <w:pPr>
        <w:pStyle w:val="Prrafodelista"/>
        <w:ind w:left="426"/>
        <w:jc w:val="both"/>
        <w:rPr>
          <w:rFonts w:ascii="Museo Sans 300" w:eastAsia="Arial" w:hAnsi="Museo Sans 300"/>
          <w:sz w:val="20"/>
          <w:szCs w:val="20"/>
        </w:rPr>
      </w:pPr>
      <w:r>
        <w:rPr>
          <w:rFonts w:ascii="Museo Sans 300" w:eastAsia="Arial" w:hAnsi="Museo Sans 300"/>
          <w:sz w:val="20"/>
          <w:szCs w:val="20"/>
        </w:rPr>
        <w:t>En ese sentido, d</w:t>
      </w:r>
      <w:r w:rsidR="00E45F29">
        <w:rPr>
          <w:rFonts w:ascii="Museo Sans 300" w:eastAsia="Arial" w:hAnsi="Museo Sans 300"/>
          <w:sz w:val="20"/>
          <w:szCs w:val="20"/>
        </w:rPr>
        <w:t xml:space="preserve">icho </w:t>
      </w:r>
      <w:r>
        <w:rPr>
          <w:rFonts w:ascii="Museo Sans 300" w:eastAsia="Arial" w:hAnsi="Museo Sans 300"/>
          <w:sz w:val="20"/>
          <w:szCs w:val="20"/>
        </w:rPr>
        <w:t>C</w:t>
      </w:r>
      <w:r w:rsidR="00E45F29">
        <w:rPr>
          <w:rFonts w:ascii="Museo Sans 300" w:eastAsia="Arial" w:hAnsi="Museo Sans 300"/>
          <w:sz w:val="20"/>
          <w:szCs w:val="20"/>
        </w:rPr>
        <w:t xml:space="preserve">entro </w:t>
      </w:r>
      <w:r w:rsidR="00A81787">
        <w:rPr>
          <w:rFonts w:ascii="Museo Sans 300" w:eastAsia="Arial" w:hAnsi="Museo Sans 300"/>
          <w:sz w:val="20"/>
          <w:szCs w:val="20"/>
        </w:rPr>
        <w:t xml:space="preserve">utilizó para realizar el cálculo </w:t>
      </w:r>
      <w:r w:rsidR="00EB0314">
        <w:rPr>
          <w:rFonts w:ascii="Museo Sans 300" w:eastAsia="Arial" w:hAnsi="Museo Sans 300"/>
          <w:sz w:val="20"/>
          <w:szCs w:val="20"/>
        </w:rPr>
        <w:t>los</w:t>
      </w:r>
      <w:r w:rsidR="00A81787">
        <w:rPr>
          <w:rFonts w:ascii="Museo Sans 300" w:eastAsia="Arial" w:hAnsi="Museo Sans 300"/>
          <w:sz w:val="20"/>
          <w:szCs w:val="20"/>
        </w:rPr>
        <w:t xml:space="preserve"> factores</w:t>
      </w:r>
      <w:r w:rsidR="00EB0314">
        <w:rPr>
          <w:rFonts w:ascii="Museo Sans 300" w:eastAsia="Arial" w:hAnsi="Museo Sans 300"/>
          <w:sz w:val="20"/>
          <w:szCs w:val="20"/>
        </w:rPr>
        <w:t xml:space="preserve"> </w:t>
      </w:r>
      <w:r w:rsidR="00EB0314" w:rsidRPr="007D7B04">
        <w:rPr>
          <w:rFonts w:ascii="Museo Sans 300" w:eastAsia="Arial" w:hAnsi="Museo Sans 300"/>
          <w:sz w:val="20"/>
          <w:szCs w:val="20"/>
        </w:rPr>
        <w:t xml:space="preserve">siguientes: </w:t>
      </w:r>
    </w:p>
    <w:p w14:paraId="77FEDF40" w14:textId="54886EB2" w:rsidR="00EB0314" w:rsidRDefault="00EB0314" w:rsidP="00EB0314">
      <w:pPr>
        <w:pStyle w:val="Prrafodelista"/>
        <w:ind w:left="426"/>
        <w:jc w:val="both"/>
        <w:rPr>
          <w:rFonts w:ascii="Museo Sans 300" w:eastAsia="Arial" w:hAnsi="Museo Sans 300"/>
          <w:sz w:val="20"/>
          <w:szCs w:val="20"/>
        </w:rPr>
      </w:pPr>
    </w:p>
    <w:p w14:paraId="135C55DB" w14:textId="6C9AD6D2" w:rsidR="00EB0314" w:rsidRPr="00774D77" w:rsidRDefault="00EB0314" w:rsidP="00EB0314">
      <w:pPr>
        <w:pStyle w:val="Prrafodelista"/>
        <w:numPr>
          <w:ilvl w:val="0"/>
          <w:numId w:val="11"/>
        </w:numPr>
        <w:tabs>
          <w:tab w:val="clear" w:pos="720"/>
          <w:tab w:val="num" w:pos="993"/>
        </w:tabs>
        <w:suppressAutoHyphens/>
        <w:autoSpaceDN w:val="0"/>
        <w:ind w:left="993"/>
        <w:jc w:val="both"/>
        <w:textAlignment w:val="baseline"/>
        <w:rPr>
          <w:rFonts w:ascii="Museo Sans 300" w:hAnsi="Museo Sans 300" w:cs="Segoe UI"/>
          <w:sz w:val="20"/>
          <w:szCs w:val="20"/>
        </w:rPr>
      </w:pPr>
      <w:r w:rsidRPr="00774D77">
        <w:rPr>
          <w:rStyle w:val="normaltextrun"/>
          <w:rFonts w:ascii="Museo Sans 300" w:hAnsi="Museo Sans 300" w:cs="Segoe UI"/>
          <w:sz w:val="20"/>
          <w:szCs w:val="20"/>
        </w:rPr>
        <w:t xml:space="preserve">El valor de </w:t>
      </w:r>
      <w:r w:rsidR="00CB18A5" w:rsidRPr="00774D77">
        <w:rPr>
          <w:rStyle w:val="normaltextrun"/>
          <w:rFonts w:ascii="Museo Sans 300" w:hAnsi="Museo Sans 300" w:cs="Segoe UI"/>
          <w:sz w:val="20"/>
          <w:szCs w:val="20"/>
        </w:rPr>
        <w:t xml:space="preserve">corriente instantánea </w:t>
      </w:r>
      <w:r w:rsidR="004D6CEC">
        <w:rPr>
          <w:rStyle w:val="normaltextrun"/>
          <w:rFonts w:ascii="Museo Sans 300" w:hAnsi="Museo Sans 300" w:cs="Segoe UI"/>
          <w:sz w:val="20"/>
          <w:szCs w:val="20"/>
        </w:rPr>
        <w:t>obtenid</w:t>
      </w:r>
      <w:r w:rsidR="00BF189C">
        <w:rPr>
          <w:rStyle w:val="normaltextrun"/>
          <w:rFonts w:ascii="Museo Sans 300" w:hAnsi="Museo Sans 300" w:cs="Segoe UI"/>
          <w:sz w:val="20"/>
          <w:szCs w:val="20"/>
        </w:rPr>
        <w:t>o</w:t>
      </w:r>
      <w:r w:rsidR="00CB18A5" w:rsidRPr="00774D77">
        <w:rPr>
          <w:rStyle w:val="normaltextrun"/>
          <w:rFonts w:ascii="Museo Sans 300" w:hAnsi="Museo Sans 300" w:cs="Segoe UI"/>
          <w:sz w:val="20"/>
          <w:szCs w:val="20"/>
        </w:rPr>
        <w:t xml:space="preserve"> por la distribuidora equivalente a 16.77 amperios.</w:t>
      </w:r>
    </w:p>
    <w:p w14:paraId="062AB238" w14:textId="63090624" w:rsidR="00EB0314" w:rsidRPr="00774D77" w:rsidRDefault="00CB18A5" w:rsidP="00EB0314">
      <w:pPr>
        <w:pStyle w:val="Prrafodelista"/>
        <w:numPr>
          <w:ilvl w:val="0"/>
          <w:numId w:val="11"/>
        </w:numPr>
        <w:tabs>
          <w:tab w:val="clear" w:pos="720"/>
          <w:tab w:val="num" w:pos="993"/>
        </w:tabs>
        <w:suppressAutoHyphens/>
        <w:autoSpaceDN w:val="0"/>
        <w:ind w:left="993"/>
        <w:jc w:val="both"/>
        <w:textAlignment w:val="baseline"/>
        <w:rPr>
          <w:rFonts w:ascii="Museo Sans 300" w:hAnsi="Museo Sans 300" w:cs="Segoe UI"/>
          <w:sz w:val="20"/>
          <w:szCs w:val="20"/>
        </w:rPr>
      </w:pPr>
      <w:r w:rsidRPr="00774D77">
        <w:rPr>
          <w:rStyle w:val="normaltextrun"/>
          <w:rFonts w:ascii="Museo Sans 300" w:hAnsi="Museo Sans 300" w:cs="Segoe UI"/>
          <w:sz w:val="20"/>
          <w:szCs w:val="20"/>
        </w:rPr>
        <w:t>Las horas uso de los equipos eléctricos con un ciclo de funcionamiento de 10 horas al día.</w:t>
      </w:r>
      <w:r w:rsidR="00EB0314" w:rsidRPr="00774D77">
        <w:rPr>
          <w:rStyle w:val="eop"/>
          <w:rFonts w:ascii="Museo Sans 300" w:hAnsi="Museo Sans 300" w:cs="Segoe UI"/>
          <w:sz w:val="20"/>
          <w:szCs w:val="20"/>
        </w:rPr>
        <w:t> </w:t>
      </w:r>
    </w:p>
    <w:p w14:paraId="2F03D142" w14:textId="55FEB7DA" w:rsidR="00EB0314" w:rsidRPr="00774D77" w:rsidRDefault="00EB0314" w:rsidP="00EB0314">
      <w:pPr>
        <w:pStyle w:val="Prrafodelista"/>
        <w:numPr>
          <w:ilvl w:val="0"/>
          <w:numId w:val="11"/>
        </w:numPr>
        <w:tabs>
          <w:tab w:val="clear" w:pos="720"/>
          <w:tab w:val="num" w:pos="993"/>
        </w:tabs>
        <w:suppressAutoHyphens/>
        <w:autoSpaceDN w:val="0"/>
        <w:ind w:left="993"/>
        <w:jc w:val="both"/>
        <w:textAlignment w:val="baseline"/>
        <w:rPr>
          <w:rFonts w:ascii="Museo Sans 300" w:hAnsi="Museo Sans 300" w:cs="Segoe UI"/>
          <w:sz w:val="20"/>
          <w:szCs w:val="20"/>
        </w:rPr>
      </w:pPr>
      <w:r w:rsidRPr="00774D77">
        <w:rPr>
          <w:rStyle w:val="normaltextrun"/>
          <w:rFonts w:ascii="Museo Sans 300" w:hAnsi="Museo Sans 300" w:cs="Segoe UI"/>
          <w:sz w:val="20"/>
          <w:szCs w:val="20"/>
        </w:rPr>
        <w:t>El período de recuperación de energía consumida y no facturada comprendido del </w:t>
      </w:r>
      <w:r w:rsidR="00CB18A5" w:rsidRPr="00774D77">
        <w:rPr>
          <w:rStyle w:val="normaltextrun"/>
          <w:rFonts w:ascii="Museo Sans 300" w:hAnsi="Museo Sans 300" w:cs="Segoe UI"/>
          <w:sz w:val="20"/>
          <w:szCs w:val="20"/>
        </w:rPr>
        <w:t>doce de julio</w:t>
      </w:r>
      <w:r w:rsidRPr="00774D77">
        <w:rPr>
          <w:rStyle w:val="normaltextrun"/>
          <w:rFonts w:ascii="Museo Sans 300" w:hAnsi="Museo Sans 300" w:cs="Segoe UI"/>
          <w:sz w:val="20"/>
          <w:szCs w:val="20"/>
        </w:rPr>
        <w:t> al </w:t>
      </w:r>
      <w:r w:rsidR="00CB18A5" w:rsidRPr="00774D77">
        <w:rPr>
          <w:rStyle w:val="normaltextrun"/>
          <w:rFonts w:ascii="Museo Sans 300" w:hAnsi="Museo Sans 300" w:cs="Segoe UI"/>
          <w:sz w:val="20"/>
          <w:szCs w:val="20"/>
        </w:rPr>
        <w:t>veintiocho</w:t>
      </w:r>
      <w:r w:rsidRPr="00774D77">
        <w:rPr>
          <w:rStyle w:val="normaltextrun"/>
          <w:rFonts w:ascii="Museo Sans 300" w:hAnsi="Museo Sans 300" w:cs="Segoe UI"/>
          <w:sz w:val="20"/>
          <w:szCs w:val="20"/>
        </w:rPr>
        <w:t xml:space="preserve"> de septiembre de dos mil </w:t>
      </w:r>
      <w:r w:rsidR="00CB18A5" w:rsidRPr="00774D77">
        <w:rPr>
          <w:rStyle w:val="normaltextrun"/>
          <w:rFonts w:ascii="Museo Sans 300" w:hAnsi="Museo Sans 300" w:cs="Segoe UI"/>
          <w:sz w:val="20"/>
          <w:szCs w:val="20"/>
        </w:rPr>
        <w:t>dieciocho</w:t>
      </w:r>
      <w:r w:rsidRPr="00774D77">
        <w:rPr>
          <w:rStyle w:val="normaltextrun"/>
          <w:rFonts w:ascii="Museo Sans 300" w:hAnsi="Museo Sans 300" w:cs="Segoe UI"/>
          <w:sz w:val="20"/>
          <w:szCs w:val="20"/>
        </w:rPr>
        <w:t>. </w:t>
      </w:r>
      <w:r w:rsidRPr="00774D77">
        <w:rPr>
          <w:rStyle w:val="eop"/>
          <w:rFonts w:ascii="Museo Sans 300" w:hAnsi="Museo Sans 300" w:cs="Segoe UI"/>
          <w:sz w:val="20"/>
          <w:szCs w:val="20"/>
        </w:rPr>
        <w:t> </w:t>
      </w:r>
    </w:p>
    <w:p w14:paraId="73A1EF41" w14:textId="29238851" w:rsidR="00CB18A5" w:rsidRDefault="00EB0314" w:rsidP="00774D77">
      <w:pPr>
        <w:pStyle w:val="paragraph"/>
        <w:spacing w:before="0" w:beforeAutospacing="0" w:after="0" w:afterAutospacing="0"/>
        <w:ind w:left="420"/>
        <w:jc w:val="both"/>
        <w:textAlignment w:val="baseline"/>
        <w:rPr>
          <w:rStyle w:val="normaltextrun"/>
          <w:rFonts w:ascii="Museo 300" w:hAnsi="Museo 300" w:cs="Segoe UI"/>
          <w:sz w:val="16"/>
          <w:szCs w:val="16"/>
        </w:rPr>
      </w:pPr>
      <w:r>
        <w:rPr>
          <w:rStyle w:val="eop"/>
          <w:rFonts w:ascii="Segoe UI" w:hAnsi="Segoe UI" w:cs="Segoe UI"/>
          <w:sz w:val="20"/>
          <w:szCs w:val="20"/>
        </w:rPr>
        <w:t> </w:t>
      </w:r>
    </w:p>
    <w:p w14:paraId="566C28CB" w14:textId="271DE32C" w:rsidR="00774D77" w:rsidRDefault="00C42890" w:rsidP="00774D77">
      <w:pPr>
        <w:pStyle w:val="Prrafodelista"/>
        <w:ind w:left="426"/>
        <w:jc w:val="both"/>
        <w:rPr>
          <w:rFonts w:ascii="Museo Sans 300" w:eastAsia="Segoe UI" w:hAnsi="Museo Sans 300" w:cs="Segoe UI"/>
          <w:sz w:val="20"/>
          <w:szCs w:val="20"/>
        </w:rPr>
      </w:pPr>
      <w:r>
        <w:rPr>
          <w:rFonts w:ascii="Museo Sans 300" w:hAnsi="Museo Sans 300" w:cs="Arial"/>
          <w:color w:val="000000" w:themeColor="text1"/>
          <w:sz w:val="20"/>
          <w:szCs w:val="20"/>
        </w:rPr>
        <w:t xml:space="preserve">Con base a lo anterior, el CAU determinó que la distribuidora puede cobrar la cantidad </w:t>
      </w:r>
      <w:r w:rsidR="00B120BC">
        <w:rPr>
          <w:rFonts w:ascii="Museo Sans 300" w:hAnsi="Museo Sans 300" w:cs="Arial"/>
          <w:color w:val="000000" w:themeColor="text1"/>
          <w:sz w:val="20"/>
          <w:szCs w:val="20"/>
        </w:rPr>
        <w:t xml:space="preserve">de </w:t>
      </w:r>
      <w:r w:rsidR="00B120BC" w:rsidRPr="00774D77">
        <w:rPr>
          <w:rFonts w:ascii="Museo Sans 300" w:hAnsi="Museo Sans 300" w:cs="Arial"/>
          <w:color w:val="000000" w:themeColor="text1"/>
          <w:sz w:val="20"/>
          <w:szCs w:val="20"/>
        </w:rPr>
        <w:t>SEISCIENTOS</w:t>
      </w:r>
      <w:r w:rsidRPr="00774D77">
        <w:rPr>
          <w:rFonts w:ascii="Museo Sans 300" w:hAnsi="Museo Sans 300" w:cs="Arial"/>
          <w:color w:val="000000" w:themeColor="text1"/>
          <w:sz w:val="20"/>
          <w:szCs w:val="20"/>
        </w:rPr>
        <w:t xml:space="preserve"> TREINTA Y SIETE 33</w:t>
      </w:r>
      <w:r w:rsidRPr="00774D77">
        <w:rPr>
          <w:rFonts w:ascii="Museo Sans 300" w:hAnsi="Museo Sans 300" w:cs="Arial"/>
          <w:sz w:val="20"/>
          <w:szCs w:val="20"/>
        </w:rPr>
        <w:t xml:space="preserve">/100 DÓLARES DE LOS ESTADOS UNIDOS DE AMÉRICA </w:t>
      </w:r>
      <w:r w:rsidR="00CB18A5" w:rsidRPr="00774D77">
        <w:rPr>
          <w:rFonts w:ascii="Museo Sans 300" w:hAnsi="Museo Sans 300" w:cs="Arial"/>
          <w:sz w:val="20"/>
          <w:szCs w:val="20"/>
        </w:rPr>
        <w:t>(USD 637.33)</w:t>
      </w:r>
      <w:r w:rsidR="00CB18A5" w:rsidRPr="00774D77">
        <w:rPr>
          <w:rFonts w:ascii="Museo Sans 300" w:hAnsi="Museo Sans 300" w:cs="Arial"/>
          <w:b/>
          <w:color w:val="000000" w:themeColor="text1"/>
          <w:sz w:val="20"/>
          <w:szCs w:val="20"/>
        </w:rPr>
        <w:t xml:space="preserve"> </w:t>
      </w:r>
      <w:r w:rsidR="00CB18A5" w:rsidRPr="00774D77">
        <w:rPr>
          <w:rFonts w:ascii="Museo Sans 300" w:hAnsi="Museo Sans 300" w:cs="Arial"/>
          <w:color w:val="000000" w:themeColor="text1"/>
          <w:sz w:val="20"/>
          <w:szCs w:val="20"/>
        </w:rPr>
        <w:t>IVA incluido</w:t>
      </w:r>
      <w:r w:rsidR="00774D77">
        <w:rPr>
          <w:rFonts w:ascii="Museo Sans 300" w:hAnsi="Museo Sans 300" w:cs="Arial"/>
          <w:color w:val="000000" w:themeColor="text1"/>
          <w:sz w:val="20"/>
          <w:szCs w:val="20"/>
        </w:rPr>
        <w:t xml:space="preserve">, </w:t>
      </w:r>
      <w:r w:rsidR="00774D77" w:rsidRPr="00506FFE">
        <w:rPr>
          <w:rFonts w:ascii="Museo Sans 300" w:eastAsia="Segoe UI" w:hAnsi="Museo Sans 300" w:cs="Segoe UI"/>
          <w:sz w:val="20"/>
          <w:szCs w:val="20"/>
        </w:rPr>
        <w:t>más los intereses correspondientes en aplicación al artículo 36 de los Términos y Condiciones Generales al Co</w:t>
      </w:r>
      <w:r w:rsidR="00436801">
        <w:rPr>
          <w:rFonts w:ascii="Museo Sans 300" w:eastAsia="Segoe UI" w:hAnsi="Museo Sans 300" w:cs="Segoe UI"/>
          <w:sz w:val="20"/>
          <w:szCs w:val="20"/>
        </w:rPr>
        <w:t>nsumidor Final, para el año 2018</w:t>
      </w:r>
      <w:r w:rsidR="00774D77" w:rsidRPr="00506FFE">
        <w:rPr>
          <w:rFonts w:ascii="Museo Sans 300" w:eastAsia="Segoe UI" w:hAnsi="Museo Sans 300" w:cs="Segoe UI"/>
          <w:sz w:val="20"/>
          <w:szCs w:val="20"/>
        </w:rPr>
        <w:t>.</w:t>
      </w:r>
    </w:p>
    <w:p w14:paraId="5C4D8CDB" w14:textId="77777777" w:rsidR="00C42890" w:rsidRPr="00774D77" w:rsidRDefault="00C42890" w:rsidP="00774D77">
      <w:pPr>
        <w:pStyle w:val="Prrafodelista"/>
        <w:ind w:left="426"/>
        <w:jc w:val="both"/>
        <w:rPr>
          <w:rFonts w:ascii="Museo Sans 300"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lastRenderedPageBreak/>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2D433877" w:rsidR="0094259C" w:rsidRPr="0043680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D3D788A" w14:textId="77777777" w:rsidR="00436801" w:rsidRDefault="00436801" w:rsidP="00436801">
      <w:pPr>
        <w:pStyle w:val="Prrafodelista"/>
        <w:rPr>
          <w:rFonts w:ascii="Museo Sans 300" w:eastAsia="Museo Sans 300" w:hAnsi="Museo Sans 300" w:cs="Museo Sans 300"/>
          <w:color w:val="333333"/>
          <w:sz w:val="20"/>
          <w:szCs w:val="20"/>
        </w:rPr>
      </w:pP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24BE6CF3" w14:textId="113B9FDF" w:rsidR="00436801" w:rsidRDefault="00436801" w:rsidP="00436801">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7543C">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6148D861" w14:textId="77777777" w:rsidR="00436801" w:rsidRDefault="00436801" w:rsidP="00436801">
      <w:pPr>
        <w:pStyle w:val="Prrafodelista"/>
        <w:rPr>
          <w:rFonts w:ascii="Museo Sans 300" w:eastAsia="Museo Sans 300" w:hAnsi="Museo Sans 300" w:cs="Museo Sans 300"/>
          <w:sz w:val="20"/>
          <w:szCs w:val="20"/>
        </w:rPr>
      </w:pPr>
    </w:p>
    <w:p w14:paraId="383A4092" w14:textId="4F98150C" w:rsidR="00436801" w:rsidRDefault="00436801" w:rsidP="00436801">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86C4374" w14:textId="77777777" w:rsidR="00436801" w:rsidRDefault="00436801" w:rsidP="00436801">
      <w:pPr>
        <w:spacing w:after="0" w:line="240" w:lineRule="auto"/>
        <w:ind w:left="426"/>
        <w:jc w:val="both"/>
        <w:rPr>
          <w:rFonts w:ascii="Museo Sans 300" w:eastAsia="Museo Sans 300" w:hAnsi="Museo Sans 300" w:cs="Museo Sans 300"/>
          <w:sz w:val="20"/>
          <w:szCs w:val="20"/>
        </w:rPr>
      </w:pPr>
    </w:p>
    <w:p w14:paraId="36E200A9" w14:textId="65AB9096"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436801">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201</w:t>
      </w:r>
      <w:r w:rsidR="00436801">
        <w:rPr>
          <w:rFonts w:ascii="Museo Sans 300" w:hAnsi="Museo Sans 300"/>
          <w:color w:val="000000"/>
          <w:sz w:val="20"/>
          <w:szCs w:val="20"/>
          <w:shd w:val="clear" w:color="auto" w:fill="FFFFFF"/>
        </w:rPr>
        <w:t>8</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78220CC2"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D506F34" w14:textId="77777777" w:rsidR="00A7543C" w:rsidRDefault="00A7543C" w:rsidP="009F4890">
      <w:pPr>
        <w:spacing w:after="0" w:line="240" w:lineRule="auto"/>
        <w:ind w:left="426"/>
        <w:jc w:val="both"/>
        <w:rPr>
          <w:rFonts w:ascii="Museo Sans 300" w:hAnsi="Museo Sans 300"/>
          <w:color w:val="000000"/>
          <w:sz w:val="20"/>
          <w:szCs w:val="20"/>
          <w:shd w:val="clear" w:color="auto" w:fill="FFFFFF"/>
        </w:rPr>
      </w:pP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5135C117" w14:textId="35F88632" w:rsidR="008301FE" w:rsidRDefault="008301FE" w:rsidP="008301FE">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eastAsia="Calibri" w:hAnsi="Museo Sans 300" w:cs="Segoe UI"/>
          <w:sz w:val="20"/>
          <w:szCs w:val="20"/>
          <w:lang w:eastAsia="es-MX"/>
        </w:rPr>
        <w:t>el informe técnico N.° IT-</w:t>
      </w:r>
      <w:r>
        <w:rPr>
          <w:rFonts w:ascii="Museo Sans 300" w:eastAsia="Calibri" w:hAnsi="Museo Sans 300" w:cs="Segoe UI"/>
          <w:sz w:val="20"/>
          <w:szCs w:val="20"/>
          <w:lang w:eastAsia="es-MX"/>
        </w:rPr>
        <w:t>330</w:t>
      </w:r>
      <w:r w:rsidRPr="008301FE">
        <w:rPr>
          <w:rFonts w:ascii="Museo Sans 300" w:eastAsia="Calibri" w:hAnsi="Museo Sans 300" w:cs="Segoe UI"/>
          <w:sz w:val="20"/>
          <w:szCs w:val="20"/>
          <w:lang w:eastAsia="es-MX"/>
        </w:rPr>
        <w:t>-</w:t>
      </w:r>
      <w:r w:rsidR="00A7543C">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w:t>
      </w:r>
      <w:r w:rsidRPr="008301FE">
        <w:rPr>
          <w:rFonts w:ascii="Museo Sans 300" w:eastAsia="Calibri" w:hAnsi="Museo Sans 300" w:cs="Segoe UI"/>
          <w:sz w:val="20"/>
          <w:szCs w:val="20"/>
          <w:lang w:eastAsia="es-MX"/>
        </w:rPr>
        <w:t>CAU</w:t>
      </w:r>
      <w:r w:rsidRPr="008301FE">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A7543C">
        <w:rPr>
          <w:rFonts w:ascii="Museo Sans 300" w:eastAsia="Times New Roman" w:hAnsi="Museo Sans 300"/>
          <w:sz w:val="20"/>
          <w:szCs w:val="20"/>
          <w:lang w:eastAsia="es-ES"/>
        </w:rPr>
        <w:t>+++</w:t>
      </w:r>
      <w:r w:rsidRPr="008301FE">
        <w:rPr>
          <w:rFonts w:ascii="Museo Sans 300" w:hAnsi="Museo Sans 300"/>
          <w:sz w:val="20"/>
          <w:szCs w:val="20"/>
        </w:rPr>
        <w:t xml:space="preserve"> se comprobó la condición irregular consistente en la conexión de una línea directa en la acometida de la distribuidora, por lo que la distribuidora tiene el derecho a recuperar la cantidad de </w:t>
      </w:r>
      <w:r>
        <w:rPr>
          <w:rFonts w:ascii="Museo Sans 300" w:hAnsi="Museo Sans 300"/>
          <w:sz w:val="20"/>
          <w:szCs w:val="20"/>
        </w:rPr>
        <w:t>SEISCIENTOS TREINTA Y SIETE 33</w:t>
      </w:r>
      <w:r w:rsidRPr="008301FE">
        <w:rPr>
          <w:rFonts w:ascii="Museo Sans 300" w:hAnsi="Museo Sans 300"/>
          <w:sz w:val="20"/>
          <w:szCs w:val="20"/>
        </w:rPr>
        <w:t xml:space="preserve">/100 DÓLARES DE LOS ESTADOS </w:t>
      </w:r>
      <w:r>
        <w:rPr>
          <w:rFonts w:ascii="Museo Sans 300" w:hAnsi="Museo Sans 300"/>
          <w:sz w:val="20"/>
          <w:szCs w:val="20"/>
        </w:rPr>
        <w:t>UNIDOS DE AMÉRICA (USD 637.33</w:t>
      </w:r>
      <w:r w:rsidRPr="008301FE">
        <w:rPr>
          <w:rFonts w:ascii="Museo Sans 300" w:hAnsi="Museo Sans 300"/>
          <w:sz w:val="20"/>
          <w:szCs w:val="20"/>
        </w:rPr>
        <w:t xml:space="preserve">) IVA </w:t>
      </w:r>
      <w:r w:rsidRPr="008301FE">
        <w:rPr>
          <w:rFonts w:ascii="Museo Sans 300" w:hAnsi="Museo Sans 300"/>
          <w:sz w:val="20"/>
          <w:szCs w:val="20"/>
          <w:lang w:eastAsia="es-ES"/>
        </w:rPr>
        <w:t>incluido</w:t>
      </w:r>
      <w:r w:rsidRPr="008301FE">
        <w:rPr>
          <w:rFonts w:ascii="Museo Sans 300" w:hAnsi="Museo Sans 300"/>
          <w:sz w:val="20"/>
          <w:szCs w:val="20"/>
        </w:rPr>
        <w:t>, en concepto de energía no registrada, más los intereses correspondientes de conformidad con lo establecido en el artículo</w:t>
      </w:r>
      <w:r w:rsidRPr="008301FE">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2018</w:t>
      </w:r>
      <w:r w:rsidRPr="008301FE">
        <w:rPr>
          <w:rFonts w:ascii="Museo Sans 300" w:hAnsi="Museo Sans 300"/>
          <w:sz w:val="20"/>
          <w:szCs w:val="20"/>
        </w:rPr>
        <w:t>.</w:t>
      </w:r>
    </w:p>
    <w:p w14:paraId="10C5CB18" w14:textId="77777777" w:rsidR="008301FE" w:rsidRPr="008301FE" w:rsidRDefault="008301FE"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91AA25B"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8301FE">
        <w:rPr>
          <w:rFonts w:ascii="Museo Sans 300" w:eastAsia="Calibri" w:hAnsi="Museo Sans 300"/>
          <w:sz w:val="20"/>
          <w:szCs w:val="20"/>
        </w:rPr>
        <w:t>330</w:t>
      </w:r>
      <w:r w:rsidR="00801185">
        <w:rPr>
          <w:rFonts w:ascii="Museo Sans 300" w:eastAsia="Calibri" w:hAnsi="Museo Sans 300" w:cs="Segoe UI"/>
          <w:sz w:val="20"/>
          <w:szCs w:val="20"/>
          <w:lang w:eastAsia="es-MX"/>
        </w:rPr>
        <w:t>-</w:t>
      </w:r>
      <w:r w:rsidR="00A7543C">
        <w:rPr>
          <w:rFonts w:ascii="Museo Sans 300" w:eastAsia="Calibri" w:hAnsi="Museo Sans 300" w:cs="Segoe UI"/>
          <w:sz w:val="20"/>
          <w:szCs w:val="20"/>
          <w:lang w:eastAsia="es-MX"/>
        </w:rPr>
        <w:t>+++</w:t>
      </w:r>
      <w:r w:rsidR="0046435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4F4DB06" w14:textId="59C6CB0E" w:rsidR="008301FE" w:rsidRDefault="008301FE" w:rsidP="008301FE">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A7543C">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instalación de una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2E5A7D8F" w14:textId="77777777" w:rsidR="008301FE" w:rsidRPr="00981A2A" w:rsidRDefault="008301FE" w:rsidP="008301FE">
      <w:pPr>
        <w:spacing w:after="0" w:line="240" w:lineRule="auto"/>
        <w:ind w:left="360"/>
        <w:jc w:val="both"/>
        <w:rPr>
          <w:rFonts w:ascii="Museo Sans 300" w:hAnsi="Museo Sans 300"/>
          <w:sz w:val="20"/>
          <w:szCs w:val="20"/>
          <w:lang w:val="es-ES" w:eastAsia="es-ES"/>
        </w:rPr>
      </w:pPr>
    </w:p>
    <w:p w14:paraId="38E0BA3B" w14:textId="238700F5" w:rsidR="00C422E8" w:rsidRDefault="00C422E8" w:rsidP="00C422E8">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Pr>
          <w:rFonts w:ascii="Museo Sans 300" w:hAnsi="Museo Sans 300"/>
          <w:sz w:val="20"/>
          <w:szCs w:val="20"/>
        </w:rPr>
        <w:t>SEISCIENTOS TREINTA Y SISTE 33/100 DÓLARES DE LOS ESTADOS UNIDOS DE AMÉRICA (USD 637.33)</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2018</w:t>
      </w:r>
      <w:r w:rsidRPr="002D5F7D">
        <w:rPr>
          <w:rFonts w:ascii="Museo Sans 300" w:hAnsi="Museo Sans 300"/>
          <w:sz w:val="20"/>
          <w:szCs w:val="20"/>
        </w:rPr>
        <w:t>.</w:t>
      </w:r>
    </w:p>
    <w:p w14:paraId="2CFA87D8" w14:textId="77777777" w:rsidR="00C422E8" w:rsidRDefault="00C422E8" w:rsidP="00C422E8">
      <w:pPr>
        <w:pStyle w:val="Prrafodelista"/>
        <w:rPr>
          <w:rFonts w:ascii="Museo Sans 300" w:hAnsi="Museo Sans 300"/>
          <w:sz w:val="20"/>
          <w:szCs w:val="20"/>
          <w:lang w:eastAsia="es-SV"/>
        </w:rPr>
      </w:pPr>
    </w:p>
    <w:p w14:paraId="4A6B871D" w14:textId="52AD8537" w:rsidR="008301FE" w:rsidRPr="008301FE" w:rsidRDefault="008301FE" w:rsidP="008301FE">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C422E8">
        <w:rPr>
          <w:rFonts w:ascii="Museo Sans 300" w:eastAsia="Times New Roman" w:hAnsi="Museo Sans 300" w:cs="Segoe UI"/>
          <w:sz w:val="20"/>
          <w:szCs w:val="20"/>
          <w:lang w:eastAsia="es-SV"/>
        </w:rPr>
        <w:t>n el informe técnico N.° IT-330</w:t>
      </w:r>
      <w:r w:rsidRPr="008301FE">
        <w:rPr>
          <w:rFonts w:ascii="Museo Sans 300" w:eastAsia="Times New Roman" w:hAnsi="Museo Sans 300" w:cs="Segoe UI"/>
          <w:sz w:val="20"/>
          <w:szCs w:val="20"/>
          <w:lang w:eastAsia="es-SV"/>
        </w:rPr>
        <w:t>-</w:t>
      </w:r>
      <w:r w:rsidR="00A7543C">
        <w:rPr>
          <w:rFonts w:ascii="Museo Sans 300" w:eastAsia="Times New Roman" w:hAnsi="Museo Sans 300" w:cs="Segoe UI"/>
          <w:sz w:val="20"/>
          <w:szCs w:val="20"/>
          <w:lang w:eastAsia="es-SV"/>
        </w:rPr>
        <w:t>+++</w:t>
      </w:r>
      <w:r w:rsidRPr="008301FE">
        <w:rPr>
          <w:rFonts w:ascii="Museo Sans 300" w:eastAsia="Times New Roman" w:hAnsi="Museo Sans 300" w:cs="Segoe UI"/>
          <w:sz w:val="20"/>
          <w:szCs w:val="20"/>
          <w:lang w:eastAsia="es-SV"/>
        </w:rPr>
        <w:t>-CAU rendido por el CAU de la SIGET. </w:t>
      </w:r>
    </w:p>
    <w:p w14:paraId="40F515E1" w14:textId="77777777" w:rsidR="008301FE" w:rsidRPr="00B8570E" w:rsidRDefault="008301FE" w:rsidP="008301FE">
      <w:pPr>
        <w:spacing w:after="0" w:line="240" w:lineRule="auto"/>
        <w:ind w:left="360"/>
        <w:jc w:val="both"/>
        <w:rPr>
          <w:rFonts w:ascii="Museo Sans 300" w:eastAsia="Times New Roman" w:hAnsi="Museo Sans 300" w:cs="Segoe UI"/>
          <w:sz w:val="20"/>
          <w:szCs w:val="20"/>
          <w:lang w:eastAsia="es-SV"/>
        </w:rPr>
      </w:pPr>
    </w:p>
    <w:p w14:paraId="37D61BD0" w14:textId="522A036B" w:rsidR="00F22562" w:rsidRPr="00F22562" w:rsidRDefault="009A69A9" w:rsidP="00F22562">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F4890">
        <w:rPr>
          <w:rFonts w:ascii="Museo Sans 300" w:hAnsi="Museo Sans 300"/>
          <w:sz w:val="20"/>
          <w:szCs w:val="20"/>
          <w:lang w:eastAsia="es-SV"/>
        </w:rPr>
        <w:t>ar este acuerdo al señ</w:t>
      </w:r>
      <w:r w:rsidR="00C422E8">
        <w:rPr>
          <w:rFonts w:ascii="Museo Sans 300" w:hAnsi="Museo Sans 300"/>
          <w:sz w:val="20"/>
          <w:szCs w:val="20"/>
          <w:lang w:eastAsia="es-SV"/>
        </w:rPr>
        <w:t xml:space="preserve">or </w:t>
      </w:r>
      <w:r w:rsidR="00A7543C">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B6021E">
        <w:rPr>
          <w:rFonts w:ascii="Museo Sans 300" w:hAnsi="Museo Sans 300"/>
          <w:sz w:val="20"/>
          <w:szCs w:val="20"/>
          <w:lang w:eastAsia="es-SV"/>
        </w:rPr>
        <w:t>EEO, S.A. de C.V.</w:t>
      </w:r>
      <w:r w:rsidR="00F22562">
        <w:rPr>
          <w:rFonts w:ascii="Museo Sans 300" w:hAnsi="Museo Sans 300"/>
          <w:sz w:val="20"/>
          <w:szCs w:val="20"/>
          <w:lang w:eastAsia="es-SV"/>
        </w:rPr>
        <w:t xml:space="preserve"> </w:t>
      </w:r>
      <w:r w:rsidR="00F22562" w:rsidRPr="00F22562">
        <w:rPr>
          <w:rFonts w:ascii="Museo Sans 300" w:hAnsi="Museo Sans 300"/>
          <w:sz w:val="20"/>
          <w:szCs w:val="20"/>
          <w:lang w:eastAsia="es-SV"/>
        </w:rPr>
        <w:t xml:space="preserve">debiendo adjuntar copia del </w:t>
      </w:r>
      <w:r w:rsidR="00F22562">
        <w:rPr>
          <w:rFonts w:ascii="Museo Sans 300" w:hAnsi="Museo Sans 300"/>
          <w:sz w:val="20"/>
          <w:szCs w:val="20"/>
          <w:lang w:eastAsia="es-SV"/>
        </w:rPr>
        <w:t>informe técnico N.° IT-330</w:t>
      </w:r>
      <w:r w:rsidR="00F22562" w:rsidRPr="00F22562">
        <w:rPr>
          <w:rFonts w:ascii="Museo Sans 300" w:hAnsi="Museo Sans 300"/>
          <w:sz w:val="20"/>
          <w:szCs w:val="20"/>
          <w:lang w:eastAsia="es-SV"/>
        </w:rPr>
        <w:t>-</w:t>
      </w:r>
      <w:r w:rsidR="00A7543C">
        <w:rPr>
          <w:rFonts w:ascii="Museo Sans 300" w:hAnsi="Museo Sans 300"/>
          <w:sz w:val="20"/>
          <w:szCs w:val="20"/>
          <w:lang w:eastAsia="es-SV"/>
        </w:rPr>
        <w:t>+++</w:t>
      </w:r>
      <w:r w:rsidR="00F22562" w:rsidRPr="00F22562">
        <w:rPr>
          <w:rFonts w:ascii="Museo Sans 300" w:hAnsi="Museo Sans 300"/>
          <w:sz w:val="20"/>
          <w:szCs w:val="20"/>
          <w:lang w:eastAsia="es-SV"/>
        </w:rPr>
        <w:t>-CAU, rendido por el CAU.</w:t>
      </w:r>
    </w:p>
    <w:p w14:paraId="39D7E5FA" w14:textId="7CADDA7F" w:rsidR="00052CF9" w:rsidRPr="00F85A5A" w:rsidRDefault="00052CF9" w:rsidP="00F22562">
      <w:pPr>
        <w:spacing w:after="0" w:line="240" w:lineRule="auto"/>
        <w:ind w:left="360"/>
        <w:jc w:val="both"/>
        <w:rPr>
          <w:rFonts w:ascii="Museo Sans 300" w:hAnsi="Museo Sans 300"/>
          <w:sz w:val="20"/>
          <w:szCs w:val="20"/>
          <w:lang w:eastAsia="es-SV"/>
        </w:rPr>
      </w:pP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6BD18F9B" w14:textId="77777777" w:rsidR="00F35AAC" w:rsidRDefault="00F35AAC" w:rsidP="00F35AAC">
      <w:pPr>
        <w:rPr>
          <w:rFonts w:ascii="Museo Sans 300" w:hAnsi="Museo Sans 300"/>
          <w:sz w:val="20"/>
          <w:szCs w:val="20"/>
        </w:rPr>
      </w:pPr>
      <w:bookmarkStart w:id="1" w:name="_GoBack"/>
      <w:bookmarkEnd w:id="1"/>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56B6C" w14:textId="77777777" w:rsidR="0044782C" w:rsidRDefault="0044782C">
      <w:pPr>
        <w:spacing w:after="0" w:line="240" w:lineRule="auto"/>
      </w:pPr>
      <w:r>
        <w:separator/>
      </w:r>
    </w:p>
  </w:endnote>
  <w:endnote w:type="continuationSeparator" w:id="0">
    <w:p w14:paraId="186C7F74" w14:textId="77777777" w:rsidR="0044782C" w:rsidRDefault="0044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59AA1855"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A7543C" w:rsidRPr="00A7543C">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A7543C" w:rsidRPr="00A7543C">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p>
  <w:p w14:paraId="11E889F9" w14:textId="5FA1FA4B"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72A4F369"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C0AC8" w14:textId="77777777" w:rsidR="0044782C" w:rsidRDefault="0044782C">
      <w:pPr>
        <w:spacing w:after="0" w:line="240" w:lineRule="auto"/>
      </w:pPr>
      <w:r>
        <w:separator/>
      </w:r>
    </w:p>
  </w:footnote>
  <w:footnote w:type="continuationSeparator" w:id="0">
    <w:p w14:paraId="16F0277F" w14:textId="77777777" w:rsidR="0044782C" w:rsidRDefault="00447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8E4"/>
    <w:multiLevelType w:val="multilevel"/>
    <w:tmpl w:val="A6A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E5D0294"/>
    <w:multiLevelType w:val="multilevel"/>
    <w:tmpl w:val="388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E924DAE"/>
    <w:multiLevelType w:val="multilevel"/>
    <w:tmpl w:val="9D6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7A6DDA"/>
    <w:multiLevelType w:val="multilevel"/>
    <w:tmpl w:val="4B2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8"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num>
  <w:num w:numId="5">
    <w:abstractNumId w:val="16"/>
  </w:num>
  <w:num w:numId="6">
    <w:abstractNumId w:val="11"/>
  </w:num>
  <w:num w:numId="7">
    <w:abstractNumId w:val="4"/>
  </w:num>
  <w:num w:numId="8">
    <w:abstractNumId w:val="12"/>
  </w:num>
  <w:num w:numId="9">
    <w:abstractNumId w:val="18"/>
  </w:num>
  <w:num w:numId="10">
    <w:abstractNumId w:val="20"/>
  </w:num>
  <w:num w:numId="11">
    <w:abstractNumId w:val="22"/>
  </w:num>
  <w:num w:numId="12">
    <w:abstractNumId w:val="2"/>
  </w:num>
  <w:num w:numId="13">
    <w:abstractNumId w:val="21"/>
  </w:num>
  <w:num w:numId="14">
    <w:abstractNumId w:val="10"/>
  </w:num>
  <w:num w:numId="15">
    <w:abstractNumId w:val="3"/>
  </w:num>
  <w:num w:numId="16">
    <w:abstractNumId w:val="27"/>
  </w:num>
  <w:num w:numId="17">
    <w:abstractNumId w:val="1"/>
  </w:num>
  <w:num w:numId="18">
    <w:abstractNumId w:val="8"/>
  </w:num>
  <w:num w:numId="19">
    <w:abstractNumId w:val="7"/>
  </w:num>
  <w:num w:numId="20">
    <w:abstractNumId w:val="9"/>
  </w:num>
  <w:num w:numId="21">
    <w:abstractNumId w:val="28"/>
  </w:num>
  <w:num w:numId="22">
    <w:abstractNumId w:val="26"/>
  </w:num>
  <w:num w:numId="23">
    <w:abstractNumId w:val="23"/>
  </w:num>
  <w:num w:numId="24">
    <w:abstractNumId w:val="6"/>
  </w:num>
  <w:num w:numId="25">
    <w:abstractNumId w:val="29"/>
  </w:num>
  <w:num w:numId="26">
    <w:abstractNumId w:val="15"/>
  </w:num>
  <w:num w:numId="27">
    <w:abstractNumId w:val="19"/>
  </w:num>
  <w:num w:numId="28">
    <w:abstractNumId w:val="25"/>
  </w:num>
  <w:num w:numId="29">
    <w:abstractNumId w:val="24"/>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1710"/>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0FD9"/>
    <w:rsid w:val="000C3873"/>
    <w:rsid w:val="000C652F"/>
    <w:rsid w:val="000D034A"/>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0834"/>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0BB"/>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3B15"/>
    <w:rsid w:val="002344F8"/>
    <w:rsid w:val="00234978"/>
    <w:rsid w:val="00242266"/>
    <w:rsid w:val="00244AA6"/>
    <w:rsid w:val="00245A6F"/>
    <w:rsid w:val="002468DF"/>
    <w:rsid w:val="0025106D"/>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6F76"/>
    <w:rsid w:val="00320234"/>
    <w:rsid w:val="003229A9"/>
    <w:rsid w:val="00322BF5"/>
    <w:rsid w:val="00333191"/>
    <w:rsid w:val="00335C51"/>
    <w:rsid w:val="0034001B"/>
    <w:rsid w:val="003416B6"/>
    <w:rsid w:val="003426B0"/>
    <w:rsid w:val="00342D0C"/>
    <w:rsid w:val="0034365A"/>
    <w:rsid w:val="003512DD"/>
    <w:rsid w:val="003514C2"/>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69B6"/>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433"/>
    <w:rsid w:val="00435F3E"/>
    <w:rsid w:val="00436801"/>
    <w:rsid w:val="00444588"/>
    <w:rsid w:val="004463F2"/>
    <w:rsid w:val="004465C3"/>
    <w:rsid w:val="00446EBF"/>
    <w:rsid w:val="0044782C"/>
    <w:rsid w:val="00451298"/>
    <w:rsid w:val="004524BF"/>
    <w:rsid w:val="00453665"/>
    <w:rsid w:val="0045432D"/>
    <w:rsid w:val="00455EE3"/>
    <w:rsid w:val="004568FE"/>
    <w:rsid w:val="00461FA2"/>
    <w:rsid w:val="00462115"/>
    <w:rsid w:val="00464350"/>
    <w:rsid w:val="00465514"/>
    <w:rsid w:val="00466277"/>
    <w:rsid w:val="00470F43"/>
    <w:rsid w:val="00475015"/>
    <w:rsid w:val="00476696"/>
    <w:rsid w:val="00483232"/>
    <w:rsid w:val="004857FF"/>
    <w:rsid w:val="0048592B"/>
    <w:rsid w:val="00487F90"/>
    <w:rsid w:val="00490CC7"/>
    <w:rsid w:val="004969D7"/>
    <w:rsid w:val="004979FE"/>
    <w:rsid w:val="004A27C0"/>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7EBE"/>
    <w:rsid w:val="005009F6"/>
    <w:rsid w:val="00506FFE"/>
    <w:rsid w:val="00511B37"/>
    <w:rsid w:val="00514157"/>
    <w:rsid w:val="00516251"/>
    <w:rsid w:val="00517E7B"/>
    <w:rsid w:val="00523003"/>
    <w:rsid w:val="005273FC"/>
    <w:rsid w:val="00527A6F"/>
    <w:rsid w:val="005322D9"/>
    <w:rsid w:val="00541BD7"/>
    <w:rsid w:val="00545B3F"/>
    <w:rsid w:val="00550400"/>
    <w:rsid w:val="005508DA"/>
    <w:rsid w:val="00550A39"/>
    <w:rsid w:val="00553BE1"/>
    <w:rsid w:val="00554408"/>
    <w:rsid w:val="00555048"/>
    <w:rsid w:val="00556241"/>
    <w:rsid w:val="00557E71"/>
    <w:rsid w:val="00562957"/>
    <w:rsid w:val="005649F0"/>
    <w:rsid w:val="005654F5"/>
    <w:rsid w:val="00567017"/>
    <w:rsid w:val="00572A72"/>
    <w:rsid w:val="00573053"/>
    <w:rsid w:val="00574303"/>
    <w:rsid w:val="005748D1"/>
    <w:rsid w:val="00575016"/>
    <w:rsid w:val="00581738"/>
    <w:rsid w:val="0058376D"/>
    <w:rsid w:val="0058470E"/>
    <w:rsid w:val="00584F20"/>
    <w:rsid w:val="00587A05"/>
    <w:rsid w:val="00587D09"/>
    <w:rsid w:val="00590F33"/>
    <w:rsid w:val="0059701F"/>
    <w:rsid w:val="00597B08"/>
    <w:rsid w:val="005A2760"/>
    <w:rsid w:val="005A3978"/>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2CB0"/>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5569"/>
    <w:rsid w:val="007465B0"/>
    <w:rsid w:val="00747C6F"/>
    <w:rsid w:val="00751BBE"/>
    <w:rsid w:val="00752B73"/>
    <w:rsid w:val="00753F5E"/>
    <w:rsid w:val="00754E7A"/>
    <w:rsid w:val="00756463"/>
    <w:rsid w:val="00761D73"/>
    <w:rsid w:val="00762239"/>
    <w:rsid w:val="00764206"/>
    <w:rsid w:val="007677C1"/>
    <w:rsid w:val="007709BD"/>
    <w:rsid w:val="007721DB"/>
    <w:rsid w:val="00772586"/>
    <w:rsid w:val="00773C67"/>
    <w:rsid w:val="00774D7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30173"/>
    <w:rsid w:val="008301FE"/>
    <w:rsid w:val="00833D76"/>
    <w:rsid w:val="008345A8"/>
    <w:rsid w:val="00841D16"/>
    <w:rsid w:val="008432DD"/>
    <w:rsid w:val="008443CD"/>
    <w:rsid w:val="0084484F"/>
    <w:rsid w:val="008468CE"/>
    <w:rsid w:val="008529FC"/>
    <w:rsid w:val="00852EDB"/>
    <w:rsid w:val="00853618"/>
    <w:rsid w:val="00855B93"/>
    <w:rsid w:val="00860262"/>
    <w:rsid w:val="008645D8"/>
    <w:rsid w:val="00867405"/>
    <w:rsid w:val="00867F99"/>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330C"/>
    <w:rsid w:val="008E73D8"/>
    <w:rsid w:val="008F0928"/>
    <w:rsid w:val="008F15F1"/>
    <w:rsid w:val="008F296D"/>
    <w:rsid w:val="008F3F19"/>
    <w:rsid w:val="008F5581"/>
    <w:rsid w:val="009019B9"/>
    <w:rsid w:val="00904096"/>
    <w:rsid w:val="00905030"/>
    <w:rsid w:val="00912B1F"/>
    <w:rsid w:val="00914916"/>
    <w:rsid w:val="00916FAA"/>
    <w:rsid w:val="00917E9E"/>
    <w:rsid w:val="00920F10"/>
    <w:rsid w:val="0092146A"/>
    <w:rsid w:val="00924911"/>
    <w:rsid w:val="00930D0E"/>
    <w:rsid w:val="00933BCC"/>
    <w:rsid w:val="00936C15"/>
    <w:rsid w:val="009378BD"/>
    <w:rsid w:val="00937F60"/>
    <w:rsid w:val="009424F8"/>
    <w:rsid w:val="0094259C"/>
    <w:rsid w:val="00942F6F"/>
    <w:rsid w:val="0094313B"/>
    <w:rsid w:val="0094338C"/>
    <w:rsid w:val="00944826"/>
    <w:rsid w:val="00950210"/>
    <w:rsid w:val="009502F2"/>
    <w:rsid w:val="00950A8A"/>
    <w:rsid w:val="009533A8"/>
    <w:rsid w:val="00953BF1"/>
    <w:rsid w:val="00954A17"/>
    <w:rsid w:val="00957370"/>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C30"/>
    <w:rsid w:val="009D3603"/>
    <w:rsid w:val="009D5269"/>
    <w:rsid w:val="009E0E2A"/>
    <w:rsid w:val="009E0E46"/>
    <w:rsid w:val="009E3A3F"/>
    <w:rsid w:val="009E5237"/>
    <w:rsid w:val="009E6AA6"/>
    <w:rsid w:val="009E6D76"/>
    <w:rsid w:val="009E7108"/>
    <w:rsid w:val="009F1FC1"/>
    <w:rsid w:val="009F4890"/>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7543C"/>
    <w:rsid w:val="00A81787"/>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120BC"/>
    <w:rsid w:val="00B21765"/>
    <w:rsid w:val="00B24380"/>
    <w:rsid w:val="00B253A4"/>
    <w:rsid w:val="00B25632"/>
    <w:rsid w:val="00B263B7"/>
    <w:rsid w:val="00B30B6F"/>
    <w:rsid w:val="00B313D4"/>
    <w:rsid w:val="00B36008"/>
    <w:rsid w:val="00B36322"/>
    <w:rsid w:val="00B36B75"/>
    <w:rsid w:val="00B375C7"/>
    <w:rsid w:val="00B42C1E"/>
    <w:rsid w:val="00B44D41"/>
    <w:rsid w:val="00B46D33"/>
    <w:rsid w:val="00B51C6F"/>
    <w:rsid w:val="00B56BB0"/>
    <w:rsid w:val="00B578B3"/>
    <w:rsid w:val="00B600E8"/>
    <w:rsid w:val="00B6021E"/>
    <w:rsid w:val="00B606B1"/>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87F7A"/>
    <w:rsid w:val="00B90016"/>
    <w:rsid w:val="00B90065"/>
    <w:rsid w:val="00B90DA5"/>
    <w:rsid w:val="00B9267E"/>
    <w:rsid w:val="00B93C3F"/>
    <w:rsid w:val="00B94CB6"/>
    <w:rsid w:val="00B95241"/>
    <w:rsid w:val="00BA09A5"/>
    <w:rsid w:val="00BA33B4"/>
    <w:rsid w:val="00BA5C5D"/>
    <w:rsid w:val="00BB1159"/>
    <w:rsid w:val="00BB2C8B"/>
    <w:rsid w:val="00BB43CF"/>
    <w:rsid w:val="00BB4666"/>
    <w:rsid w:val="00BB5F1B"/>
    <w:rsid w:val="00BB6A01"/>
    <w:rsid w:val="00BB6E63"/>
    <w:rsid w:val="00BC1141"/>
    <w:rsid w:val="00BC3D49"/>
    <w:rsid w:val="00BC63EA"/>
    <w:rsid w:val="00BC752E"/>
    <w:rsid w:val="00BD13F5"/>
    <w:rsid w:val="00BD2651"/>
    <w:rsid w:val="00BD534A"/>
    <w:rsid w:val="00BD7407"/>
    <w:rsid w:val="00BD7ACB"/>
    <w:rsid w:val="00BE03E2"/>
    <w:rsid w:val="00BE0BFD"/>
    <w:rsid w:val="00BE0FBA"/>
    <w:rsid w:val="00BE587D"/>
    <w:rsid w:val="00BE7FF1"/>
    <w:rsid w:val="00BF03E3"/>
    <w:rsid w:val="00BF0796"/>
    <w:rsid w:val="00BF092A"/>
    <w:rsid w:val="00BF0E32"/>
    <w:rsid w:val="00BF189C"/>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22E8"/>
    <w:rsid w:val="00C42890"/>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82966"/>
    <w:rsid w:val="00C82FCB"/>
    <w:rsid w:val="00C87E91"/>
    <w:rsid w:val="00C9178F"/>
    <w:rsid w:val="00C93D4C"/>
    <w:rsid w:val="00CA5D09"/>
    <w:rsid w:val="00CA645A"/>
    <w:rsid w:val="00CA6912"/>
    <w:rsid w:val="00CA78C8"/>
    <w:rsid w:val="00CA7A30"/>
    <w:rsid w:val="00CB07A4"/>
    <w:rsid w:val="00CB18A5"/>
    <w:rsid w:val="00CB2B8C"/>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84510"/>
    <w:rsid w:val="00D86538"/>
    <w:rsid w:val="00D9001B"/>
    <w:rsid w:val="00D915D6"/>
    <w:rsid w:val="00D93D46"/>
    <w:rsid w:val="00D94F26"/>
    <w:rsid w:val="00D96A02"/>
    <w:rsid w:val="00D97CA0"/>
    <w:rsid w:val="00DA07C4"/>
    <w:rsid w:val="00DA1FEB"/>
    <w:rsid w:val="00DA35D6"/>
    <w:rsid w:val="00DA4A07"/>
    <w:rsid w:val="00DA5AE9"/>
    <w:rsid w:val="00DB3C3B"/>
    <w:rsid w:val="00DB3D0D"/>
    <w:rsid w:val="00DB63EF"/>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1D67"/>
    <w:rsid w:val="00E53176"/>
    <w:rsid w:val="00E53B9F"/>
    <w:rsid w:val="00E56162"/>
    <w:rsid w:val="00E60CC2"/>
    <w:rsid w:val="00E71228"/>
    <w:rsid w:val="00E71B20"/>
    <w:rsid w:val="00E74B10"/>
    <w:rsid w:val="00E7517B"/>
    <w:rsid w:val="00E77691"/>
    <w:rsid w:val="00E8015B"/>
    <w:rsid w:val="00E80912"/>
    <w:rsid w:val="00E82992"/>
    <w:rsid w:val="00E85CB4"/>
    <w:rsid w:val="00E91176"/>
    <w:rsid w:val="00E95C1B"/>
    <w:rsid w:val="00E97913"/>
    <w:rsid w:val="00EA0464"/>
    <w:rsid w:val="00EA0D04"/>
    <w:rsid w:val="00EA14B5"/>
    <w:rsid w:val="00EB0314"/>
    <w:rsid w:val="00EB0CB5"/>
    <w:rsid w:val="00EB3531"/>
    <w:rsid w:val="00EB7CFC"/>
    <w:rsid w:val="00EC1F01"/>
    <w:rsid w:val="00EC40BA"/>
    <w:rsid w:val="00EC5D26"/>
    <w:rsid w:val="00EC5E16"/>
    <w:rsid w:val="00ED3900"/>
    <w:rsid w:val="00EE3501"/>
    <w:rsid w:val="00EE4D09"/>
    <w:rsid w:val="00EF0295"/>
    <w:rsid w:val="00EF2271"/>
    <w:rsid w:val="00EF34BC"/>
    <w:rsid w:val="00EF41BC"/>
    <w:rsid w:val="00EF45C6"/>
    <w:rsid w:val="00EF5063"/>
    <w:rsid w:val="00F035E7"/>
    <w:rsid w:val="00F0446E"/>
    <w:rsid w:val="00F04DFD"/>
    <w:rsid w:val="00F07775"/>
    <w:rsid w:val="00F139B5"/>
    <w:rsid w:val="00F17A2A"/>
    <w:rsid w:val="00F21639"/>
    <w:rsid w:val="00F22562"/>
    <w:rsid w:val="00F23FD3"/>
    <w:rsid w:val="00F25B4C"/>
    <w:rsid w:val="00F25DFB"/>
    <w:rsid w:val="00F25ECC"/>
    <w:rsid w:val="00F26317"/>
    <w:rsid w:val="00F32B1C"/>
    <w:rsid w:val="00F344EE"/>
    <w:rsid w:val="00F35AAC"/>
    <w:rsid w:val="00F4103D"/>
    <w:rsid w:val="00F41802"/>
    <w:rsid w:val="00F4661A"/>
    <w:rsid w:val="00F46D42"/>
    <w:rsid w:val="00F47546"/>
    <w:rsid w:val="00F50E22"/>
    <w:rsid w:val="00F5165A"/>
    <w:rsid w:val="00F5390C"/>
    <w:rsid w:val="00F57279"/>
    <w:rsid w:val="00F636B8"/>
    <w:rsid w:val="00F661F1"/>
    <w:rsid w:val="00F66754"/>
    <w:rsid w:val="00F71C51"/>
    <w:rsid w:val="00F730BE"/>
    <w:rsid w:val="00F7400B"/>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42381 a licenciada Fuentes</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18062-521D-4FB9-952A-B0983FDE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18552D87-8F3B-4C05-AFB8-09D2A8BA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170</TotalTime>
  <Pages>7</Pages>
  <Words>3326</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Milton Abraham Sanchez Cruz</cp:lastModifiedBy>
  <cp:revision>27</cp:revision>
  <cp:lastPrinted>2021-02-11T13:31:00Z</cp:lastPrinted>
  <dcterms:created xsi:type="dcterms:W3CDTF">2021-03-30T19:15:00Z</dcterms:created>
  <dcterms:modified xsi:type="dcterms:W3CDTF">2021-05-05T16:51:00Z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